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right"/>
        <w:rPr>
          <w:rFonts w:ascii="inherit" w:hAnsi="inherit"/>
          <w:sz w:val="17"/>
        </w:rPr>
      </w:pPr>
      <w:r>
        <w:rPr>
          <w:rFonts w:ascii="inherit" w:hAnsi="inherit"/>
          <w:sz w:val="17"/>
        </w:rPr>
      </w:r>
      <w:bookmarkStart w:id="0" w:name="sB73323AFE537D1BA3D1715BF7093398C"/>
      <w:bookmarkStart w:id="1" w:name="a401kblackoutnoticejune2013.htm"/>
      <w:bookmarkStart w:id="2" w:name="ksa401kblackoutnoticejune2013"/>
      <w:bookmarkStart w:id="3" w:name="sB73323AFE537D1BA3D1715BF7093398C"/>
      <w:bookmarkStart w:id="4" w:name="a401kblackoutnoticejune2013.htm"/>
      <w:bookmarkStart w:id="5" w:name="ksa401kblackoutnoticejune2013"/>
      <w:bookmarkEnd w:id="3"/>
      <w:bookmarkEnd w:id="4"/>
      <w:bookmarkEnd w:id="5"/>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lineRule="auto" w:line="288" w:before="0" w:after="0"/>
        <w:jc w:val="center"/>
        <w:rPr>
          <w:rFonts w:ascii="inherit" w:hAnsi="inherit"/>
          <w:sz w:val="20"/>
        </w:rPr>
      </w:pPr>
      <w:r>
        <w:rPr>
          <w:rFonts w:ascii="inherit" w:hAnsi="inherit"/>
          <w:sz w:val="20"/>
        </w:rPr>
        <w:t>UNITED STATES</w:t>
      </w:r>
    </w:p>
    <w:p>
      <w:pPr>
        <w:pStyle w:val="TextBody"/>
        <w:spacing w:lineRule="auto" w:line="288" w:before="0" w:after="0"/>
        <w:jc w:val="center"/>
        <w:rPr>
          <w:rFonts w:ascii="inherit" w:hAnsi="inherit"/>
          <w:sz w:val="20"/>
        </w:rPr>
      </w:pPr>
      <w:r>
        <w:rPr>
          <w:rFonts w:ascii="inherit" w:hAnsi="inherit"/>
          <w:sz w:val="20"/>
        </w:rPr>
        <w:t>SECURITIES AND EXCHANGE COMMISSION</w:t>
      </w:r>
    </w:p>
    <w:p>
      <w:pPr>
        <w:pStyle w:val="TextBody"/>
        <w:spacing w:lineRule="auto" w:line="288" w:before="0" w:after="0"/>
        <w:jc w:val="center"/>
        <w:rPr>
          <w:rFonts w:ascii="inherit" w:hAnsi="inherit"/>
          <w:sz w:val="20"/>
        </w:rPr>
      </w:pPr>
      <w:r>
        <w:rPr>
          <w:rFonts w:ascii="inherit" w:hAnsi="inherit"/>
          <w:sz w:val="20"/>
        </w:rPr>
        <w:t>Washington, D.C. 20549</w:t>
      </w:r>
    </w:p>
    <w:p>
      <w:pPr>
        <w:pStyle w:val="TextBody"/>
        <w:spacing w:lineRule="auto" w:line="288" w:before="0" w:after="0"/>
        <w:ind w:left="0" w:right="0" w:firstLine="7200"/>
        <w:jc w:val="left"/>
        <w:rPr/>
      </w:pPr>
      <w:r>
        <w:rPr/>
        <w:t>        </w:t>
      </w:r>
    </w:p>
    <w:p>
      <w:pPr>
        <w:pStyle w:val="TextBody"/>
        <w:spacing w:lineRule="auto" w:line="288" w:before="0" w:after="0"/>
        <w:jc w:val="center"/>
        <w:rPr>
          <w:rFonts w:ascii="inherit" w:hAnsi="inherit"/>
          <w:b/>
          <w:sz w:val="33"/>
        </w:rPr>
      </w:pPr>
      <w:r>
        <w:rPr>
          <w:rFonts w:ascii="inherit" w:hAnsi="inherit"/>
          <w:b/>
          <w:sz w:val="33"/>
        </w:rPr>
        <w:t>FORM 8-K</w:t>
      </w:r>
    </w:p>
    <w:p>
      <w:pPr>
        <w:pStyle w:val="TextBody"/>
        <w:spacing w:lineRule="auto" w:line="288" w:before="0" w:after="0"/>
        <w:jc w:val="center"/>
        <w:rPr>
          <w:rFonts w:ascii="inherit" w:hAnsi="inherit"/>
          <w:b/>
          <w:sz w:val="27"/>
        </w:rPr>
      </w:pPr>
      <w:r>
        <w:rPr>
          <w:rFonts w:ascii="inherit" w:hAnsi="inherit"/>
          <w:b/>
          <w:sz w:val="27"/>
        </w:rPr>
        <w:t>CURRENT REPORT</w:t>
      </w:r>
    </w:p>
    <w:p>
      <w:pPr>
        <w:pStyle w:val="TextBody"/>
        <w:spacing w:lineRule="auto" w:line="288" w:before="0" w:after="0"/>
        <w:jc w:val="center"/>
        <w:rPr>
          <w:sz w:val="20"/>
        </w:rPr>
      </w:pPr>
      <w:r>
        <w:rPr>
          <w:rFonts w:ascii="inherit" w:hAnsi="inherit"/>
          <w:b/>
          <w:sz w:val="18"/>
        </w:rPr>
        <w:t>PURSUANT TO SECTION 13 OR 15(d) OF THE SECURITIES EXCHANGE ACT OF</w:t>
      </w:r>
      <w:r>
        <w:rPr>
          <w:sz w:val="20"/>
        </w:rPr>
        <w:t xml:space="preserve"> </w:t>
      </w:r>
      <w:r>
        <w:rPr>
          <w:rFonts w:ascii="inherit" w:hAnsi="inherit"/>
          <w:b/>
          <w:sz w:val="20"/>
        </w:rPr>
        <w:t>1934</w:t>
      </w:r>
    </w:p>
    <w:p>
      <w:pPr>
        <w:pStyle w:val="TextBody"/>
        <w:spacing w:lineRule="auto" w:line="288" w:before="0" w:after="0"/>
        <w:ind w:left="0" w:right="0" w:firstLine="7200"/>
        <w:jc w:val="left"/>
        <w:rPr/>
      </w:pPr>
      <w:r>
        <w:rPr/>
        <w:t>        </w:t>
      </w:r>
    </w:p>
    <w:p>
      <w:pPr>
        <w:pStyle w:val="TextBody"/>
        <w:spacing w:lineRule="auto" w:line="288" w:before="0" w:after="0"/>
        <w:jc w:val="center"/>
        <w:rPr>
          <w:sz w:val="20"/>
        </w:rPr>
      </w:pPr>
      <w:r>
        <w:rPr>
          <w:rFonts w:ascii="inherit" w:hAnsi="inherit"/>
          <w:sz w:val="20"/>
        </w:rPr>
        <w:t xml:space="preserve">Date of Report (Date of earliest event reported): </w:t>
      </w:r>
      <w:r>
        <w:rPr>
          <w:rFonts w:ascii="inherit" w:hAnsi="inherit"/>
          <w:b/>
          <w:sz w:val="20"/>
        </w:rPr>
        <w:t>June 5, 2013</w:t>
      </w:r>
    </w:p>
    <w:p>
      <w:pPr>
        <w:pStyle w:val="TextBody"/>
        <w:spacing w:lineRule="auto" w:line="288" w:before="0" w:after="0"/>
        <w:ind w:left="0" w:right="0" w:firstLine="7200"/>
        <w:jc w:val="left"/>
        <w:rPr/>
      </w:pPr>
      <w:r>
        <w:rPr/>
        <w:t>        </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68" w:before="0" w:after="0"/>
        <w:jc w:val="center"/>
        <w:rPr>
          <w:rFonts w:ascii="inherit" w:hAnsi="inherit"/>
          <w:b/>
          <w:sz w:val="40"/>
        </w:rPr>
      </w:pPr>
      <w:r>
        <w:rPr>
          <w:rFonts w:ascii="inherit" w:hAnsi="inherit"/>
          <w:b/>
          <w:sz w:val="40"/>
        </w:rPr>
        <w:t xml:space="preserve">EZCORP, Inc.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20"/>
        </w:rPr>
      </w:pPr>
      <w:r>
        <w:rPr>
          <w:rFonts w:ascii="inherit" w:hAnsi="inherit"/>
          <w:b/>
          <w:sz w:val="20"/>
        </w:rPr>
        <w:t>1901 Capital Parkway, Austin, Texas 78746</w:t>
      </w:r>
    </w:p>
    <w:p>
      <w:pPr>
        <w:pStyle w:val="TextBody"/>
        <w:spacing w:lineRule="auto" w:line="288" w:before="0" w:after="0"/>
        <w:jc w:val="center"/>
        <w:rPr>
          <w:rFonts w:ascii="inherit" w:hAnsi="inherit"/>
          <w:sz w:val="17"/>
        </w:rPr>
      </w:pPr>
      <w:r>
        <w:rPr>
          <w:rFonts w:ascii="inherit" w:hAnsi="inherit"/>
          <w:sz w:val="17"/>
        </w:rPr>
        <w:t>(Address of principal executive offices) (zip code)</w:t>
      </w:r>
    </w:p>
    <w:p>
      <w:pPr>
        <w:pStyle w:val="TextBody"/>
        <w:spacing w:lineRule="auto" w:line="288" w:before="0" w:after="0"/>
        <w:jc w:val="center"/>
        <w:rPr>
          <w:sz w:val="20"/>
        </w:rPr>
      </w:pPr>
      <w:r>
        <w:rPr>
          <w:rFonts w:ascii="inherit" w:hAnsi="inherit"/>
          <w:sz w:val="17"/>
        </w:rPr>
        <w:t xml:space="preserve">Registrant’s telephone number, including area code: </w:t>
      </w:r>
      <w:r>
        <w:rPr>
          <w:rFonts w:ascii="inherit" w:hAnsi="inherit"/>
          <w:sz w:val="20"/>
        </w:rPr>
        <w:t>(</w:t>
      </w:r>
      <w:r>
        <w:rPr>
          <w:rFonts w:ascii="inherit" w:hAnsi="inherit"/>
          <w:b/>
          <w:sz w:val="20"/>
        </w:rPr>
        <w:t>512) 314-3400</w:t>
      </w:r>
    </w:p>
    <w:p>
      <w:pPr>
        <w:pStyle w:val="TextBody"/>
        <w:spacing w:lineRule="auto" w:line="288" w:before="0" w:after="0"/>
        <w:ind w:left="0" w:right="0" w:firstLine="7200"/>
        <w:jc w:val="left"/>
        <w:rPr/>
      </w:pPr>
      <w:r>
        <w:rPr/>
        <w:t>        </w:t>
      </w:r>
    </w:p>
    <w:p>
      <w:pPr>
        <w:pStyle w:val="TextBody"/>
        <w:spacing w:lineRule="auto" w:line="288" w:before="0" w:after="0"/>
        <w:jc w:val="left"/>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right"/>
        <w:rPr>
          <w:rFonts w:ascii="inherit" w:hAnsi="inherit"/>
          <w:sz w:val="17"/>
        </w:rPr>
      </w:pPr>
      <w:r>
        <w:rPr>
          <w:rFonts w:ascii="inherit" w:hAnsi="inherit"/>
          <w:sz w:val="17"/>
        </w:rPr>
      </w:r>
      <w:bookmarkStart w:id="6" w:name="s1DE01368F12F6503B7A915EB9779BFCF"/>
      <w:bookmarkStart w:id="7" w:name="s1DE01368F12F6503B7A915EB9779BFCF"/>
      <w:bookmarkEnd w:id="7"/>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5.04 — Temporary Suspension of Trading Under Registrant’s Employee Benefit Plans</w:t>
      </w:r>
    </w:p>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83"/>
              <w:rPr>
                <w:sz w:val="4"/>
                <w:szCs w:val="4"/>
              </w:rPr>
            </w:pPr>
            <w:r>
              <w:rPr>
                <w:sz w:val="4"/>
                <w:szCs w:val="4"/>
              </w:rPr>
            </w:r>
          </w:p>
        </w:tc>
        <w:tc>
          <w:tcPr>
            <w:tcW w:w="9996" w:type="dxa"/>
            <w:tcBorders/>
            <w:shd w:fill="auto" w:val="clear"/>
            <w:vAlign w:val="center"/>
          </w:tcPr>
          <w:p>
            <w:pPr>
              <w:pStyle w:val="TableContents"/>
              <w:spacing w:before="0" w:after="283"/>
              <w:rPr>
                <w:sz w:val="4"/>
                <w:szCs w:val="4"/>
              </w:rPr>
            </w:pPr>
            <w:r>
              <w:rPr>
                <w:sz w:val="4"/>
                <w:szCs w:val="4"/>
              </w:rPr>
            </w:r>
          </w:p>
        </w:tc>
      </w:tr>
      <w:tr>
        <w:trPr/>
        <w:tc>
          <w:tcPr>
            <w:tcW w:w="209"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9996"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On June 5, 2013, EZCORP, Inc. delivered a blackout notice to its directors and executive officers informing them of a temporary suspension of transactions relating to the EZCORP stock fund within the EZCORP 401(k) Plan, as a result of the transition of the administration of the plan to a new service provider, and the resulting blackout restrictions imposed on the company’s directors and executive officers. Attached hereto as Exhibit 99.1 and incorporated by reference is a copy of the blackout notice. The company provided the blackout notice to its directors and executive officers in accordance with Rule 104 of the Securities and Exchange Commission’s Regulation BTR.</w:t>
            </w:r>
          </w:p>
        </w:tc>
      </w:tr>
    </w:tbl>
    <w:p>
      <w:pPr>
        <w:pStyle w:val="TextBody"/>
        <w:spacing w:lineRule="auto" w:line="288" w:before="0" w:after="0"/>
        <w:ind w:left="0" w:right="0" w:firstLine="540"/>
        <w:jc w:val="left"/>
        <w:rPr>
          <w:rFonts w:ascii="inherit" w:hAnsi="inherit"/>
          <w:sz w:val="17"/>
        </w:rPr>
      </w:pPr>
      <w:r>
        <w:rPr>
          <w:rFonts w:ascii="inherit" w:hAnsi="inherit"/>
          <w:sz w:val="17"/>
        </w:rPr>
        <w:t>During the Blackout Period (as defined in the blackout notice attached as Exhibit 99.1) and for a period of two years after the ending date of the Blackout Period, a security holder or other interested person may obtain, free of charge, the actual beginning and ending dates of the Blackout Period by submitting a request therefor to:</w:t>
      </w:r>
    </w:p>
    <w:p>
      <w:pPr>
        <w:pStyle w:val="TextBody"/>
        <w:spacing w:lineRule="auto" w:line="288" w:before="0" w:after="0"/>
        <w:ind w:left="0" w:right="0" w:firstLine="540"/>
        <w:jc w:val="left"/>
        <w:rPr>
          <w:rFonts w:ascii="inherit" w:hAnsi="inherit"/>
          <w:sz w:val="17"/>
        </w:rPr>
      </w:pPr>
      <w:r>
        <w:rPr>
          <w:rFonts w:ascii="inherit" w:hAnsi="inherit"/>
          <w:sz w:val="17"/>
        </w:rPr>
        <w:t>EZCORP, Inc.</w:t>
      </w:r>
    </w:p>
    <w:p>
      <w:pPr>
        <w:pStyle w:val="TextBody"/>
        <w:spacing w:lineRule="auto" w:line="288" w:before="0" w:after="0"/>
        <w:ind w:left="0" w:right="0" w:firstLine="540"/>
        <w:jc w:val="left"/>
        <w:rPr>
          <w:rFonts w:ascii="inherit" w:hAnsi="inherit"/>
          <w:sz w:val="17"/>
        </w:rPr>
      </w:pPr>
      <w:r>
        <w:rPr>
          <w:rFonts w:ascii="inherit" w:hAnsi="inherit"/>
          <w:sz w:val="17"/>
        </w:rPr>
        <w:t>1901 Capital Parkway</w:t>
      </w:r>
    </w:p>
    <w:p>
      <w:pPr>
        <w:pStyle w:val="TextBody"/>
        <w:spacing w:lineRule="auto" w:line="288" w:before="0" w:after="0"/>
        <w:ind w:left="0" w:right="0" w:firstLine="540"/>
        <w:jc w:val="left"/>
        <w:rPr>
          <w:rFonts w:ascii="inherit" w:hAnsi="inherit"/>
          <w:sz w:val="17"/>
        </w:rPr>
      </w:pPr>
      <w:r>
        <w:rPr>
          <w:rFonts w:ascii="inherit" w:hAnsi="inherit"/>
          <w:sz w:val="17"/>
        </w:rPr>
        <w:t>Austin, Texas 78746</w:t>
      </w:r>
    </w:p>
    <w:p>
      <w:pPr>
        <w:pStyle w:val="TextBody"/>
        <w:spacing w:lineRule="auto" w:line="288" w:before="0" w:after="0"/>
        <w:ind w:left="0" w:right="0" w:firstLine="540"/>
        <w:jc w:val="left"/>
        <w:rPr>
          <w:rFonts w:ascii="inherit" w:hAnsi="inherit"/>
          <w:sz w:val="17"/>
        </w:rPr>
      </w:pPr>
      <w:r>
        <w:rPr>
          <w:rFonts w:ascii="inherit" w:hAnsi="inherit"/>
          <w:sz w:val="17"/>
        </w:rPr>
        <w:t>Attn: Corporate Secretary</w:t>
      </w:r>
    </w:p>
    <w:p>
      <w:pPr>
        <w:pStyle w:val="TextBody"/>
        <w:spacing w:lineRule="auto" w:line="288" w:before="0" w:after="0"/>
        <w:ind w:left="0" w:right="0" w:firstLine="540"/>
        <w:jc w:val="left"/>
        <w:rPr>
          <w:sz w:val="17"/>
        </w:rPr>
      </w:pPr>
      <w:r>
        <w:rPr>
          <w:rFonts w:ascii="inherit" w:hAnsi="inherit"/>
          <w:sz w:val="17"/>
        </w:rPr>
        <w:t xml:space="preserve">Telephone </w:t>
      </w:r>
      <w:r>
        <w:rPr>
          <w:sz w:val="17"/>
        </w:rPr>
        <w:t xml:space="preserve">— </w:t>
      </w:r>
      <w:r>
        <w:rPr>
          <w:rFonts w:ascii="inherit" w:hAnsi="inherit"/>
          <w:sz w:val="17"/>
        </w:rPr>
        <w:t>512-314-3400</w:t>
      </w:r>
    </w:p>
    <w:p>
      <w:pPr>
        <w:pStyle w:val="TextBody"/>
        <w:spacing w:lineRule="auto" w:line="288" w:before="0" w:after="0"/>
        <w:ind w:left="0" w:right="0" w:firstLine="540"/>
        <w:jc w:val="left"/>
        <w:rPr>
          <w:sz w:val="17"/>
        </w:rPr>
      </w:pPr>
      <w:r>
        <w:rPr>
          <w:rFonts w:ascii="inherit" w:hAnsi="inherit"/>
          <w:sz w:val="17"/>
        </w:rPr>
        <w:t xml:space="preserve">Email </w:t>
      </w:r>
      <w:r>
        <w:rPr>
          <w:sz w:val="17"/>
        </w:rPr>
        <w:t xml:space="preserve">— </w:t>
      </w:r>
      <w:r>
        <w:rPr>
          <w:rFonts w:ascii="inherit" w:hAnsi="inherit"/>
          <w:sz w:val="17"/>
        </w:rPr>
        <w:t>Investor_Relations@ezcorp.com</w:t>
      </w:r>
    </w:p>
    <w:p>
      <w:pPr>
        <w:pStyle w:val="TextBody"/>
        <w:spacing w:lineRule="auto" w:line="288" w:before="0" w:after="0"/>
        <w:jc w:val="left"/>
        <w:rPr>
          <w:rFonts w:ascii="inherit" w:hAnsi="inherit"/>
          <w:b/>
          <w:sz w:val="17"/>
        </w:rPr>
      </w:pPr>
      <w:r>
        <w:rPr>
          <w:rFonts w:ascii="inherit" w:hAnsi="inherit"/>
          <w:b/>
          <w:sz w:val="17"/>
        </w:rPr>
        <w:t xml:space="preserve">Item 9.01 — Financial Statements and Exhibits. </w:t>
      </w:r>
    </w:p>
    <w:p>
      <w:pPr>
        <w:pStyle w:val="TextBody"/>
        <w:spacing w:lineRule="auto" w:line="288" w:before="0" w:after="0"/>
        <w:jc w:val="left"/>
        <w:rPr>
          <w:rFonts w:ascii="inherit" w:hAnsi="inherit"/>
          <w:sz w:val="17"/>
        </w:rPr>
      </w:pPr>
      <w:r>
        <w:rPr>
          <w:rFonts w:ascii="inherit" w:hAnsi="inherit"/>
          <w:sz w:val="17"/>
        </w:rPr>
        <w:t>(d)    Exhibits.</w:t>
      </w:r>
    </w:p>
    <w:tbl>
      <w:tblPr>
        <w:tblW w:w="9190" w:type="dxa"/>
        <w:jc w:val="left"/>
        <w:tblInd w:w="0" w:type="dxa"/>
        <w:tblCellMar>
          <w:top w:w="0" w:type="dxa"/>
          <w:left w:w="0" w:type="dxa"/>
          <w:bottom w:w="0" w:type="dxa"/>
          <w:right w:w="0" w:type="dxa"/>
        </w:tblCellMar>
      </w:tblPr>
      <w:tblGrid>
        <w:gridCol w:w="950"/>
        <w:gridCol w:w="8240"/>
      </w:tblGrid>
      <w:tr>
        <w:trPr/>
        <w:tc>
          <w:tcPr>
            <w:tcW w:w="950" w:type="dxa"/>
            <w:tcBorders/>
            <w:shd w:fill="auto" w:val="clear"/>
            <w:vAlign w:val="center"/>
          </w:tcPr>
          <w:p>
            <w:pPr>
              <w:pStyle w:val="TableContents"/>
              <w:spacing w:before="0" w:after="283"/>
              <w:rPr>
                <w:sz w:val="4"/>
                <w:szCs w:val="4"/>
              </w:rPr>
            </w:pPr>
            <w:r>
              <w:rPr>
                <w:sz w:val="4"/>
                <w:szCs w:val="4"/>
              </w:rPr>
            </w:r>
          </w:p>
        </w:tc>
        <w:tc>
          <w:tcPr>
            <w:tcW w:w="8240" w:type="dxa"/>
            <w:tcBorders/>
            <w:shd w:fill="auto" w:val="clear"/>
            <w:vAlign w:val="center"/>
          </w:tcPr>
          <w:p>
            <w:pPr>
              <w:pStyle w:val="TableContents"/>
              <w:spacing w:before="0" w:after="283"/>
              <w:rPr>
                <w:sz w:val="4"/>
                <w:szCs w:val="4"/>
              </w:rPr>
            </w:pPr>
            <w:r>
              <w:rPr>
                <w:sz w:val="4"/>
                <w:szCs w:val="4"/>
              </w:rPr>
            </w:r>
          </w:p>
        </w:tc>
      </w:tr>
      <w:tr>
        <w:trPr/>
        <w:tc>
          <w:tcPr>
            <w:tcW w:w="950" w:type="dxa"/>
            <w:tcBorders/>
            <w:shd w:fill="auto" w:val="clear"/>
            <w:vAlign w:val="center"/>
          </w:tcPr>
          <w:p>
            <w:pPr>
              <w:pStyle w:val="TableContents"/>
              <w:spacing w:lineRule="auto" w:line="288" w:before="0" w:after="0"/>
              <w:ind w:left="0" w:right="0" w:firstLine="555"/>
              <w:rPr>
                <w:rFonts w:ascii="inherit" w:hAnsi="inherit"/>
                <w:sz w:val="17"/>
              </w:rPr>
            </w:pPr>
            <w:r>
              <w:rPr>
                <w:rFonts w:ascii="inherit" w:hAnsi="inherit"/>
                <w:sz w:val="17"/>
              </w:rPr>
              <w:t>99.1</w:t>
            </w:r>
          </w:p>
        </w:tc>
        <w:tc>
          <w:tcPr>
            <w:tcW w:w="82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Blackout Notice dated June 5, 2013, as provided to directors and executive officers of EZCORP, Inc.</w:t>
            </w:r>
          </w:p>
        </w:tc>
      </w:tr>
    </w:tbl>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5040"/>
        <w:jc w:val="left"/>
        <w:rPr/>
      </w:pPr>
      <w:r>
        <w:rPr/>
        <w:t>    </w:t>
      </w:r>
    </w:p>
    <w:p>
      <w:pPr>
        <w:pStyle w:val="TextBody"/>
        <w:spacing w:lineRule="auto" w:line="288" w:before="0" w:after="0"/>
        <w:jc w:val="left"/>
        <w:rPr>
          <w:rFonts w:ascii="inherit" w:hAnsi="inherit"/>
          <w:sz w:val="17"/>
        </w:rPr>
      </w:pPr>
      <w:r>
        <w:rPr>
          <w:rFonts w:ascii="inherit" w:hAnsi="inherit"/>
          <w:sz w:val="17"/>
        </w:rPr>
      </w:r>
    </w:p>
    <w:tbl>
      <w:tblPr>
        <w:tblW w:w="6235" w:type="dxa"/>
        <w:jc w:val="center"/>
        <w:tblInd w:w="0" w:type="dxa"/>
        <w:tblCellMar>
          <w:top w:w="0" w:type="dxa"/>
          <w:left w:w="0" w:type="dxa"/>
          <w:bottom w:w="0" w:type="dxa"/>
          <w:right w:w="0" w:type="dxa"/>
        </w:tblCellMar>
      </w:tblPr>
      <w:tblGrid>
        <w:gridCol w:w="3554"/>
        <w:gridCol w:w="2681"/>
      </w:tblGrid>
      <w:tr>
        <w:trPr/>
        <w:tc>
          <w:tcPr>
            <w:tcW w:w="6235" w:type="dxa"/>
            <w:gridSpan w:val="2"/>
            <w:tcBorders/>
            <w:shd w:fill="auto" w:val="clear"/>
            <w:vAlign w:val="center"/>
          </w:tcPr>
          <w:p>
            <w:pPr>
              <w:pStyle w:val="TableContents"/>
              <w:spacing w:before="0" w:after="283"/>
              <w:rPr>
                <w:sz w:val="4"/>
                <w:szCs w:val="4"/>
              </w:rPr>
            </w:pPr>
            <w:r>
              <w:rPr>
                <w:sz w:val="4"/>
                <w:szCs w:val="4"/>
              </w:rPr>
            </w:r>
          </w:p>
        </w:tc>
      </w:tr>
      <w:tr>
        <w:trPr/>
        <w:tc>
          <w:tcPr>
            <w:tcW w:w="3554"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54" w:type="dxa"/>
            <w:tcBorders/>
            <w:shd w:fill="auto" w:val="clear"/>
            <w:vAlign w:val="center"/>
          </w:tcPr>
          <w:p>
            <w:pPr>
              <w:pStyle w:val="TableContents"/>
              <w:spacing w:before="0" w:after="0"/>
              <w:ind w:left="0" w:right="0" w:firstLine="30"/>
              <w:rPr/>
            </w:pPr>
            <w:r>
              <w:rPr/>
              <w:t> </w:t>
            </w:r>
          </w:p>
        </w:tc>
        <w:tc>
          <w:tcPr>
            <w:tcW w:w="26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3554" w:type="dxa"/>
            <w:tcBorders/>
            <w:shd w:fill="auto" w:val="clear"/>
            <w:vAlign w:val="center"/>
          </w:tcPr>
          <w:p>
            <w:pPr>
              <w:pStyle w:val="TableContents"/>
              <w:spacing w:before="0" w:after="0"/>
              <w:ind w:left="0" w:right="0" w:firstLine="30"/>
              <w:rPr/>
            </w:pPr>
            <w:r>
              <w:rPr/>
              <w:t> </w:t>
            </w:r>
          </w:p>
        </w:tc>
        <w:tc>
          <w:tcPr>
            <w:tcW w:w="2681" w:type="dxa"/>
            <w:tcBorders/>
            <w:shd w:fill="auto" w:val="clear"/>
            <w:vAlign w:val="center"/>
          </w:tcPr>
          <w:p>
            <w:pPr>
              <w:pStyle w:val="TableContents"/>
              <w:spacing w:before="0" w:after="0"/>
              <w:ind w:left="0" w:right="0" w:firstLine="30"/>
              <w:rPr/>
            </w:pPr>
            <w:r>
              <w:rPr/>
              <w:t> </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 June 5, 2013</w:t>
            </w:r>
          </w:p>
        </w:tc>
        <w:tc>
          <w:tcPr>
            <w:tcW w:w="2681" w:type="dxa"/>
            <w:tcBorders/>
            <w:shd w:fill="auto" w:val="clear"/>
            <w:vAlign w:val="center"/>
          </w:tcPr>
          <w:p>
            <w:pPr>
              <w:pStyle w:val="TableContents"/>
              <w:spacing w:before="0" w:after="0"/>
              <w:ind w:left="0" w:right="0" w:firstLine="30"/>
              <w:rPr/>
            </w:pPr>
            <w:r>
              <w:rPr/>
              <w:t> </w:t>
            </w:r>
          </w:p>
        </w:tc>
      </w:tr>
      <w:tr>
        <w:trPr/>
        <w:tc>
          <w:tcPr>
            <w:tcW w:w="35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By:</w:t>
            </w:r>
          </w:p>
        </w:tc>
        <w:tc>
          <w:tcPr>
            <w:tcW w:w="268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THOMAS H. WELCH, JR.</w:t>
            </w:r>
          </w:p>
        </w:tc>
      </w:tr>
      <w:tr>
        <w:trPr/>
        <w:tc>
          <w:tcPr>
            <w:tcW w:w="3554" w:type="dxa"/>
            <w:tcBorders/>
            <w:shd w:fill="auto" w:val="clear"/>
            <w:vAlign w:val="center"/>
          </w:tcPr>
          <w:p>
            <w:pPr>
              <w:pStyle w:val="TableContents"/>
              <w:spacing w:before="0" w:after="0"/>
              <w:ind w:left="0" w:right="0" w:firstLine="30"/>
              <w:rPr/>
            </w:pPr>
            <w:r>
              <w:rPr/>
              <w:t> </w:t>
            </w:r>
          </w:p>
        </w:tc>
        <w:tc>
          <w:tcPr>
            <w:tcW w:w="26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3554" w:type="dxa"/>
            <w:tcBorders/>
            <w:shd w:fill="auto" w:val="clear"/>
            <w:vAlign w:val="center"/>
          </w:tcPr>
          <w:p>
            <w:pPr>
              <w:pStyle w:val="TableContents"/>
              <w:spacing w:before="0" w:after="0"/>
              <w:ind w:left="0" w:right="0" w:firstLine="30"/>
              <w:rPr/>
            </w:pPr>
            <w:r>
              <w:rPr/>
              <w:t> </w:t>
            </w:r>
          </w:p>
        </w:tc>
        <w:tc>
          <w:tcPr>
            <w:tcW w:w="26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w:t>
            </w:r>
          </w:p>
        </w:tc>
      </w:tr>
      <w:tr>
        <w:trPr/>
        <w:tc>
          <w:tcPr>
            <w:tcW w:w="3554" w:type="dxa"/>
            <w:tcBorders/>
            <w:shd w:fill="auto" w:val="clear"/>
            <w:vAlign w:val="center"/>
          </w:tcPr>
          <w:p>
            <w:pPr>
              <w:pStyle w:val="TableContents"/>
              <w:spacing w:before="0" w:after="0"/>
              <w:ind w:left="0" w:right="0" w:firstLine="300"/>
              <w:rPr/>
            </w:pPr>
            <w:r>
              <w:rPr/>
              <w:t> </w:t>
            </w:r>
          </w:p>
        </w:tc>
        <w:tc>
          <w:tcPr>
            <w:tcW w:w="2681"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bookmarkStart w:id="8" w:name="sE8A0085BECFFC26A73EA15B9E8C1570B"/>
      <w:bookmarkStart w:id="9" w:name="btrnoticejune2013.htm"/>
      <w:bookmarkStart w:id="10" w:name="ksbtrnoticejune2013"/>
      <w:bookmarkStart w:id="11" w:name="sE8A0085BECFFC26A73EA15B9E8C1570B"/>
      <w:bookmarkStart w:id="12" w:name="btrnoticejune2013.htm"/>
      <w:bookmarkStart w:id="13" w:name="ksbtrnoticejune2013"/>
      <w:bookmarkEnd w:id="11"/>
      <w:bookmarkEnd w:id="12"/>
      <w:bookmarkEnd w:id="13"/>
    </w:p>
    <w:p>
      <w:pPr>
        <w:pStyle w:val="TextBody"/>
        <w:spacing w:lineRule="auto" w:line="288" w:before="0" w:after="0"/>
        <w:jc w:val="right"/>
        <w:rPr>
          <w:rFonts w:ascii="inherit" w:hAnsi="inherit"/>
          <w:b/>
          <w:sz w:val="20"/>
        </w:rPr>
      </w:pPr>
      <w:r>
        <w:rPr>
          <w:rFonts w:ascii="inherit" w:hAnsi="inherit"/>
          <w:b/>
          <w:sz w:val="20"/>
        </w:rPr>
        <w:t>Exhibit 99.1</w:t>
      </w:r>
    </w:p>
    <w:p>
      <w:pPr>
        <w:pStyle w:val="TextBody"/>
        <w:spacing w:lineRule="auto" w:line="288" w:before="0" w:after="0"/>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rPr>
          <w:rFonts w:ascii="inherit" w:hAnsi="inherit"/>
          <w:sz w:val="20"/>
        </w:rPr>
      </w:pPr>
      <w:r>
        <w:rPr>
          <w:rFonts w:ascii="inherit" w:hAnsi="inherit"/>
          <w:sz w:val="20"/>
        </w:rPr>
      </w:r>
    </w:p>
    <w:p>
      <w:pPr>
        <w:pStyle w:val="TextBody"/>
        <w:spacing w:lineRule="auto" w:line="288" w:before="0" w:after="0"/>
        <w:jc w:val="left"/>
        <w:rPr>
          <w:rFonts w:ascii="inherit" w:hAnsi="inherit"/>
          <w:sz w:val="18"/>
        </w:rPr>
      </w:pPr>
      <w:r>
        <w:rPr>
          <w:rFonts w:ascii="inherit" w:hAnsi="inherit"/>
          <w:sz w:val="18"/>
        </w:rPr>
        <w:t>TO:    Directors and Executive Officers</w:t>
      </w:r>
    </w:p>
    <w:p>
      <w:pPr>
        <w:pStyle w:val="TextBody"/>
        <w:spacing w:lineRule="auto" w:line="288" w:before="0" w:after="0"/>
        <w:jc w:val="left"/>
        <w:rPr>
          <w:rFonts w:ascii="inherit" w:hAnsi="inherit"/>
          <w:sz w:val="18"/>
        </w:rPr>
      </w:pPr>
      <w:r>
        <w:rPr>
          <w:rFonts w:ascii="inherit" w:hAnsi="inherit"/>
          <w:sz w:val="18"/>
        </w:rPr>
        <w:t>DATE:    June 5, 2013</w:t>
      </w:r>
    </w:p>
    <w:p>
      <w:pPr>
        <w:pStyle w:val="TextBody"/>
        <w:spacing w:lineRule="auto" w:line="288" w:before="0" w:after="0"/>
        <w:jc w:val="left"/>
        <w:rPr>
          <w:rFonts w:ascii="inherit" w:hAnsi="inherit"/>
          <w:sz w:val="18"/>
        </w:rPr>
      </w:pPr>
      <w:r>
        <w:rPr>
          <w:rFonts w:ascii="inherit" w:hAnsi="inherit"/>
          <w:sz w:val="18"/>
        </w:rPr>
        <w:t>SUBJECT:    Notice of Blackout Period with Respect to EZCORP Class A Common Stock</w:t>
      </w:r>
    </w:p>
    <w:p>
      <w:pPr>
        <w:pStyle w:val="HorizontalLine"/>
        <w:spacing w:lineRule="auto" w:line="288"/>
        <w:rPr/>
      </w:pPr>
      <w:r>
        <w:rPr/>
      </w:r>
    </w:p>
    <w:p>
      <w:pPr>
        <w:pStyle w:val="TextBody"/>
        <w:spacing w:lineRule="auto" w:line="288" w:before="0" w:after="0"/>
        <w:jc w:val="left"/>
        <w:rPr>
          <w:rFonts w:ascii="inherit" w:hAnsi="inherit"/>
          <w:sz w:val="18"/>
        </w:rPr>
      </w:pPr>
      <w:r>
        <w:rPr>
          <w:rFonts w:ascii="inherit" w:hAnsi="inherit"/>
          <w:sz w:val="18"/>
        </w:rPr>
        <w:t>Beginning at 2:00 p.m. (Central time) on Friday, June 21, 2013, participants in the EZCORP 401(k) Plan (the “Plan”) will be temporarily subject to a “Blackout Period,” during which they will be unable to:</w:t>
      </w:r>
    </w:p>
    <w:tbl>
      <w:tblPr>
        <w:tblW w:w="4390" w:type="dxa"/>
        <w:jc w:val="left"/>
        <w:tblInd w:w="0" w:type="dxa"/>
        <w:tblCellMar>
          <w:top w:w="0" w:type="dxa"/>
          <w:left w:w="0" w:type="dxa"/>
          <w:bottom w:w="0" w:type="dxa"/>
          <w:right w:w="0" w:type="dxa"/>
        </w:tblCellMar>
      </w:tblPr>
      <w:tblGrid>
        <w:gridCol w:w="485"/>
        <w:gridCol w:w="3905"/>
      </w:tblGrid>
      <w:tr>
        <w:trPr/>
        <w:tc>
          <w:tcPr>
            <w:tcW w:w="485" w:type="dxa"/>
            <w:tcBorders/>
            <w:shd w:fill="auto" w:val="clear"/>
            <w:vAlign w:val="center"/>
          </w:tcPr>
          <w:p>
            <w:pPr>
              <w:pStyle w:val="TableContents"/>
              <w:spacing w:before="0" w:after="283"/>
              <w:rPr>
                <w:sz w:val="4"/>
                <w:szCs w:val="4"/>
              </w:rPr>
            </w:pPr>
            <w:r>
              <w:rPr>
                <w:sz w:val="4"/>
                <w:szCs w:val="4"/>
              </w:rPr>
            </w:r>
          </w:p>
        </w:tc>
        <w:tc>
          <w:tcPr>
            <w:tcW w:w="39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05" w:type="dxa"/>
            <w:tcBorders/>
            <w:shd w:fill="auto" w:val="clear"/>
            <w:vAlign w:val="center"/>
          </w:tcPr>
          <w:p>
            <w:pPr>
              <w:pStyle w:val="TableContents"/>
              <w:spacing w:lineRule="auto" w:line="288" w:before="0" w:after="0"/>
              <w:jc w:val="left"/>
              <w:rPr>
                <w:rFonts w:ascii="inherit" w:hAnsi="inherit"/>
                <w:sz w:val="18"/>
              </w:rPr>
            </w:pPr>
            <w:r>
              <w:rPr>
                <w:rFonts w:ascii="inherit" w:hAnsi="inherit"/>
                <w:sz w:val="18"/>
              </w:rPr>
              <w:t>Submit a request for a distribution or loan;</w:t>
            </w:r>
          </w:p>
        </w:tc>
      </w:tr>
    </w:tbl>
    <w:tbl>
      <w:tblPr>
        <w:tblW w:w="4180" w:type="dxa"/>
        <w:jc w:val="left"/>
        <w:tblInd w:w="0" w:type="dxa"/>
        <w:tblCellMar>
          <w:top w:w="0" w:type="dxa"/>
          <w:left w:w="0" w:type="dxa"/>
          <w:bottom w:w="0" w:type="dxa"/>
          <w:right w:w="0" w:type="dxa"/>
        </w:tblCellMar>
      </w:tblPr>
      <w:tblGrid>
        <w:gridCol w:w="485"/>
        <w:gridCol w:w="3695"/>
      </w:tblGrid>
      <w:tr>
        <w:trPr/>
        <w:tc>
          <w:tcPr>
            <w:tcW w:w="485" w:type="dxa"/>
            <w:tcBorders/>
            <w:shd w:fill="auto" w:val="clear"/>
            <w:vAlign w:val="center"/>
          </w:tcPr>
          <w:p>
            <w:pPr>
              <w:pStyle w:val="TableContents"/>
              <w:spacing w:before="0" w:after="283"/>
              <w:rPr>
                <w:sz w:val="4"/>
                <w:szCs w:val="4"/>
              </w:rPr>
            </w:pPr>
            <w:r>
              <w:rPr>
                <w:sz w:val="4"/>
                <w:szCs w:val="4"/>
              </w:rPr>
            </w:r>
          </w:p>
        </w:tc>
        <w:tc>
          <w:tcPr>
            <w:tcW w:w="36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695" w:type="dxa"/>
            <w:tcBorders/>
            <w:shd w:fill="auto" w:val="clear"/>
            <w:vAlign w:val="center"/>
          </w:tcPr>
          <w:p>
            <w:pPr>
              <w:pStyle w:val="TableContents"/>
              <w:spacing w:lineRule="auto" w:line="288" w:before="0" w:after="0"/>
              <w:jc w:val="left"/>
              <w:rPr>
                <w:rFonts w:ascii="inherit" w:hAnsi="inherit"/>
                <w:sz w:val="18"/>
              </w:rPr>
            </w:pPr>
            <w:r>
              <w:rPr>
                <w:rFonts w:ascii="inherit" w:hAnsi="inherit"/>
                <w:sz w:val="18"/>
              </w:rPr>
              <w:t>Make changes to their contribution rate;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8"/>
              </w:rPr>
            </w:pPr>
            <w:r>
              <w:rPr>
                <w:rFonts w:ascii="inherit" w:hAnsi="inherit"/>
                <w:sz w:val="18"/>
              </w:rPr>
              <w:t>Change their investment elections for future contributions or transfer existing balances between funds (including transferring balances out of the Plan’s EZCORP stock fund into other available investment funds within the Plan); or</w:t>
            </w:r>
          </w:p>
        </w:tc>
      </w:tr>
    </w:tbl>
    <w:tbl>
      <w:tblPr>
        <w:tblW w:w="4000" w:type="dxa"/>
        <w:jc w:val="left"/>
        <w:tblInd w:w="0" w:type="dxa"/>
        <w:tblCellMar>
          <w:top w:w="0" w:type="dxa"/>
          <w:left w:w="0" w:type="dxa"/>
          <w:bottom w:w="0" w:type="dxa"/>
          <w:right w:w="0" w:type="dxa"/>
        </w:tblCellMar>
      </w:tblPr>
      <w:tblGrid>
        <w:gridCol w:w="485"/>
        <w:gridCol w:w="3515"/>
      </w:tblGrid>
      <w:tr>
        <w:trPr/>
        <w:tc>
          <w:tcPr>
            <w:tcW w:w="485" w:type="dxa"/>
            <w:tcBorders/>
            <w:shd w:fill="auto" w:val="clear"/>
            <w:vAlign w:val="center"/>
          </w:tcPr>
          <w:p>
            <w:pPr>
              <w:pStyle w:val="TableContents"/>
              <w:spacing w:before="0" w:after="283"/>
              <w:rPr>
                <w:sz w:val="4"/>
                <w:szCs w:val="4"/>
              </w:rPr>
            </w:pPr>
            <w:r>
              <w:rPr>
                <w:sz w:val="4"/>
                <w:szCs w:val="4"/>
              </w:rPr>
            </w:r>
          </w:p>
        </w:tc>
        <w:tc>
          <w:tcPr>
            <w:tcW w:w="35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515" w:type="dxa"/>
            <w:tcBorders/>
            <w:shd w:fill="auto" w:val="clear"/>
            <w:vAlign w:val="center"/>
          </w:tcPr>
          <w:p>
            <w:pPr>
              <w:pStyle w:val="TableContents"/>
              <w:spacing w:lineRule="auto" w:line="288" w:before="0" w:after="0"/>
              <w:jc w:val="left"/>
              <w:rPr>
                <w:rFonts w:ascii="inherit" w:hAnsi="inherit"/>
                <w:sz w:val="18"/>
              </w:rPr>
            </w:pPr>
            <w:r>
              <w:rPr>
                <w:rFonts w:ascii="inherit" w:hAnsi="inherit"/>
                <w:sz w:val="18"/>
              </w:rPr>
              <w:t>Complete a rollover into their account.</w:t>
            </w:r>
          </w:p>
        </w:tc>
      </w:tr>
    </w:tbl>
    <w:p>
      <w:pPr>
        <w:pStyle w:val="TextBody"/>
        <w:spacing w:lineRule="auto" w:line="288" w:before="0" w:after="0"/>
        <w:jc w:val="left"/>
        <w:rPr>
          <w:rFonts w:ascii="inherit" w:hAnsi="inherit"/>
          <w:sz w:val="18"/>
        </w:rPr>
      </w:pPr>
      <w:r>
        <w:rPr>
          <w:rFonts w:ascii="inherit" w:hAnsi="inherit"/>
          <w:sz w:val="18"/>
        </w:rPr>
        <w:t>The Blackout Period is necessitated in order to facilitate the transition of the administration of the Plan to a new service provider, and will end once that transition is complete.</w:t>
      </w:r>
    </w:p>
    <w:p>
      <w:pPr>
        <w:pStyle w:val="TextBody"/>
        <w:spacing w:lineRule="auto" w:line="288" w:before="0" w:after="0"/>
        <w:jc w:val="left"/>
        <w:rPr>
          <w:sz w:val="18"/>
        </w:rPr>
      </w:pPr>
      <w:r>
        <w:rPr>
          <w:rFonts w:ascii="inherit" w:hAnsi="inherit"/>
          <w:b/>
          <w:i/>
          <w:sz w:val="18"/>
        </w:rPr>
        <w:t>During the Blackout Period, you may not, directly or indirectly, purchase, sell or otherwise acquire or transfer any EZCORP Class A common stock (including derivative securities related to EZCORP Class A common stock)</w:t>
      </w:r>
      <w:r>
        <w:rPr>
          <w:rFonts w:ascii="inherit" w:hAnsi="inherit"/>
          <w:sz w:val="18"/>
        </w:rPr>
        <w:t>, except pursuant to a prearranged trading plan that satisfies the affirmative defense conditions of Rule 10b5</w:t>
        <w:noBreakHyphen/>
        <w:t>1 under the Securities Exchange Act of 1934 so long as you did not enter into the plan during the Blackout Period or while aware of the actual or approximate beginning or ending dates of the Blackout Period.</w:t>
      </w:r>
    </w:p>
    <w:p>
      <w:pPr>
        <w:pStyle w:val="TextBody"/>
        <w:spacing w:lineRule="auto" w:line="288" w:before="0" w:after="0"/>
        <w:jc w:val="left"/>
        <w:rPr>
          <w:rFonts w:ascii="inherit" w:hAnsi="inherit"/>
          <w:sz w:val="18"/>
        </w:rPr>
      </w:pPr>
      <w:r>
        <w:rPr>
          <w:rFonts w:ascii="inherit" w:hAnsi="inherit"/>
          <w:sz w:val="18"/>
        </w:rPr>
        <w:t>The Blackout Period is expected to end during the week of July 29, 2013. You may obtain, free of charge, information as to whether the Blackout Period has actually ended by emailing or telephoning Thomas H. Welch, Jr., Senior Vice President, General Counsel and Secretary, who has been designated by the Company to respond to inquiries about the Blackout Period.</w:t>
      </w:r>
    </w:p>
    <w:p>
      <w:pPr>
        <w:pStyle w:val="TextBody"/>
        <w:spacing w:lineRule="auto" w:line="288" w:before="0" w:after="0"/>
        <w:jc w:val="left"/>
        <w:rPr>
          <w:rFonts w:ascii="inherit" w:hAnsi="inherit"/>
          <w:sz w:val="18"/>
        </w:rPr>
      </w:pPr>
      <w:r>
        <w:rPr>
          <w:rFonts w:ascii="inherit" w:hAnsi="inherit"/>
          <w:sz w:val="18"/>
        </w:rPr>
        <w:t>This notice is being furnished to you pursuant to Rule 104 of Regulation BTR at least 15 days prior to the beginning of the Blackout Period.</w:t>
      </w:r>
    </w:p>
    <w:tbl>
      <w:tblPr>
        <w:tblW w:w="6363" w:type="dxa"/>
        <w:jc w:val="center"/>
        <w:tblInd w:w="0" w:type="dxa"/>
        <w:tblCellMar>
          <w:top w:w="0" w:type="dxa"/>
          <w:left w:w="0" w:type="dxa"/>
          <w:bottom w:w="0" w:type="dxa"/>
          <w:right w:w="0" w:type="dxa"/>
        </w:tblCellMar>
      </w:tblPr>
      <w:tblGrid>
        <w:gridCol w:w="3627"/>
        <w:gridCol w:w="2736"/>
      </w:tblGrid>
      <w:tr>
        <w:trPr/>
        <w:tc>
          <w:tcPr>
            <w:tcW w:w="6363" w:type="dxa"/>
            <w:gridSpan w:val="2"/>
            <w:tcBorders/>
            <w:shd w:fill="auto" w:val="clear"/>
            <w:vAlign w:val="center"/>
          </w:tcPr>
          <w:p>
            <w:pPr>
              <w:pStyle w:val="TableContents"/>
              <w:spacing w:before="0" w:after="283"/>
              <w:rPr>
                <w:sz w:val="4"/>
                <w:szCs w:val="4"/>
              </w:rPr>
            </w:pPr>
            <w:r>
              <w:rPr>
                <w:sz w:val="4"/>
                <w:szCs w:val="4"/>
              </w:rPr>
            </w:r>
          </w:p>
        </w:tc>
      </w:tr>
      <w:tr>
        <w:trPr/>
        <w:tc>
          <w:tcPr>
            <w:tcW w:w="3627" w:type="dxa"/>
            <w:tcBorders/>
            <w:shd w:fill="auto" w:val="clear"/>
            <w:vAlign w:val="center"/>
          </w:tcPr>
          <w:p>
            <w:pPr>
              <w:pStyle w:val="TableContents"/>
              <w:spacing w:before="0" w:after="283"/>
              <w:rPr>
                <w:sz w:val="4"/>
                <w:szCs w:val="4"/>
              </w:rPr>
            </w:pPr>
            <w:r>
              <w:rPr>
                <w:sz w:val="4"/>
                <w:szCs w:val="4"/>
              </w:rPr>
            </w:r>
          </w:p>
        </w:tc>
        <w:tc>
          <w:tcPr>
            <w:tcW w:w="27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rPr/>
            </w:pPr>
            <w:r>
              <w:rPr/>
              <w:t> </w:t>
            </w:r>
          </w:p>
        </w:tc>
      </w:tr>
      <w:tr>
        <w:trPr/>
        <w:tc>
          <w:tcPr>
            <w:tcW w:w="362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By:</w:t>
            </w:r>
          </w:p>
        </w:tc>
        <w:tc>
          <w:tcPr>
            <w:tcW w:w="273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THOMAS H. WELCH, JR.</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General Counsel and Secretary</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rPr/>
            </w:pPr>
            <w:r>
              <w:rPr/>
              <w:t> </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1901 Capital Parkway</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Austin, Texas 78746</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rPr/>
            </w:pPr>
            <w:r>
              <w:rPr/>
              <w:t> </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512.314.3409 (telephone)</w:t>
            </w:r>
          </w:p>
        </w:tc>
      </w:tr>
      <w:tr>
        <w:trPr/>
        <w:tc>
          <w:tcPr>
            <w:tcW w:w="3627" w:type="dxa"/>
            <w:tcBorders/>
            <w:shd w:fill="auto" w:val="clear"/>
            <w:vAlign w:val="center"/>
          </w:tcPr>
          <w:p>
            <w:pPr>
              <w:pStyle w:val="TableContents"/>
              <w:spacing w:before="0" w:after="0"/>
              <w:ind w:left="0" w:right="0" w:firstLine="30"/>
              <w:rPr/>
            </w:pPr>
            <w:r>
              <w:rPr/>
              <w:t> </w:t>
            </w:r>
          </w:p>
        </w:tc>
        <w:tc>
          <w:tcPr>
            <w:tcW w:w="2736" w:type="dxa"/>
            <w:tcBorders/>
            <w:shd w:fill="auto" w:val="clear"/>
            <w:vAlign w:val="center"/>
          </w:tcPr>
          <w:p>
            <w:pPr>
              <w:pStyle w:val="TableContents"/>
              <w:spacing w:before="0" w:after="0"/>
              <w:jc w:val="left"/>
              <w:rPr>
                <w:rFonts w:ascii="inherit" w:hAnsi="inherit"/>
                <w:sz w:val="17"/>
              </w:rPr>
            </w:pPr>
            <w:r>
              <w:rPr>
                <w:rFonts w:ascii="inherit" w:hAnsi="inherit"/>
                <w:sz w:val="17"/>
              </w:rPr>
              <w:t>tom_welch@ezcorp.com (email)</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784</Words>
  <CharactersWithSpaces>5145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