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26739bbe8vk.txt"/>
      <w:bookmarkStart w:id="1" w:name="ksd26739bbe8vk"/>
      <w:bookmarkStart w:id="2" w:name="d26739bbe8vk.txt"/>
      <w:bookmarkStart w:id="3" w:name="ksd26739bbe8vk"/>
      <w:bookmarkEnd w:id="2"/>
      <w:bookmarkEnd w:id="3"/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  <w:t xml:space="preserve">   </w:t>
      </w:r>
      <w:r>
        <w:rPr/>
        <w:t>Pursuant to Section 13 or 15(d) of the Securities and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DATE OF REPORT (DATE OF EARLIEST EVENT REPORTED):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MAY 10,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DELAWARE</w:t>
      </w:r>
    </w:p>
    <w:p>
      <w:pPr>
        <w:pStyle w:val="PreformattedText"/>
        <w:rPr/>
      </w:pPr>
      <w:r>
        <w:rPr/>
        <w:t xml:space="preserve">                 </w:t>
      </w:r>
      <w:r>
        <w:rPr/>
        <w:t>(STATE OR OTHER JURISDICTION OF INCORPORATION)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33-63078 74-2540145</w:t>
      </w:r>
    </w:p>
    <w:p>
      <w:pPr>
        <w:pStyle w:val="PreformattedText"/>
        <w:rPr/>
      </w:pPr>
      <w:r>
        <w:rPr/>
        <w:t xml:space="preserve">           </w:t>
      </w:r>
      <w:r>
        <w:rPr/>
        <w:t>(COMMISSION FILE NUMBER) (IRS EMPLOYER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AUSTIN, TEXAS 78746</w:t>
      </w:r>
    </w:p>
    <w:p>
      <w:pPr>
        <w:pStyle w:val="PreformattedText"/>
        <w:rPr/>
      </w:pPr>
      <w:r>
        <w:rPr/>
        <w:t xml:space="preserve">           </w:t>
      </w:r>
      <w:r>
        <w:rPr/>
        <w:t>(ADDRESS OF PRINCIPAL EXECUTIVE OFFICE, INCLUDING 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  <w:t xml:space="preserve">              </w:t>
      </w:r>
      <w:r>
        <w:rPr/>
        <w:t>(REGISTRANT'S TELEPHONE NUMBER, INCLUDING AREA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 (see General Instruction A.2. below):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Written communications pursuant to Rule 425 under the Securities Act (17 CFR</w:t>
      </w:r>
    </w:p>
    <w:p>
      <w:pPr>
        <w:pStyle w:val="PreformattedText"/>
        <w:rPr/>
      </w:pPr>
      <w:r>
        <w:rPr/>
        <w:t>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Soliciting material pursuant to Rule 14a-12 under the Exchange Act (17 CFR</w:t>
      </w:r>
    </w:p>
    <w:p>
      <w:pPr>
        <w:pStyle w:val="PreformattedText"/>
        <w:rPr/>
      </w:pPr>
      <w:r>
        <w:rPr/>
        <w:t>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Pre-commencement communications pursuant to Rule 14d-2(b) under the Exchange</w:t>
      </w:r>
    </w:p>
    <w:p>
      <w:pPr>
        <w:pStyle w:val="PreformattedText"/>
        <w:rPr/>
      </w:pPr>
      <w:r>
        <w:rPr/>
        <w:t>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Pre-commencement communications pursuant to Rule 13e-4(c) under the Exchange</w:t>
      </w:r>
    </w:p>
    <w:p>
      <w:pPr>
        <w:pStyle w:val="PreformattedText"/>
        <w:rPr/>
      </w:pPr>
      <w:r>
        <w:rPr/>
        <w:t>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4.01.  CHANGES IN REGISTRANT'S CERTIFYING ACCOUNTANT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June 30, 2005, the EZCORP, Inc. 401(k) Plan and Trust (the "Plan") dismissed</w:t>
      </w:r>
    </w:p>
    <w:p>
      <w:pPr>
        <w:pStyle w:val="PreformattedText"/>
        <w:rPr/>
      </w:pPr>
      <w:r>
        <w:rPr/>
        <w:t>Ernst &amp; Young LLP as its independent registered public accounting firm. The</w:t>
      </w:r>
    </w:p>
    <w:p>
      <w:pPr>
        <w:pStyle w:val="PreformattedText"/>
        <w:rPr/>
      </w:pPr>
      <w:r>
        <w:rPr/>
        <w:t>Plan's Administrative Committee participated in and approved the decision to</w:t>
      </w:r>
    </w:p>
    <w:p>
      <w:pPr>
        <w:pStyle w:val="PreformattedText"/>
        <w:rPr/>
      </w:pPr>
      <w:r>
        <w:rPr/>
        <w:t>change the independent registered public accounting firm.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audit reports of Ernst &amp; Young LLP on the Plan's financial statements for</w:t>
      </w:r>
    </w:p>
    <w:p>
      <w:pPr>
        <w:pStyle w:val="PreformattedText"/>
        <w:rPr/>
      </w:pPr>
      <w:r>
        <w:rPr/>
        <w:t>the past two fiscal years did not contain any adverse opinion or disclaimer of</w:t>
      </w:r>
    </w:p>
    <w:p>
      <w:pPr>
        <w:pStyle w:val="PreformattedText"/>
        <w:rPr/>
      </w:pPr>
      <w:r>
        <w:rPr/>
        <w:t>opinion, nor were they qualified or modified as to uncertainty, audit scope, or</w:t>
      </w:r>
    </w:p>
    <w:p>
      <w:pPr>
        <w:pStyle w:val="PreformattedText"/>
        <w:rPr/>
      </w:pPr>
      <w:r>
        <w:rPr/>
        <w:t>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Plan's two most recent fiscal periods ended September 30, 2003 and</w:t>
      </w:r>
    </w:p>
    <w:p>
      <w:pPr>
        <w:pStyle w:val="PreformattedText"/>
        <w:rPr/>
      </w:pPr>
      <w:r>
        <w:rPr/>
        <w:t>December 31, 2003, and the subsequent interim period through June 30, 2005,</w:t>
      </w:r>
    </w:p>
    <w:p>
      <w:pPr>
        <w:pStyle w:val="PreformattedText"/>
        <w:rPr/>
      </w:pPr>
      <w:r>
        <w:rPr/>
        <w:t>there were no disagreements between the Plan and Ernst &amp; Young LLP on any matter</w:t>
      </w:r>
    </w:p>
    <w:p>
      <w:pPr>
        <w:pStyle w:val="PreformattedText"/>
        <w:rPr/>
      </w:pPr>
      <w:r>
        <w:rPr/>
        <w:t>of accounting principles or practices, financial statement disclosure, or</w:t>
      </w:r>
    </w:p>
    <w:p>
      <w:pPr>
        <w:pStyle w:val="PreformattedText"/>
        <w:rPr/>
      </w:pPr>
      <w:r>
        <w:rPr/>
        <w:t>auditing scope or procedure (within the meaning of Item 304(a)(1)(iv) of</w:t>
      </w:r>
    </w:p>
    <w:p>
      <w:pPr>
        <w:pStyle w:val="PreformattedText"/>
        <w:rPr/>
      </w:pPr>
      <w:r>
        <w:rPr/>
        <w:t>Regulation S-K), which disagreements if not resolved to the satisfaction of</w:t>
      </w:r>
    </w:p>
    <w:p>
      <w:pPr>
        <w:pStyle w:val="PreformattedText"/>
        <w:rPr/>
      </w:pPr>
      <w:r>
        <w:rPr/>
        <w:t>Ernst &amp; Young LLP would have caused them to make reference thereto in their</w:t>
      </w:r>
    </w:p>
    <w:p>
      <w:pPr>
        <w:pStyle w:val="PreformattedText"/>
        <w:rPr/>
      </w:pPr>
      <w:r>
        <w:rPr/>
        <w:t>reports on the financials statements for such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Plan's two most recent fiscal periods ended September 30, 2003 and</w:t>
      </w:r>
    </w:p>
    <w:p>
      <w:pPr>
        <w:pStyle w:val="PreformattedText"/>
        <w:rPr/>
      </w:pPr>
      <w:r>
        <w:rPr/>
        <w:t>December 31, 2003, and the subsequent interim period through June 30, 2005,</w:t>
      </w:r>
    </w:p>
    <w:p>
      <w:pPr>
        <w:pStyle w:val="PreformattedText"/>
        <w:rPr/>
      </w:pPr>
      <w:r>
        <w:rPr/>
        <w:t>there have been no "reportable events" (as defined by Item 304(a)(1)(v) of</w:t>
      </w:r>
    </w:p>
    <w:p>
      <w:pPr>
        <w:pStyle w:val="PreformattedText"/>
        <w:rPr/>
      </w:pPr>
      <w:r>
        <w:rPr/>
        <w:t>Regulation S-K).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Plan has requested that Ernst &amp; Young LLP furnish it with a letter addressed</w:t>
      </w:r>
    </w:p>
    <w:p>
      <w:pPr>
        <w:pStyle w:val="PreformattedText"/>
        <w:rPr/>
      </w:pPr>
      <w:r>
        <w:rPr/>
        <w:t>to the Securities and Exchange Commission stating whether it agrees with the</w:t>
      </w:r>
    </w:p>
    <w:p>
      <w:pPr>
        <w:pStyle w:val="PreformattedText"/>
        <w:rPr/>
      </w:pPr>
      <w:r>
        <w:rPr/>
        <w:t>above statements. A copy of such letter, dated June 30, 2005, is filed as</w:t>
      </w:r>
    </w:p>
    <w:p>
      <w:pPr>
        <w:pStyle w:val="PreformattedText"/>
        <w:rPr/>
      </w:pPr>
      <w:r>
        <w:rPr/>
        <w:t>Exhibit 16.1 to this Form 8-K.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Plan's Administrative Committee engaged BDO Seidman LLP as its new</w:t>
      </w:r>
    </w:p>
    <w:p>
      <w:pPr>
        <w:pStyle w:val="PreformattedText"/>
        <w:rPr/>
      </w:pPr>
      <w:r>
        <w:rPr/>
        <w:t>independent registered public accounting firm as of May 10, 2005. During the</w:t>
      </w:r>
    </w:p>
    <w:p>
      <w:pPr>
        <w:pStyle w:val="PreformattedText"/>
        <w:rPr/>
      </w:pPr>
      <w:r>
        <w:rPr/>
        <w:t>Plan's two most recent fiscal periods ended September 30, 2003 and December 31,</w:t>
      </w:r>
    </w:p>
    <w:p>
      <w:pPr>
        <w:pStyle w:val="PreformattedText"/>
        <w:rPr/>
      </w:pPr>
      <w:r>
        <w:rPr/>
        <w:t>2003, and the subsequent interim period through May 10, 2005, neither the Plan</w:t>
      </w:r>
    </w:p>
    <w:p>
      <w:pPr>
        <w:pStyle w:val="PreformattedText"/>
        <w:rPr/>
      </w:pPr>
      <w:r>
        <w:rPr/>
        <w:t>nor anyone on its behalf consulted with BDO Seidman LLP regarding any of the</w:t>
      </w:r>
    </w:p>
    <w:p>
      <w:pPr>
        <w:pStyle w:val="PreformattedText"/>
        <w:rPr/>
      </w:pPr>
      <w:r>
        <w:rPr/>
        <w:t>matters or events set forth in Item 304(a)(2)(i) and (ii) of Regulation S-K.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9.01.  FINANCIAL STATEMENTS AND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Financial Statements of Business Acquired.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Pro Forma Financial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Exhibit Number   Exhibit Description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16.1         Letter from Ernst &amp; Young LLP to the Securities and Exchange</w:t>
      </w:r>
    </w:p>
    <w:p>
      <w:pPr>
        <w:pStyle w:val="PreformattedText"/>
        <w:rPr/>
      </w:pPr>
      <w:r>
        <w:rPr/>
        <w:t xml:space="preserve">                  </w:t>
      </w:r>
      <w:r>
        <w:rPr/>
        <w:t>Commission dated June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June 30, 2005                          By:   /s/ Daniel N. Tonissen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EZCORP, Inc. 401(k) Plan and Trust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Administrative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d26739bbexv16w1.txt"/>
      <w:bookmarkStart w:id="5" w:name="ksd26739bbexv16w1"/>
      <w:bookmarkStart w:id="6" w:name="d26739bbexv16w1.txt"/>
      <w:bookmarkStart w:id="7" w:name="ksd26739bbexv16w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16.1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June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&amp; Exchange Commission</w:t>
      </w:r>
    </w:p>
    <w:p>
      <w:pPr>
        <w:pStyle w:val="PreformattedText"/>
        <w:rPr/>
      </w:pPr>
      <w:r>
        <w:rPr/>
        <w:t>450 Fifth Street, N.W.</w:t>
      </w:r>
    </w:p>
    <w:p>
      <w:pPr>
        <w:pStyle w:val="PreformattedText"/>
        <w:rPr/>
      </w:pPr>
      <w:r>
        <w:rPr/>
        <w:t>Washington, D.C. 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read Item 4.01 of Form 8-K dated May 10, 2005, of the EZCORP, Inc.</w:t>
      </w:r>
    </w:p>
    <w:p>
      <w:pPr>
        <w:pStyle w:val="PreformattedText"/>
        <w:rPr/>
      </w:pPr>
      <w:r>
        <w:rPr/>
        <w:t>401(k) Plan and Trust, and are in agreement with the statements contained in the</w:t>
      </w:r>
    </w:p>
    <w:p>
      <w:pPr>
        <w:pStyle w:val="PreformattedText"/>
        <w:rPr/>
      </w:pPr>
      <w:r>
        <w:rPr/>
        <w:t>first sentence of paragraph 1, and paragraphs 2, 3, 4, and 5 in their entirety.</w:t>
      </w:r>
    </w:p>
    <w:p>
      <w:pPr>
        <w:pStyle w:val="PreformattedText"/>
        <w:rPr/>
      </w:pPr>
      <w:r>
        <w:rPr/>
        <w:t>We have no basis to agree or disagree with other statements of the registrant</w:t>
      </w:r>
    </w:p>
    <w:p>
      <w:pPr>
        <w:pStyle w:val="PreformattedText"/>
        <w:rPr/>
      </w:pPr>
      <w:r>
        <w:rPr/>
        <w:t>contained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Ernst &amp; Young LLP</w:t>
      </w:r>
    </w:p>
    <w:p>
      <w:pPr>
        <w:pStyle w:val="PreformattedText"/>
        <w:spacing w:before="0" w:after="283"/>
        <w:rPr/>
      </w:pPr>
      <w:r>
        <w:rPr/>
        <w:t>ERNST &amp; YOUNG LLP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726</Words>
  <CharactersWithSpaces>5559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