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9"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06"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 2025</w:t>
      </w:r>
    </w:p>
    <w:p>
      <w:pPr>
        <w:spacing w:after="0" w:line="179"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EZCORP, Inc.</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7"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140" w:lineRule="exact"/>
        <w:rPr>
          <w:sz w:val="24"/>
          <w:szCs w:val="24"/>
          <w:color w:val="auto"/>
        </w:rPr>
      </w:pPr>
    </w:p>
    <w:tbl>
      <w:tblPr>
        <w:tblLayout w:type="fixed"/>
        <w:tblInd w:w="1000" w:type="dxa"/>
        <w:tblCellMar>
          <w:top w:w="0" w:type="dxa"/>
          <w:left w:w="0" w:type="dxa"/>
          <w:bottom w:w="0" w:type="dxa"/>
          <w:right w:w="0" w:type="dxa"/>
        </w:tblCellMar>
      </w:tblPr>
      <w:tr>
        <w:trPr>
          <w:trHeight w:val="227"/>
        </w:trPr>
        <w:tc>
          <w:tcPr>
            <w:tcW w:w="1820" w:type="dxa"/>
            <w:vAlign w:val="bottom"/>
          </w:tcPr>
          <w:p>
            <w:pPr>
              <w:jc w:val="center"/>
              <w:ind w:right="10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74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0-19424</w:t>
            </w:r>
          </w:p>
        </w:tc>
        <w:tc>
          <w:tcPr>
            <w:tcW w:w="1420" w:type="dxa"/>
            <w:vAlign w:val="bottom"/>
          </w:tcPr>
          <w:p>
            <w:pPr>
              <w:jc w:val="center"/>
              <w:ind w:left="202"/>
              <w:spacing w:after="0"/>
              <w:rPr>
                <w:sz w:val="20"/>
                <w:szCs w:val="20"/>
                <w:color w:val="auto"/>
              </w:rPr>
            </w:pPr>
            <w:r>
              <w:rPr>
                <w:rFonts w:ascii="Times New Roman" w:cs="Times New Roman" w:eastAsia="Times New Roman" w:hAnsi="Times New Roman"/>
                <w:sz w:val="18"/>
                <w:szCs w:val="18"/>
                <w:b w:val="1"/>
                <w:bCs w:val="1"/>
                <w:color w:val="auto"/>
                <w:w w:val="98"/>
              </w:rPr>
              <w:t>74-2540145</w:t>
            </w:r>
          </w:p>
        </w:tc>
      </w:tr>
      <w:tr>
        <w:trPr>
          <w:trHeight w:val="146"/>
        </w:trPr>
        <w:tc>
          <w:tcPr>
            <w:tcW w:w="1820" w:type="dxa"/>
            <w:vAlign w:val="bottom"/>
          </w:tcPr>
          <w:p>
            <w:pPr>
              <w:jc w:val="center"/>
              <w:ind w:right="102"/>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740" w:type="dxa"/>
            <w:vAlign w:val="bottom"/>
          </w:tcPr>
          <w:p>
            <w:pPr>
              <w:jc w:val="center"/>
              <w:ind w:right="78"/>
              <w:spacing w:after="0" w:line="146"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420" w:type="dxa"/>
            <w:vAlign w:val="bottom"/>
          </w:tcPr>
          <w:p>
            <w:pPr>
              <w:jc w:val="center"/>
              <w:ind w:left="202"/>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82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74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420" w:type="dxa"/>
            <w:vAlign w:val="bottom"/>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85"/>
        </w:trPr>
        <w:tc>
          <w:tcPr>
            <w:tcW w:w="182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w w:val="99"/>
              </w:rPr>
              <w:t>2500 Bee Cave Road, Bldg One, Suite 200, Rollingwood, Texas 78746</w:t>
            </w:r>
          </w:p>
        </w:tc>
        <w:tc>
          <w:tcPr>
            <w:tcW w:w="1420" w:type="dxa"/>
            <w:vAlign w:val="bottom"/>
          </w:tcPr>
          <w:p>
            <w:pPr>
              <w:spacing w:after="0"/>
              <w:rPr>
                <w:sz w:val="24"/>
                <w:szCs w:val="24"/>
                <w:color w:val="auto"/>
              </w:rPr>
            </w:pPr>
          </w:p>
        </w:tc>
      </w:tr>
      <w:tr>
        <w:trPr>
          <w:trHeight w:val="190"/>
        </w:trPr>
        <w:tc>
          <w:tcPr>
            <w:tcW w:w="1820" w:type="dxa"/>
            <w:vAlign w:val="bottom"/>
          </w:tcPr>
          <w:p>
            <w:pPr>
              <w:spacing w:after="0"/>
              <w:rPr>
                <w:sz w:val="16"/>
                <w:szCs w:val="16"/>
                <w:color w:val="auto"/>
              </w:rPr>
            </w:pPr>
          </w:p>
        </w:tc>
        <w:tc>
          <w:tcPr>
            <w:tcW w:w="574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420" w:type="dxa"/>
            <w:vAlign w:val="bottom"/>
          </w:tcPr>
          <w:p>
            <w:pPr>
              <w:spacing w:after="0"/>
              <w:rPr>
                <w:sz w:val="16"/>
                <w:szCs w:val="16"/>
                <w:color w:val="auto"/>
              </w:rPr>
            </w:pPr>
          </w:p>
        </w:tc>
      </w:tr>
      <w:tr>
        <w:trPr>
          <w:trHeight w:val="388"/>
        </w:trPr>
        <w:tc>
          <w:tcPr>
            <w:tcW w:w="1820" w:type="dxa"/>
            <w:vAlign w:val="bottom"/>
          </w:tcPr>
          <w:p>
            <w:pPr>
              <w:spacing w:after="0"/>
              <w:rPr>
                <w:sz w:val="24"/>
                <w:szCs w:val="24"/>
                <w:color w:val="auto"/>
              </w:rPr>
            </w:pPr>
          </w:p>
        </w:tc>
        <w:tc>
          <w:tcPr>
            <w:tcW w:w="574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(512) 314-3400</w:t>
            </w:r>
          </w:p>
        </w:tc>
        <w:tc>
          <w:tcPr>
            <w:tcW w:w="1420" w:type="dxa"/>
            <w:vAlign w:val="bottom"/>
          </w:tcPr>
          <w:p>
            <w:pPr>
              <w:spacing w:after="0"/>
              <w:rPr>
                <w:sz w:val="24"/>
                <w:szCs w:val="24"/>
                <w:color w:val="auto"/>
              </w:rPr>
            </w:pPr>
          </w:p>
        </w:tc>
      </w:tr>
      <w:tr>
        <w:trPr>
          <w:trHeight w:val="283"/>
        </w:trPr>
        <w:tc>
          <w:tcPr>
            <w:tcW w:w="182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tc>
        <w:tc>
          <w:tcPr>
            <w:tcW w:w="1420" w:type="dxa"/>
            <w:vAlign w:val="bottom"/>
          </w:tcPr>
          <w:p>
            <w:pPr>
              <w:spacing w:after="0"/>
              <w:rPr>
                <w:sz w:val="24"/>
                <w:szCs w:val="24"/>
                <w:color w:val="auto"/>
              </w:rPr>
            </w:pPr>
          </w:p>
        </w:tc>
      </w:tr>
    </w:tbl>
    <w:p>
      <w:pPr>
        <w:spacing w:after="0" w:line="7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86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4"/>
                <w:szCs w:val="24"/>
                <w:color w:val="auto"/>
              </w:rPr>
            </w:pPr>
          </w:p>
        </w:tc>
        <w:tc>
          <w:tcPr>
            <w:tcW w:w="1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120" w:type="dxa"/>
            <w:vAlign w:val="bottom"/>
          </w:tcPr>
          <w:p>
            <w:pPr>
              <w:spacing w:after="0"/>
              <w:rPr>
                <w:sz w:val="24"/>
                <w:szCs w:val="24"/>
                <w:color w:val="auto"/>
              </w:rPr>
            </w:pPr>
          </w:p>
        </w:tc>
        <w:tc>
          <w:tcPr>
            <w:tcW w:w="46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13"/>
        </w:trPr>
        <w:tc>
          <w:tcPr>
            <w:tcW w:w="20" w:type="dxa"/>
            <w:vAlign w:val="bottom"/>
          </w:tcPr>
          <w:p>
            <w:pPr>
              <w:spacing w:after="0"/>
              <w:rPr>
                <w:sz w:val="18"/>
                <w:szCs w:val="18"/>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 A Non-voting Common Stock, par value $.01 per share</w:t>
            </w: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EZPW</w:t>
            </w:r>
          </w:p>
        </w:tc>
        <w:tc>
          <w:tcPr>
            <w:tcW w:w="1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NASDAQ Stock Market</w:t>
            </w:r>
          </w:p>
        </w:tc>
        <w:tc>
          <w:tcPr>
            <w:tcW w:w="28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r>
    </w:tbl>
    <w:p>
      <w:pPr>
        <w:spacing w:after="0" w:line="343"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0" w:lineRule="exact"/>
        <w:rPr>
          <w:sz w:val="24"/>
          <w:szCs w:val="24"/>
          <w:color w:val="auto"/>
        </w:rPr>
      </w:pPr>
    </w:p>
    <w:p>
      <w:pPr>
        <w:ind w:left="86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31"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681355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 Regulation FD Disclosure</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May 1, 2025, the Company announced the retirement of its 2.375% Convertible Senior Notes Due 2025 in accordance with their terms. Holders converted approximately $97 million in principal amount of the 2025 Notes into approximately 6.1 million shares of EZCORP Class A Common Stock. The Company repaid the remaining principal balance of the notes in cash of approximately $6.4 million, together with payments of interest and payments of cash in lieu of fractional shares in the aggregate total of $1.2 million.</w:t>
      </w:r>
    </w:p>
    <w:p>
      <w:pPr>
        <w:spacing w:after="0" w:line="12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notes were issued in 2018 and matured on May 1, 2025. A copy of the Company's press release announcing such retirement is attached hereto as Exhibit 99.1.</w:t>
      </w:r>
    </w:p>
    <w:p>
      <w:pPr>
        <w:spacing w:after="0" w:line="10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information set forth, or referred to, in this Item 7.01 (including Exhibit 99.1) shall not be deemed "filed" for purposes of the Securities Exchange Act of 1934 or otherwise subject to the liabilities of that section, and shall not be deemed to be incorporated by reference into any registration statement or other filing made by EZCORP under the Securities Act of 1933 or the Securities Exchange Act of 1934, unless such subsequent filing specifically references this Item 7.01 of this Report.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310" w:lineRule="exact"/>
        <w:rPr>
          <w:sz w:val="20"/>
          <w:szCs w:val="20"/>
          <w:color w:val="auto"/>
        </w:rPr>
      </w:pPr>
    </w:p>
    <w:p>
      <w:pPr>
        <w:ind w:left="480" w:hanging="454"/>
        <w:spacing w:after="0"/>
        <w:tabs>
          <w:tab w:leader="none" w:pos="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93" w:lineRule="exact"/>
        <w:rPr>
          <w:sz w:val="20"/>
          <w:szCs w:val="20"/>
          <w:color w:val="auto"/>
        </w:rPr>
      </w:pPr>
    </w:p>
    <w:p>
      <w:pPr>
        <w:ind w:left="200"/>
        <w:spacing w:after="0"/>
        <w:tabs>
          <w:tab w:leader="none" w:pos="7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dated May 1, 2025, announcing the retirement of $103.4 Million Convertible Notes</w:t>
      </w:r>
    </w:p>
    <w:p>
      <w:pPr>
        <w:spacing w:after="0" w:line="27" w:lineRule="exact"/>
        <w:rPr>
          <w:sz w:val="20"/>
          <w:szCs w:val="20"/>
          <w:color w:val="auto"/>
        </w:rPr>
      </w:pPr>
    </w:p>
    <w:p>
      <w:pPr>
        <w:ind w:left="220"/>
        <w:spacing w:after="0"/>
        <w:tabs>
          <w:tab w:leader="none" w:pos="700" w:val="left"/>
        </w:tabs>
        <w:rPr>
          <w:sz w:val="20"/>
          <w:szCs w:val="20"/>
          <w:color w:val="auto"/>
        </w:rPr>
      </w:pPr>
      <w:r>
        <w:rPr>
          <w:rFonts w:ascii="Times New Roman" w:cs="Times New Roman" w:eastAsia="Times New Roman" w:hAnsi="Times New Roman"/>
          <w:sz w:val="18"/>
          <w:szCs w:val="18"/>
          <w:color w:val="auto"/>
        </w:rPr>
        <w:t>104</w:t>
        <w:tab/>
        <w:t>Cover Page Interactive Data File (embedded within the Inline XBRL document)</w:t>
      </w: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736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EZCORP, INC.</w:t>
            </w:r>
          </w:p>
        </w:tc>
      </w:tr>
      <w:tr>
        <w:trPr>
          <w:trHeight w:val="28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Date:   May 1, 2025</w:t>
            </w:r>
          </w:p>
        </w:tc>
        <w:tc>
          <w:tcPr>
            <w:tcW w:w="304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Ellen Bryant</w:t>
            </w:r>
          </w:p>
        </w:tc>
      </w:tr>
      <w:tr>
        <w:trPr>
          <w:trHeight w:val="218"/>
        </w:trPr>
        <w:tc>
          <w:tcPr>
            <w:tcW w:w="38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Ellen Bryant</w:t>
            </w:r>
          </w:p>
        </w:tc>
      </w:tr>
      <w:tr>
        <w:trPr>
          <w:trHeight w:val="234"/>
        </w:trPr>
        <w:tc>
          <w:tcPr>
            <w:tcW w:w="38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 and Secretary</w:t>
            </w:r>
          </w:p>
        </w:tc>
      </w:tr>
    </w:tbl>
    <w:p>
      <w:pPr>
        <w:sectPr>
          <w:pgSz w:w="11900" w:h="16838" w:orient="portrait"/>
          <w:cols w:equalWidth="0" w:num="1">
            <w:col w:w="11200"/>
          </w:cols>
          <w:pgMar w:left="320" w:top="1049" w:right="37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2771140</wp:posOffset>
            </wp:positionH>
            <wp:positionV relativeFrom="page">
              <wp:posOffset>911860</wp:posOffset>
            </wp:positionV>
            <wp:extent cx="2005965" cy="3086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0596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EZCORP Announces Retirement of $103.4 Million Convertible Notes</w:t>
      </w:r>
    </w:p>
    <w:p>
      <w:pPr>
        <w:spacing w:after="0" w:line="17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b w:val="1"/>
          <w:bCs w:val="1"/>
          <w:color w:val="auto"/>
        </w:rPr>
        <w:t xml:space="preserve">Austin, Texas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May 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2025</w:t>
      </w:r>
      <w:r>
        <w:rPr>
          <w:rFonts w:ascii="Times New Roman" w:cs="Times New Roman" w:eastAsia="Times New Roman" w:hAnsi="Times New Roman"/>
          <w:sz w:val="18"/>
          <w:szCs w:val="18"/>
          <w:color w:val="auto"/>
        </w:rPr>
        <w:t>) - EZCORP, Inc. (NASDAQ: EZPW) (the “Company”), a leading provider of pawn transactions in the United States and Latin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America, announced today the retirement of its $103.4 million aggregate principal amount outstanding of 2.375% Convertible Senior Notes Due 2025 (the “2025 Notes”). The 2025 Notes were issued in 2018 with a maturity date of May 1, 2025.</w:t>
      </w:r>
    </w:p>
    <w:p>
      <w:pPr>
        <w:spacing w:after="0" w:line="207"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color w:val="auto"/>
        </w:rPr>
        <w:t>In connection with the Company’s election of physical settlement made in October 2024, holders had the right to convert their 2025 Notes into 62.8931 shares of EZCORP Class A Common Stock per $1,000 principal amount (equivalent to the conversion price of $15.90 per share) through April 30, 2025. Holders converted approximately $97.0 million in principal amount of the 2025 Notes into approximately 6.1 million shares of EZCORP Class A Common Stock. The Company repaid the remaining principal balance of the notes in cash of approximately $6.4 million, together with payments of interest and cash in lieu of fractional shares of $1.2 million.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EZCORP</w:t>
      </w:r>
    </w:p>
    <w:p>
      <w:pPr>
        <w:spacing w:after="0" w:line="40"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Formed in 1989, EZCORP has grown into a leading provider of pawn transactions in the United States and Latin America. We also sell pre-owned and recycled merchandise, primarily collateral forfeited from pawn lending operations and merchandise purchased from customers. We are dedicated to satisfying the short-term cash needs of consumers who are both cash and credit constrained, focusing on an industry-leading customer experience. EZCORP is traded on NASDAQ under the symbol EZPW and is a member of the S&amp;P 1000 Index and Nasdaq Composite Index.</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Investor_Relations@ezcorp.com</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(512) 314-2220</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2025-05-01T16:21:12Z</dcterms:created>
  <dcterms:modified xsi:type="dcterms:W3CDTF">2025-05-01T16:21:12Z</dcterms:modified>
</cp:coreProperties>
</file>