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55"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04"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1, 2023</w:t>
      </w:r>
    </w:p>
    <w:p>
      <w:pPr>
        <w:spacing w:after="0" w:line="84"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1820" w:type="dxa"/>
            <w:vAlign w:val="bottom"/>
          </w:tcPr>
          <w:p>
            <w:pPr>
              <w:jc w:val="center"/>
              <w:ind w:right="10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74-2540145</w:t>
            </w:r>
          </w:p>
        </w:tc>
      </w:tr>
      <w:tr>
        <w:trPr>
          <w:trHeight w:val="149"/>
        </w:trPr>
        <w:tc>
          <w:tcPr>
            <w:tcW w:w="18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2"/>
              </w:rPr>
              <w:t>(Commission</w:t>
            </w:r>
          </w:p>
        </w:tc>
        <w:tc>
          <w:tcPr>
            <w:tcW w:w="1420" w:type="dxa"/>
            <w:vAlign w:val="bottom"/>
          </w:tcPr>
          <w:p>
            <w:pPr>
              <w:jc w:val="center"/>
              <w:ind w:left="20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2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r>
      <w:tr>
        <w:trPr>
          <w:trHeight w:val="300"/>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2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(zip code)</w:t>
            </w:r>
          </w:p>
        </w:tc>
        <w:tc>
          <w:tcPr>
            <w:tcW w:w="1420" w:type="dxa"/>
            <w:vAlign w:val="bottom"/>
          </w:tcPr>
          <w:p>
            <w:pPr>
              <w:spacing w:after="0"/>
              <w:rPr>
                <w:sz w:val="16"/>
                <w:szCs w:val="16"/>
                <w:color w:val="auto"/>
              </w:rPr>
            </w:pPr>
          </w:p>
        </w:tc>
      </w:tr>
      <w:tr>
        <w:trPr>
          <w:trHeight w:val="377"/>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297"/>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Arial" w:cs="Arial" w:eastAsia="Arial" w:hAnsi="Arial"/>
                <w:sz w:val="18"/>
                <w:szCs w:val="18"/>
                <w:color w:val="auto"/>
                <w:w w:val="90"/>
              </w:rPr>
              <w:t>_______________________________________________________</w:t>
            </w:r>
          </w:p>
        </w:tc>
        <w:tc>
          <w:tcPr>
            <w:tcW w:w="1420" w:type="dxa"/>
            <w:vAlign w:val="bottom"/>
          </w:tcPr>
          <w:p>
            <w:pPr>
              <w:spacing w:after="0"/>
              <w:rPr>
                <w:sz w:val="24"/>
                <w:szCs w:val="24"/>
                <w:color w:val="auto"/>
              </w:rPr>
            </w:pPr>
          </w:p>
        </w:tc>
      </w:tr>
    </w:tbl>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5"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11"/>
        </w:trPr>
        <w:tc>
          <w:tcPr>
            <w:tcW w:w="47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Arial" w:cs="Arial" w:eastAsia="Arial" w:hAnsi="Arial"/>
                <w:sz w:val="14"/>
                <w:szCs w:val="14"/>
                <w:b w:val="1"/>
                <w:bCs w:val="1"/>
                <w:color w:val="auto"/>
              </w:rPr>
              <w:t>EZPW</w:t>
            </w: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NASDAQ Stock Market</w:t>
            </w:r>
          </w:p>
        </w:tc>
        <w:tc>
          <w:tcPr>
            <w:tcW w:w="286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9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3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86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February 1, 2023, EZCORP, Inc. ("EZCORP") issued a press release announcing its results of operations and financial condition for the full year and quarter ended December 31, 2022. A copy of that press release is attached as Exhibit 99.1.</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21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21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copy of the presentation materials that management will review during the Company’s earnings conference call (to be held on February 2, 2023) will be posted in the Investor Relations section of the company’s website at www.ezcorp.com.</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10" w:lineRule="exact"/>
        <w:rPr>
          <w:sz w:val="20"/>
          <w:szCs w:val="20"/>
          <w:color w:val="auto"/>
        </w:rPr>
      </w:pPr>
    </w:p>
    <w:p>
      <w:pPr>
        <w:ind w:left="480" w:hanging="454"/>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93" w:lineRule="exact"/>
        <w:rPr>
          <w:sz w:val="20"/>
          <w:szCs w:val="20"/>
          <w:color w:val="auto"/>
        </w:rPr>
      </w:pPr>
    </w:p>
    <w:p>
      <w:pPr>
        <w:ind w:left="720" w:right="860" w:hanging="525"/>
        <w:spacing w:after="0" w:line="243" w:lineRule="auto"/>
        <w:tabs>
          <w:tab w:leader="none" w:pos="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u w:val="single" w:color="auto"/>
          <w:color w:val="0000FF"/>
        </w:rPr>
        <w:t>Press Release, dated February 1, 2023, announcing EZCORP, Inc.’s results of operations and financial condition for the quarter ended December 31, 2022.</w:t>
      </w:r>
    </w:p>
    <w:p>
      <w:pPr>
        <w:ind w:left="220"/>
        <w:spacing w:after="0"/>
        <w:tabs>
          <w:tab w:leader="none" w:pos="70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200" w:type="dxa"/>
            <w:vAlign w:val="bottom"/>
            <w:gridSpan w:val="2"/>
          </w:tcPr>
          <w:p>
            <w:pPr>
              <w:ind w:left="2060"/>
              <w:spacing w:after="0"/>
              <w:rPr>
                <w:sz w:val="20"/>
                <w:szCs w:val="20"/>
                <w:color w:val="auto"/>
              </w:rPr>
            </w:pPr>
            <w:r>
              <w:rPr>
                <w:rFonts w:ascii="Arial" w:cs="Arial" w:eastAsia="Arial" w:hAnsi="Arial"/>
                <w:sz w:val="18"/>
                <w:szCs w:val="18"/>
                <w:color w:val="auto"/>
              </w:rPr>
              <w:t>EZCORP, INC.</w:t>
            </w:r>
          </w:p>
        </w:tc>
      </w:tr>
      <w:tr>
        <w:trPr>
          <w:trHeight w:val="283"/>
        </w:trPr>
        <w:tc>
          <w:tcPr>
            <w:tcW w:w="3960" w:type="dxa"/>
            <w:vAlign w:val="bottom"/>
          </w:tcPr>
          <w:p>
            <w:pPr>
              <w:spacing w:after="0"/>
              <w:rPr>
                <w:sz w:val="20"/>
                <w:szCs w:val="20"/>
                <w:color w:val="auto"/>
              </w:rPr>
            </w:pPr>
            <w:r>
              <w:rPr>
                <w:rFonts w:ascii="Arial" w:cs="Arial" w:eastAsia="Arial" w:hAnsi="Arial"/>
                <w:sz w:val="18"/>
                <w:szCs w:val="18"/>
                <w:color w:val="auto"/>
              </w:rPr>
              <w:t>Date:   February 1, 2023</w:t>
            </w:r>
          </w:p>
        </w:tc>
        <w:tc>
          <w:tcPr>
            <w:tcW w:w="2880" w:type="dxa"/>
            <w:vAlign w:val="bottom"/>
          </w:tcPr>
          <w:p>
            <w:pPr>
              <w:ind w:left="206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K. Jugmans</w:t>
            </w:r>
          </w:p>
        </w:tc>
      </w:tr>
      <w:tr>
        <w:trPr>
          <w:trHeight w:val="222"/>
        </w:trPr>
        <w:tc>
          <w:tcPr>
            <w:tcW w:w="39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Timothy K. Jugmans</w:t>
            </w:r>
          </w:p>
        </w:tc>
      </w:tr>
      <w:tr>
        <w:trPr>
          <w:trHeight w:val="230"/>
        </w:trPr>
        <w:tc>
          <w:tcPr>
            <w:tcW w:w="39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1053" w:right="359" w:bottom="1440" w:gutter="0" w:footer="0" w:header="0"/>
        </w:sectPr>
      </w:pPr>
    </w:p>
    <w:bookmarkStart w:id="2" w:name="page3"/>
    <w:bookmarkEnd w:id="2"/>
    <w:p>
      <w:pPr>
        <w:spacing w:after="0" w:line="2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2771140</wp:posOffset>
            </wp:positionH>
            <wp:positionV relativeFrom="page">
              <wp:posOffset>603250</wp:posOffset>
            </wp:positionV>
            <wp:extent cx="2005965"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5965" cy="3517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EZCORP Reports First Quarter Fiscal 2023 Results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Pawn Loans Outstanding and Record Sales Driving Strong Revenue and Earnings Growth</w:t>
      </w:r>
    </w:p>
    <w:p>
      <w:pPr>
        <w:spacing w:after="0" w:line="190"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color w:val="auto"/>
        </w:rPr>
        <w:t xml:space="preserve">Austin, Texas (February 1, 2023) — </w:t>
      </w:r>
      <w:r>
        <w:rPr>
          <w:rFonts w:ascii="Arial" w:cs="Arial" w:eastAsia="Arial" w:hAnsi="Arial"/>
          <w:sz w:val="18"/>
          <w:szCs w:val="18"/>
          <w:color w:val="auto"/>
        </w:rPr>
        <w:t>EZCORP, Inc. (NASDAQ: EZPW), a leading provider of pawn transactions in the United States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Latin America, today announced results for its first quarter ended December 31, 2022.</w:t>
      </w:r>
    </w:p>
    <w:p>
      <w:pPr>
        <w:spacing w:after="0" w:line="108"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i w:val="1"/>
          <w:iCs w:val="1"/>
          <w:color w:val="auto"/>
        </w:rPr>
        <w:t>Unless otherwise noted, all amounts in this release are in conformity with U.S. generally accepted accounting principles ("GAAP") and comparisons shown are to the same period in the prior year.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HIGHLIGHTS</w:t>
      </w:r>
    </w:p>
    <w:p>
      <w:pPr>
        <w:spacing w:after="0" w:line="19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Pawn loans outstanding (PLO) up 19% to $209.9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 increased 20%, and gross profit increased 15%.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Merchandise sales gross margin remains within our targeted range at 36%.</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for the quarter was $16.8 million, an increase of $1.1 million.</w:t>
      </w:r>
    </w:p>
    <w:p>
      <w:pPr>
        <w:spacing w:after="0" w:line="171" w:lineRule="exact"/>
        <w:rPr>
          <w:rFonts w:ascii="Arial" w:cs="Arial" w:eastAsia="Arial" w:hAnsi="Arial"/>
          <w:sz w:val="18"/>
          <w:szCs w:val="18"/>
          <w:color w:val="auto"/>
        </w:rPr>
      </w:pPr>
    </w:p>
    <w:p>
      <w:pPr>
        <w:ind w:left="660" w:right="200" w:hanging="328"/>
        <w:spacing w:after="0" w:line="220"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of $0.25 was up from $0.21. On an adjusted basis</w:t>
      </w:r>
      <w:r>
        <w:rPr>
          <w:rFonts w:ascii="Arial" w:cs="Arial" w:eastAsia="Arial" w:hAnsi="Arial"/>
          <w:sz w:val="23"/>
          <w:szCs w:val="23"/>
          <w:color w:val="auto"/>
          <w:vertAlign w:val="superscript"/>
        </w:rPr>
        <w:t>1</w:t>
      </w:r>
      <w:r>
        <w:rPr>
          <w:rFonts w:ascii="Arial" w:cs="Arial" w:eastAsia="Arial" w:hAnsi="Arial"/>
          <w:sz w:val="18"/>
          <w:szCs w:val="18"/>
          <w:color w:val="auto"/>
        </w:rPr>
        <w:t>, diluted earnings per share was $0.28, compared to $0.22 in the prior-year quarter.</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Return on earning assets (ROEA) remains strong at 163%.</w:t>
      </w:r>
    </w:p>
    <w:p>
      <w:pPr>
        <w:spacing w:after="0" w:line="171" w:lineRule="exact"/>
        <w:rPr>
          <w:rFonts w:ascii="Arial" w:cs="Arial" w:eastAsia="Arial" w:hAnsi="Arial"/>
          <w:sz w:val="18"/>
          <w:szCs w:val="18"/>
          <w:color w:val="auto"/>
        </w:rPr>
      </w:pPr>
    </w:p>
    <w:p>
      <w:pPr>
        <w:ind w:left="660" w:right="60" w:hanging="328"/>
        <w:spacing w:after="0" w:line="261"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Refinanced convertible debt, that included the repurchase of $109.4 million convertible notes due 2024 and $69.1 million convertible notes due 2025, and the issuance of $230.0 million due 2029.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Chief Executive Officer Lachie Given stated, “We began fiscal 2023 with another outstanding quarter, continuing to execute on our three-year strategic plan. Our PLO was the highest on record for this quarter, and we achieved our strongest ever quarterly sales result. The challenging macro-economic backdrop continues to drive increased demand for our two core products, which are providing solutions for our customers' short-term cash needs and selling second-hand goods. And our team’s relentless focus on improving the performance of every one of our 1,186 stores, continues to drive our excellent financial and operating results.</w:t>
      </w:r>
    </w:p>
    <w:p>
      <w:pPr>
        <w:spacing w:after="0" w:line="14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remain committed to market-leading customer service, by investing in our store-based and support teams, technology improvements, process efficiencies and automation, as we provide our customers with a fast, convenient and respectful solution to address their short-term cash needs. Additionally, our neighborhood retail locations provide affordable pre-owned and recycled general merchandise and jewelry to our cost-conscious and environmentally concerned consumers.</w:t>
      </w:r>
    </w:p>
    <w:p>
      <w:pPr>
        <w:spacing w:after="0" w:line="137"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“During the first quarter, we acquired nine stores in the Houston, Texas area and one store in Las Vegas, Nevada. We opened two de novo stores in Latin America and expect to open more this quarter. We now have 2.4 million EZ+ Rewards members across all geographies, an increase of 26% over the fourth quarter of 2022.</w:t>
      </w:r>
    </w:p>
    <w:p>
      <w:pPr>
        <w:spacing w:after="0" w:line="14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proactively addressed our near-term convertible debt maturities with a successful placement of $230 million of 7-year convertible notes, materially de-risking the balance sheet while providing a stable, low cash-cost capital base from which to continue to grow. We retired approximately $178.5 million of convertible notes maturing in 2024 and 2025 and repurchased approximately $5 million in shares as part of this financing, in addition to the $2 million in shares we acquired during the quarter as part of our announced buy-back program.</w:t>
      </w:r>
    </w:p>
    <w:p>
      <w:pPr>
        <w:spacing w:after="0" w:line="15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“During the quarter, we launched new initiatives to enhance work-life balance for our team members and increase employer competitiveness at all levels. I believe we have the best, most passionate, engaged and productive team members in the industry. We are committed to doing everything we can to retain and incentivize them because it is their operational excellence that drives our financial results and ultimately enhances value for all shareholders,” concluded Given.</w:t>
      </w:r>
    </w:p>
    <w:p>
      <w:pPr>
        <w:sectPr>
          <w:pgSz w:w="11900" w:h="16838" w:orient="portrait"/>
          <w:cols w:equalWidth="0" w:num="1">
            <w:col w:w="11220"/>
          </w:cols>
          <w:pgMar w:left="320" w:top="1440"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CONSOLIDATED RESULTS</w:t>
      </w: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700" w:type="dxa"/>
            <w:vAlign w:val="bottom"/>
          </w:tcPr>
          <w:p>
            <w:pPr>
              <w:spacing w:after="0"/>
              <w:rPr>
                <w:sz w:val="20"/>
                <w:szCs w:val="20"/>
                <w:color w:val="auto"/>
              </w:rPr>
            </w:pPr>
            <w:r>
              <w:rPr>
                <w:rFonts w:ascii="Arial" w:cs="Arial" w:eastAsia="Arial" w:hAnsi="Arial"/>
                <w:sz w:val="16"/>
                <w:szCs w:val="16"/>
                <w:b w:val="1"/>
                <w:bCs w:val="1"/>
                <w:color w:val="auto"/>
              </w:rPr>
              <w:t>Three Months Ended December 31</w:t>
            </w: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Reported</w:t>
            </w:r>
          </w:p>
        </w:tc>
        <w:tc>
          <w:tcPr>
            <w:tcW w:w="80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21"/>
                <w:szCs w:val="21"/>
                <w:b w:val="1"/>
                <w:bCs w:val="1"/>
                <w:color w:val="auto"/>
                <w:vertAlign w:val="superscript"/>
              </w:rPr>
              <w:t>1</w:t>
            </w:r>
          </w:p>
        </w:tc>
        <w:tc>
          <w:tcPr>
            <w:tcW w:w="840" w:type="dxa"/>
            <w:vAlign w:val="bottom"/>
            <w:tcBorders>
              <w:bottom w:val="single" w:sz="8" w:color="auto"/>
            </w:tcBorders>
          </w:tcPr>
          <w:p>
            <w:pPr>
              <w:spacing w:after="0"/>
              <w:rPr>
                <w:sz w:val="21"/>
                <w:szCs w:val="21"/>
                <w:color w:val="auto"/>
              </w:rPr>
            </w:pPr>
          </w:p>
        </w:tc>
      </w:tr>
      <w:tr>
        <w:trPr>
          <w:trHeight w:val="209"/>
        </w:trPr>
        <w:tc>
          <w:tcPr>
            <w:tcW w:w="5700" w:type="dxa"/>
            <w:vAlign w:val="bottom"/>
          </w:tcPr>
          <w:p>
            <w:pPr>
              <w:spacing w:after="0"/>
              <w:rPr>
                <w:sz w:val="20"/>
                <w:szCs w:val="20"/>
                <w:color w:val="auto"/>
              </w:rPr>
            </w:pPr>
            <w:r>
              <w:rPr>
                <w:rFonts w:ascii="Arial" w:cs="Arial" w:eastAsia="Arial" w:hAnsi="Arial"/>
                <w:sz w:val="16"/>
                <w:szCs w:val="16"/>
                <w:i w:val="1"/>
                <w:iCs w:val="1"/>
                <w:color w:val="auto"/>
              </w:rPr>
              <w:t>in millions, except per share amounts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5"/>
              </w:rPr>
              <w:t>2021</w:t>
            </w:r>
          </w:p>
        </w:tc>
        <w:tc>
          <w:tcPr>
            <w:tcW w:w="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r>
      <w:tr>
        <w:trPr>
          <w:trHeight w:val="245"/>
        </w:trPr>
        <w:tc>
          <w:tcPr>
            <w:tcW w:w="5700" w:type="dxa"/>
            <w:vAlign w:val="bottom"/>
          </w:tcPr>
          <w:p>
            <w:pPr>
              <w:spacing w:after="0"/>
              <w:rPr>
                <w:sz w:val="20"/>
                <w:szCs w:val="20"/>
                <w:color w:val="auto"/>
              </w:rPr>
            </w:pPr>
            <w:r>
              <w:rPr>
                <w:rFonts w:ascii="Arial" w:cs="Arial" w:eastAsia="Arial" w:hAnsi="Arial"/>
                <w:sz w:val="16"/>
                <w:szCs w:val="16"/>
                <w:color w:val="auto"/>
              </w:rPr>
              <w:t>Total revenues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264.3</w:t>
            </w:r>
          </w:p>
        </w:tc>
        <w:tc>
          <w:tcPr>
            <w:tcW w:w="10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221.0</w:t>
            </w:r>
          </w:p>
        </w:tc>
        <w:tc>
          <w:tcPr>
            <w:tcW w:w="44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261.6</w:t>
            </w:r>
          </w:p>
        </w:tc>
        <w:tc>
          <w:tcPr>
            <w:tcW w:w="10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221.0</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Gross profit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152.5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132.1</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151.1</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132.1</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Income before tax</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21.3</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15.7</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0.21</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0.22</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EBITDA (non-GAAP measure)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31.0</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31.1</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earnings per share were $0.25, up from $0.21. On an adjusted basis, diluted earnings per share were $0.28, up from $0.22.</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before taxes improved to $24.5 million from $21.3 million, while adjusted EBITDA increased 22% to $37.9 million.</w:t>
      </w:r>
    </w:p>
    <w:p>
      <w:pPr>
        <w:spacing w:after="0" w:line="160" w:lineRule="exact"/>
        <w:rPr>
          <w:rFonts w:ascii="Arial" w:cs="Arial" w:eastAsia="Arial" w:hAnsi="Arial"/>
          <w:sz w:val="18"/>
          <w:szCs w:val="18"/>
          <w:color w:val="auto"/>
        </w:rPr>
      </w:pPr>
    </w:p>
    <w:p>
      <w:pPr>
        <w:ind w:left="660" w:right="60" w:hanging="328"/>
        <w:spacing w:after="0" w:line="225"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PLO increased 19% to $209.9 million, up $33.3 million. On a same-store basis</w:t>
      </w:r>
      <w:r>
        <w:rPr>
          <w:rFonts w:ascii="Arial" w:cs="Arial" w:eastAsia="Arial" w:hAnsi="Arial"/>
          <w:sz w:val="23"/>
          <w:szCs w:val="23"/>
          <w:color w:val="auto"/>
          <w:vertAlign w:val="superscript"/>
        </w:rPr>
        <w:t>2</w:t>
      </w:r>
      <w:r>
        <w:rPr>
          <w:rFonts w:ascii="Arial" w:cs="Arial" w:eastAsia="Arial" w:hAnsi="Arial"/>
          <w:sz w:val="18"/>
          <w:szCs w:val="18"/>
          <w:color w:val="auto"/>
        </w:rPr>
        <w:t>, PLO increased 16% due to increased loan demand, reflecting growth above pre-COVID levels.</w:t>
      </w:r>
    </w:p>
    <w:p>
      <w:pPr>
        <w:spacing w:after="0" w:line="162" w:lineRule="exact"/>
        <w:rPr>
          <w:rFonts w:ascii="Arial" w:cs="Arial" w:eastAsia="Arial" w:hAnsi="Arial"/>
          <w:sz w:val="18"/>
          <w:szCs w:val="18"/>
          <w:color w:val="auto"/>
        </w:rPr>
      </w:pPr>
    </w:p>
    <w:p>
      <w:pPr>
        <w:ind w:left="660" w:right="1020" w:hanging="328"/>
        <w:spacing w:after="0" w:line="261"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revenues increased 20% and gross profit increased 15%, reflecting improved pawn service charge (PSC) revenue, merchandise sales and merchandise sales gross profit.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PSC increased 22% as a result of higher average PLO.</w:t>
      </w:r>
    </w:p>
    <w:p>
      <w:pPr>
        <w:spacing w:after="0" w:line="171" w:lineRule="exact"/>
        <w:rPr>
          <w:rFonts w:ascii="Arial" w:cs="Arial" w:eastAsia="Arial" w:hAnsi="Arial"/>
          <w:sz w:val="18"/>
          <w:szCs w:val="18"/>
          <w:color w:val="auto"/>
        </w:rPr>
      </w:pPr>
    </w:p>
    <w:p>
      <w:pPr>
        <w:ind w:left="660" w:right="360" w:hanging="328"/>
        <w:spacing w:after="0" w:line="261"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Merchandise sales gross margin remains within our targeted range at 36%. Aged general merchandise has increased to 1.6% of total general merchandise inventory.</w:t>
      </w:r>
    </w:p>
    <w:p>
      <w:pPr>
        <w:spacing w:after="0" w:line="143" w:lineRule="exact"/>
        <w:rPr>
          <w:rFonts w:ascii="Arial" w:cs="Arial" w:eastAsia="Arial" w:hAnsi="Arial"/>
          <w:sz w:val="18"/>
          <w:szCs w:val="18"/>
          <w:color w:val="auto"/>
        </w:rPr>
      </w:pPr>
    </w:p>
    <w:p>
      <w:pPr>
        <w:ind w:left="660" w:right="120" w:hanging="328"/>
        <w:spacing w:after="0" w:line="261"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inventory increased 31%, reflecting a return towards normalized inventory levels. Inventory turnover remained strong at 2.8x for the quarter, down from 3.0x.</w:t>
      </w:r>
    </w:p>
    <w:p>
      <w:pPr>
        <w:spacing w:after="0" w:line="143" w:lineRule="exact"/>
        <w:rPr>
          <w:rFonts w:ascii="Arial" w:cs="Arial" w:eastAsia="Arial" w:hAnsi="Arial"/>
          <w:sz w:val="18"/>
          <w:szCs w:val="18"/>
          <w:color w:val="auto"/>
        </w:rPr>
      </w:pPr>
    </w:p>
    <w:p>
      <w:pPr>
        <w:ind w:left="660" w:right="40" w:hanging="328"/>
        <w:spacing w:after="0" w:line="256"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Store expenses increased 16%, primarily due to increased labor in-line with store activity, and to a lesser extent, expenses related to our loyalty program and rent associated with lease renewals. On a same-store basis, store expenses increased 14%. General and administrative expenses were flat.</w:t>
      </w:r>
    </w:p>
    <w:p>
      <w:pPr>
        <w:spacing w:after="0" w:line="147" w:lineRule="exact"/>
        <w:rPr>
          <w:rFonts w:ascii="Arial" w:cs="Arial" w:eastAsia="Arial" w:hAnsi="Arial"/>
          <w:sz w:val="18"/>
          <w:szCs w:val="18"/>
          <w:color w:val="auto"/>
        </w:rPr>
      </w:pPr>
    </w:p>
    <w:p>
      <w:pPr>
        <w:jc w:val="both"/>
        <w:ind w:left="660" w:right="100" w:hanging="328"/>
        <w:spacing w:after="0" w:line="256"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and cash equivalents at the end of the quarter was $207.7 million, down 11% year-over-year. The decrease is primarily due to the increase in PLO and inventory, the acquisition of new stores, and strategic investments, partially offset by the net cash proceeds associated with the convertible debt refinancing.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U.S. Pawn</w:t>
      </w:r>
    </w:p>
    <w:p>
      <w:pPr>
        <w:spacing w:after="0" w:line="1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PLO ended the quarter at $166.9 million, up 18% or 15% on a same store basis.</w:t>
      </w:r>
    </w:p>
    <w:p>
      <w:pPr>
        <w:spacing w:after="0" w:line="171" w:lineRule="exact"/>
        <w:rPr>
          <w:rFonts w:ascii="Arial" w:cs="Arial" w:eastAsia="Arial" w:hAnsi="Arial"/>
          <w:sz w:val="18"/>
          <w:szCs w:val="18"/>
          <w:color w:val="auto"/>
        </w:rPr>
      </w:pPr>
    </w:p>
    <w:p>
      <w:pPr>
        <w:ind w:left="660" w:right="560" w:hanging="328"/>
        <w:spacing w:after="0" w:line="261"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 was up 19% and gross profit increased 13%, reflecting increased PSC, higher merchandise sales and improved merchandise sales gross profit.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PSC increased 23% as a result of higher average PLO.</w:t>
      </w:r>
    </w:p>
    <w:p>
      <w:pPr>
        <w:spacing w:after="0" w:line="171" w:lineRule="exact"/>
        <w:rPr>
          <w:rFonts w:ascii="Arial" w:cs="Arial" w:eastAsia="Arial" w:hAnsi="Arial"/>
          <w:sz w:val="18"/>
          <w:szCs w:val="18"/>
          <w:color w:val="auto"/>
        </w:rPr>
      </w:pPr>
    </w:p>
    <w:p>
      <w:pPr>
        <w:ind w:left="660" w:right="280" w:hanging="328"/>
        <w:spacing w:after="0" w:line="261"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Merchandise sales gross margin decreased to 38% from 43%, reflecting a more normalized operating environment. Aged general merchandise remains less than 1% of total general merchandise inventory.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inventory increased 31% reflecting a return towards normalized inventory levels. Inventory turnover decreased to 2.6x from 2.8x.</w:t>
      </w:r>
    </w:p>
    <w:p>
      <w:pPr>
        <w:spacing w:after="0" w:line="171" w:lineRule="exact"/>
        <w:rPr>
          <w:rFonts w:ascii="Arial" w:cs="Arial" w:eastAsia="Arial" w:hAnsi="Arial"/>
          <w:sz w:val="18"/>
          <w:szCs w:val="18"/>
          <w:color w:val="auto"/>
        </w:rPr>
      </w:pPr>
    </w:p>
    <w:p>
      <w:pPr>
        <w:ind w:left="660" w:right="40" w:hanging="328"/>
        <w:spacing w:after="0" w:line="261"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Store expenses increased 13%, primarily due to increased labor in-line with store activity, and to a lesser extent, expenses related to our loyalty program and rent associated with lease renewals.</w:t>
      </w:r>
    </w:p>
    <w:p>
      <w:pPr>
        <w:sectPr>
          <w:pgSz w:w="11900" w:h="16838" w:orient="portrait"/>
          <w:cols w:equalWidth="0" w:num="1">
            <w:col w:w="11240"/>
          </w:cols>
          <w:pgMar w:left="320" w:top="1089" w:right="339" w:bottom="1440" w:gutter="0" w:footer="0" w:header="0"/>
        </w:sectPr>
      </w:pPr>
    </w:p>
    <w:bookmarkStart w:id="4" w:name="page5"/>
    <w:bookmarkEnd w:id="4"/>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Segment contribution increased 14% to $39.3 million.</w:t>
      </w:r>
    </w:p>
    <w:p>
      <w:pPr>
        <w:spacing w:after="0" w:line="171" w:lineRule="exact"/>
        <w:rPr>
          <w:rFonts w:ascii="Arial" w:cs="Arial" w:eastAsia="Arial" w:hAnsi="Arial"/>
          <w:sz w:val="18"/>
          <w:szCs w:val="18"/>
          <w:color w:val="auto"/>
        </w:rPr>
      </w:pPr>
    </w:p>
    <w:p>
      <w:pPr>
        <w:ind w:right="3640" w:firstLine="332"/>
        <w:spacing w:after="0" w:line="438" w:lineRule="auto"/>
        <w:tabs>
          <w:tab w:leader="none" w:pos="657" w:val="left"/>
        </w:tabs>
        <w:numPr>
          <w:ilvl w:val="0"/>
          <w:numId w:val="6"/>
        </w:numPr>
        <w:rPr>
          <w:rFonts w:ascii="Arial" w:cs="Arial" w:eastAsia="Arial" w:hAnsi="Arial"/>
          <w:sz w:val="18"/>
          <w:szCs w:val="18"/>
          <w:color w:val="auto"/>
        </w:rPr>
      </w:pPr>
      <w:r>
        <w:rPr>
          <w:rFonts w:ascii="Arial" w:cs="Arial" w:eastAsia="Arial" w:hAnsi="Arial"/>
          <w:sz w:val="18"/>
          <w:szCs w:val="18"/>
          <w:color w:val="auto"/>
        </w:rPr>
        <w:t>Segment store count increased by 10 stores during this quarter due to two acquisitions. Latin America Pawn</w:t>
      </w:r>
    </w:p>
    <w:p>
      <w:pPr>
        <w:ind w:left="660" w:right="260" w:hanging="328"/>
        <w:spacing w:after="0" w:line="261"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PLO improved to $43.0 million, up 21% (17% on constant currency basis). On a same store basis, PLO increased 19% (15% on a constant currency basis).</w:t>
      </w:r>
    </w:p>
    <w:p>
      <w:pPr>
        <w:spacing w:after="0" w:line="143" w:lineRule="exact"/>
        <w:rPr>
          <w:rFonts w:ascii="Arial" w:cs="Arial" w:eastAsia="Arial" w:hAnsi="Arial"/>
          <w:sz w:val="18"/>
          <w:szCs w:val="18"/>
          <w:color w:val="auto"/>
        </w:rPr>
      </w:pPr>
    </w:p>
    <w:p>
      <w:pPr>
        <w:ind w:left="660" w:right="300" w:hanging="328"/>
        <w:spacing w:after="0" w:line="261"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revenue was up 21% (16% on constant currency basis) and gross profit increased 23% (18% on a constant currency basis), reflecting increased PSC, higher merchandise sales and improved merchandise sales gross profit.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PSC increased 20% (15% on a constant currency basis) as a result of higher average PLO.</w:t>
      </w:r>
    </w:p>
    <w:p>
      <w:pPr>
        <w:spacing w:after="0" w:line="171" w:lineRule="exact"/>
        <w:rPr>
          <w:rFonts w:ascii="Arial" w:cs="Arial" w:eastAsia="Arial" w:hAnsi="Arial"/>
          <w:sz w:val="18"/>
          <w:szCs w:val="18"/>
          <w:color w:val="auto"/>
        </w:rPr>
      </w:pPr>
    </w:p>
    <w:p>
      <w:pPr>
        <w:ind w:left="660" w:right="140" w:hanging="328"/>
        <w:spacing w:after="0" w:line="261"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Merchandise sales gross margin increased from 29% to 30%. Aged general merchandise inventory increased to 2.9% from 0.5% of total merchandise inventory.</w:t>
      </w:r>
    </w:p>
    <w:p>
      <w:pPr>
        <w:spacing w:after="0" w:line="157" w:lineRule="exact"/>
        <w:rPr>
          <w:rFonts w:ascii="Arial" w:cs="Arial" w:eastAsia="Arial" w:hAnsi="Arial"/>
          <w:sz w:val="18"/>
          <w:szCs w:val="18"/>
          <w:color w:val="auto"/>
        </w:rPr>
      </w:pPr>
    </w:p>
    <w:p>
      <w:pPr>
        <w:ind w:left="660" w:right="180" w:hanging="328"/>
        <w:spacing w:after="0" w:line="250" w:lineRule="auto"/>
        <w:tabs>
          <w:tab w:leader="none" w:pos="662" w:val="left"/>
        </w:tabs>
        <w:numPr>
          <w:ilvl w:val="0"/>
          <w:numId w:val="6"/>
        </w:numPr>
        <w:rPr>
          <w:rFonts w:ascii="Arial" w:cs="Arial" w:eastAsia="Arial" w:hAnsi="Arial"/>
          <w:sz w:val="20"/>
          <w:szCs w:val="20"/>
          <w:color w:val="auto"/>
        </w:rPr>
      </w:pPr>
      <w:r>
        <w:rPr>
          <w:rFonts w:ascii="Arial" w:cs="Arial" w:eastAsia="Arial" w:hAnsi="Arial"/>
          <w:sz w:val="18"/>
          <w:szCs w:val="18"/>
          <w:color w:val="auto"/>
        </w:rPr>
        <w:t>Net inventory increased 32% (27% on a constant currency basis), reflecting a return towards normalized inventory levels. Inventory turnover remains strong at 3.3x, down from 3.6x.</w:t>
      </w:r>
    </w:p>
    <w:p>
      <w:pPr>
        <w:spacing w:after="0" w:line="152" w:lineRule="exact"/>
        <w:rPr>
          <w:rFonts w:ascii="Arial" w:cs="Arial" w:eastAsia="Arial" w:hAnsi="Arial"/>
          <w:sz w:val="20"/>
          <w:szCs w:val="20"/>
          <w:color w:val="auto"/>
        </w:rPr>
      </w:pPr>
    </w:p>
    <w:p>
      <w:pPr>
        <w:ind w:left="660" w:right="60" w:hanging="328"/>
        <w:spacing w:after="0" w:line="256"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Store expenses increased 25% (20% on a constant currency basis), primarily due to increased labor in-line with store activity, and to a lesser extent, expenses related to our loyalty program and rent associated with lease renewals. Same-store expenses increased 22% (18% on a constant currency basis).</w:t>
      </w:r>
    </w:p>
    <w:p>
      <w:pPr>
        <w:spacing w:after="0" w:line="147" w:lineRule="exact"/>
        <w:rPr>
          <w:rFonts w:ascii="Arial" w:cs="Arial" w:eastAsia="Arial" w:hAnsi="Arial"/>
          <w:sz w:val="18"/>
          <w:szCs w:val="18"/>
          <w:color w:val="auto"/>
        </w:rPr>
      </w:pPr>
    </w:p>
    <w:p>
      <w:pPr>
        <w:ind w:left="660" w:right="40" w:hanging="328"/>
        <w:spacing w:after="0" w:line="261"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Segment contribution increased 16% (12% on a constant currency basis) to $7.5 million. On an adjusted basis, segment contribution was up 15% to $7.5 million.</w:t>
      </w:r>
    </w:p>
    <w:p>
      <w:pPr>
        <w:spacing w:after="0" w:line="143" w:lineRule="exact"/>
        <w:rPr>
          <w:rFonts w:ascii="Arial" w:cs="Arial" w:eastAsia="Arial" w:hAnsi="Arial"/>
          <w:sz w:val="18"/>
          <w:szCs w:val="18"/>
          <w:color w:val="auto"/>
        </w:rPr>
      </w:pPr>
    </w:p>
    <w:p>
      <w:pPr>
        <w:ind w:left="660" w:right="340" w:hanging="328"/>
        <w:spacing w:after="0" w:line="261"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Segment store count increased by 1 store due to the net impact of opening 2 de novo stores and consolidating 1 store during the quarter.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w:t>
      </w:r>
    </w:p>
    <w:p>
      <w:pPr>
        <w:spacing w:after="0" w:line="193"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EZCORP’s Quarterly Report on Form 10-Q for the quarter ended December 31, 2022 has been filed with the Securities and Exchange Commission. The report is available in the Investor Relations section of the Company’s website at http://investors.ezcorp.com.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93"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EZCORP will host a conference call on Thursday, February 2, 2023, at 8:00 am Central Time to discuss First Quarter Fiscal 2023 results. Analysts and institutional investors may participate on the conference call by dialing (844) 200-6205, Conference ID: 341829, or internationally by dialing (929) 526-1599. The conference call will be webcast simultaneously to the public through this</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 xml:space="preserve">link: </w:t>
      </w:r>
      <w:r>
        <w:rPr>
          <w:rFonts w:ascii="Arial" w:cs="Arial" w:eastAsia="Arial" w:hAnsi="Arial"/>
          <w:sz w:val="18"/>
          <w:szCs w:val="18"/>
          <w:u w:val="single" w:color="auto"/>
          <w:color w:val="auto"/>
        </w:rPr>
        <w:t>http://investors.ezcorp.com/</w:t>
      </w:r>
      <w:r>
        <w:rPr>
          <w:rFonts w:ascii="Arial" w:cs="Arial" w:eastAsia="Arial" w:hAnsi="Arial"/>
          <w:sz w:val="18"/>
          <w:szCs w:val="18"/>
          <w:color w:val="auto"/>
        </w:rPr>
        <w:t xml:space="preserve">. A replay of the conference call will be available online at </w:t>
      </w:r>
      <w:r>
        <w:rPr>
          <w:rFonts w:ascii="Arial" w:cs="Arial" w:eastAsia="Arial" w:hAnsi="Arial"/>
          <w:sz w:val="18"/>
          <w:szCs w:val="18"/>
          <w:u w:val="single" w:color="auto"/>
          <w:color w:val="auto"/>
        </w:rPr>
        <w:t>http://investors.ezcorp.com/</w:t>
      </w:r>
      <w:r>
        <w:rPr>
          <w:rFonts w:ascii="Arial" w:cs="Arial" w:eastAsia="Arial" w:hAnsi="Arial"/>
          <w:sz w:val="18"/>
          <w:szCs w:val="18"/>
          <w:color w:val="auto"/>
        </w:rPr>
        <w:t xml:space="preserve"> shortly after the end of the call.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Formed in 1989, EZCORP has grown into a leading provider of pawn transactions in the United States and Latin America. We also sell merchandise, primarily collateral forfeited from pawn lending operations and pre-owned and recycled merchandise purchased from customers. We are dedicated to satisfying the short-term cash needs of consumers who are both cash and credit constrained, focusing on an industry-leading customer experience. EZCORP is traded on NASDAQ under the symbol EZPW and is a member of the S&amp;P 1000 Index and Nasdaq Composite Index.</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Follow us on social 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Facebook EZPAWN Official https://www.facebook.com/EZPAWN/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EZCORP Instagram Official https://www.instagram.com/ezcorp_official/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EZPAWN Instagram Official https://www.instagram.com/ezpawnofficial/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EZCORP Linked In https://www.linkedin.com/company/ezcorp/</w:t>
      </w:r>
    </w:p>
    <w:p>
      <w:pPr>
        <w:sectPr>
          <w:pgSz w:w="11900" w:h="16838" w:orient="portrait"/>
          <w:cols w:equalWidth="0" w:num="1">
            <w:col w:w="11240"/>
          </w:cols>
          <w:pgMar w:left="320" w:top="111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Percentages are calculated from the underlying numbers in thousands and, as a result, may not agree to the percentages calculated from numbers in millions.</w:t>
      </w:r>
    </w:p>
    <w:p>
      <w:pPr>
        <w:spacing w:after="0" w:line="17"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“Adjusted” basis, which is a non-GAAP measure, excludes certain items. “Constant currency” basis, which is a non-GAAP measure, excludes the impact of foreign currency exchange rate fluctuations. “Free cash flow”, which is a non-GAAP measure, includes certain adjustments to cash flow from operating activities. For additional information about these calculations, as well as a reconciliation to the most comparable GAAP financial measures, see “Non-GAAP Financial Information” at the end of this release.</w:t>
      </w:r>
    </w:p>
    <w:p>
      <w:pPr>
        <w:sectPr>
          <w:pgSz w:w="11900" w:h="16838" w:orient="portrait"/>
          <w:cols w:equalWidth="0" w:num="1">
            <w:col w:w="11240"/>
          </w:cols>
          <w:pgMar w:left="320" w:top="927"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vertAlign w:val="superscript"/>
        </w:rPr>
        <w:t>2</w:t>
      </w:r>
      <w:r>
        <w:rPr>
          <w:rFonts w:ascii="Arial" w:cs="Arial" w:eastAsia="Arial" w:hAnsi="Arial"/>
          <w:sz w:val="13"/>
          <w:szCs w:val="13"/>
          <w:i w:val="1"/>
          <w:iCs w:val="1"/>
          <w:color w:val="auto"/>
        </w:rPr>
        <w:t>“Same Store” basis, which is a financial measure, includes stores open the entirety of the comparable periods.</w:t>
      </w:r>
    </w:p>
    <w:p>
      <w:pPr>
        <w:sectPr>
          <w:pgSz w:w="11900" w:h="16838" w:orient="portrait"/>
          <w:cols w:equalWidth="0" w:num="1">
            <w:col w:w="11240"/>
          </w:cols>
          <w:pgMar w:left="320" w:top="927"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center"/>
              <w:ind w:right="239"/>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w w:val="99"/>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4"/>
                <w:szCs w:val="14"/>
                <w:color w:val="auto"/>
              </w:rPr>
              <w:t>(in thousands, except per share amounts)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204"/>
        </w:trPr>
        <w:tc>
          <w:tcPr>
            <w:tcW w:w="8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2"/>
          </w:tcPr>
          <w:p>
            <w:pPr>
              <w:jc w:val="center"/>
              <w:ind w:left="539"/>
              <w:spacing w:after="0"/>
              <w:rPr>
                <w:sz w:val="20"/>
                <w:szCs w:val="20"/>
                <w:color w:val="auto"/>
              </w:rPr>
            </w:pPr>
            <w:r>
              <w:rPr>
                <w:rFonts w:ascii="Arial" w:cs="Arial" w:eastAsia="Arial" w:hAnsi="Arial"/>
                <w:sz w:val="16"/>
                <w:szCs w:val="16"/>
                <w:color w:val="auto"/>
              </w:rPr>
              <w:t>(Unaudited)</w:t>
            </w:r>
          </w:p>
        </w:tc>
        <w:tc>
          <w:tcPr>
            <w:tcW w:w="940" w:type="dxa"/>
            <w:vAlign w:val="bottom"/>
          </w:tcPr>
          <w:p>
            <w:pPr>
              <w:spacing w:after="0"/>
              <w:rPr>
                <w:sz w:val="17"/>
                <w:szCs w:val="1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6"/>
                <w:szCs w:val="16"/>
                <w:color w:val="auto"/>
              </w:rPr>
              <w:t>Merchandise sales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163,787</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137,720</w:t>
            </w:r>
          </w:p>
        </w:tc>
      </w:tr>
      <w:tr>
        <w:trPr>
          <w:trHeight w:val="216"/>
        </w:trPr>
        <w:tc>
          <w:tcPr>
            <w:tcW w:w="8240" w:type="dxa"/>
            <w:vAlign w:val="bottom"/>
          </w:tcPr>
          <w:p>
            <w:pPr>
              <w:ind w:left="240"/>
              <w:spacing w:after="0"/>
              <w:rPr>
                <w:sz w:val="20"/>
                <w:szCs w:val="20"/>
                <w:color w:val="auto"/>
              </w:rPr>
            </w:pPr>
            <w:r>
              <w:rPr>
                <w:rFonts w:ascii="Arial" w:cs="Arial" w:eastAsia="Arial" w:hAnsi="Arial"/>
                <w:sz w:val="16"/>
                <w:szCs w:val="16"/>
                <w:color w:val="auto"/>
              </w:rPr>
              <w:t>Jewelry scrapping sales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7,884</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6,944</w:t>
            </w:r>
          </w:p>
        </w:tc>
      </w:tr>
      <w:tr>
        <w:trPr>
          <w:trHeight w:val="216"/>
        </w:trPr>
        <w:tc>
          <w:tcPr>
            <w:tcW w:w="8240" w:type="dxa"/>
            <w:vAlign w:val="bottom"/>
          </w:tcPr>
          <w:p>
            <w:pPr>
              <w:ind w:left="240"/>
              <w:spacing w:after="0"/>
              <w:rPr>
                <w:sz w:val="20"/>
                <w:szCs w:val="20"/>
                <w:color w:val="auto"/>
              </w:rPr>
            </w:pPr>
            <w:r>
              <w:rPr>
                <w:rFonts w:ascii="Arial" w:cs="Arial" w:eastAsia="Arial" w:hAnsi="Arial"/>
                <w:sz w:val="16"/>
                <w:szCs w:val="16"/>
                <w:color w:val="auto"/>
              </w:rPr>
              <w:t>Pawn service charges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92,593</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76,025</w:t>
            </w:r>
          </w:p>
        </w:tc>
      </w:tr>
      <w:tr>
        <w:trPr>
          <w:trHeight w:val="219"/>
        </w:trPr>
        <w:tc>
          <w:tcPr>
            <w:tcW w:w="824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Other revenues, net</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r>
      <w:tr>
        <w:trPr>
          <w:trHeight w:val="207"/>
        </w:trPr>
        <w:tc>
          <w:tcPr>
            <w:tcW w:w="824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32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264,327</w:t>
            </w:r>
          </w:p>
        </w:tc>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220,994</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104,877</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83,111</w:t>
            </w: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6,953</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5,772</w:t>
            </w:r>
          </w:p>
        </w:tc>
      </w:tr>
      <w:tr>
        <w:trPr>
          <w:trHeight w:val="206"/>
        </w:trPr>
        <w:tc>
          <w:tcPr>
            <w:tcW w:w="824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152,497</w:t>
            </w:r>
          </w:p>
        </w:tc>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132,111</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6"/>
                <w:szCs w:val="16"/>
                <w:color w:val="auto"/>
              </w:rPr>
              <w:t>Store expenses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100,803</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86,771</w:t>
            </w:r>
          </w:p>
        </w:tc>
      </w:tr>
      <w:tr>
        <w:trPr>
          <w:trHeight w:val="216"/>
        </w:trPr>
        <w:tc>
          <w:tcPr>
            <w:tcW w:w="8240" w:type="dxa"/>
            <w:vAlign w:val="bottom"/>
          </w:tcPr>
          <w:p>
            <w:pPr>
              <w:ind w:left="24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15,476</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15,545</w:t>
            </w:r>
          </w:p>
        </w:tc>
      </w:tr>
      <w:tr>
        <w:trPr>
          <w:trHeight w:val="216"/>
        </w:trPr>
        <w:tc>
          <w:tcPr>
            <w:tcW w:w="824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7,988</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7,574</w:t>
            </w:r>
          </w:p>
        </w:tc>
      </w:tr>
      <w:tr>
        <w:trPr>
          <w:trHeight w:val="219"/>
        </w:trPr>
        <w:tc>
          <w:tcPr>
            <w:tcW w:w="824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(Gain) loss on sale or disposal of assets and other</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09"/>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124,251</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109,895</w:t>
            </w:r>
          </w:p>
        </w:tc>
      </w:tr>
      <w:tr>
        <w:trPr>
          <w:trHeight w:val="207"/>
        </w:trPr>
        <w:tc>
          <w:tcPr>
            <w:tcW w:w="8240" w:type="dxa"/>
            <w:vAlign w:val="bottom"/>
          </w:tcPr>
          <w:p>
            <w:pPr>
              <w:ind w:left="680"/>
              <w:spacing w:after="0"/>
              <w:rPr>
                <w:sz w:val="20"/>
                <w:szCs w:val="20"/>
                <w:color w:val="auto"/>
              </w:rPr>
            </w:pPr>
            <w:r>
              <w:rPr>
                <w:rFonts w:ascii="Arial" w:cs="Arial" w:eastAsia="Arial" w:hAnsi="Arial"/>
                <w:sz w:val="16"/>
                <w:szCs w:val="16"/>
                <w:color w:val="auto"/>
              </w:rPr>
              <w:t>Operating income</w:t>
            </w:r>
          </w:p>
        </w:tc>
        <w:tc>
          <w:tcPr>
            <w:tcW w:w="32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28,246</w:t>
            </w:r>
          </w:p>
        </w:tc>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22,216</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6,190</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2,431</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(664)</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Equity in net income of unconsolidated affiliates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(1,584)</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(1,138)</w:t>
            </w: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income</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24,538</w:t>
            </w:r>
          </w:p>
        </w:tc>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21,347</w:t>
            </w: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7,760</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5,626</w:t>
            </w:r>
          </w:p>
        </w:tc>
      </w:tr>
      <w:tr>
        <w:trPr>
          <w:trHeight w:val="22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16,778</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15,721</w:t>
            </w:r>
          </w:p>
        </w:tc>
      </w:tr>
      <w:tr>
        <w:trPr>
          <w:trHeight w:val="413"/>
        </w:trPr>
        <w:tc>
          <w:tcPr>
            <w:tcW w:w="8240" w:type="dxa"/>
            <w:vAlign w:val="bottom"/>
          </w:tcPr>
          <w:p>
            <w:pPr>
              <w:ind w:left="20"/>
              <w:spacing w:after="0"/>
              <w:rPr>
                <w:sz w:val="20"/>
                <w:szCs w:val="20"/>
                <w:color w:val="auto"/>
              </w:rPr>
            </w:pPr>
            <w:r>
              <w:rPr>
                <w:rFonts w:ascii="Arial" w:cs="Arial" w:eastAsia="Arial" w:hAnsi="Arial"/>
                <w:sz w:val="16"/>
                <w:szCs w:val="16"/>
                <w:color w:val="auto"/>
              </w:rPr>
              <w:t>Basic earnings per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0.30</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0.28</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0.25</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0.21</w:t>
            </w:r>
          </w:p>
        </w:tc>
      </w:tr>
      <w:tr>
        <w:trPr>
          <w:trHeight w:val="432"/>
        </w:trPr>
        <w:tc>
          <w:tcPr>
            <w:tcW w:w="8240" w:type="dxa"/>
            <w:vAlign w:val="bottom"/>
          </w:tcPr>
          <w:p>
            <w:pPr>
              <w:ind w:left="20"/>
              <w:spacing w:after="0"/>
              <w:rPr>
                <w:sz w:val="20"/>
                <w:szCs w:val="20"/>
                <w:color w:val="auto"/>
              </w:rPr>
            </w:pPr>
            <w:r>
              <w:rPr>
                <w:rFonts w:ascii="Arial" w:cs="Arial" w:eastAsia="Arial" w:hAnsi="Arial"/>
                <w:sz w:val="16"/>
                <w:szCs w:val="16"/>
                <w:color w:val="auto"/>
              </w:rPr>
              <w:t>Weighted-average basic shares outstanding</w:t>
            </w:r>
          </w:p>
        </w:tc>
        <w:tc>
          <w:tcPr>
            <w:tcW w:w="320" w:type="dxa"/>
            <w:vAlign w:val="bottom"/>
          </w:tcPr>
          <w:p>
            <w:pPr>
              <w:spacing w:after="0"/>
              <w:rPr>
                <w:sz w:val="24"/>
                <w:szCs w:val="24"/>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56,308</w:t>
            </w: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56,183</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Weighted-average diluted shares outstanding</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83,779</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81,948</w:t>
            </w:r>
          </w:p>
        </w:tc>
      </w:tr>
    </w:tbl>
    <w:p>
      <w:pPr>
        <w:sectPr>
          <w:pgSz w:w="11900" w:h="16838" w:orient="portrait"/>
          <w:cols w:equalWidth="0" w:num="1">
            <w:col w:w="11240"/>
          </w:cols>
          <w:pgMar w:left="320" w:top="92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(in thousands, except share and per share amounts)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245"/>
        </w:trPr>
        <w:tc>
          <w:tcPr>
            <w:tcW w:w="8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40" w:type="dxa"/>
            <w:vAlign w:val="bottom"/>
            <w:gridSpan w:val="4"/>
          </w:tcPr>
          <w:p>
            <w:pPr>
              <w:jc w:val="right"/>
              <w:ind w:right="999"/>
              <w:spacing w:after="0"/>
              <w:rPr>
                <w:sz w:val="20"/>
                <w:szCs w:val="20"/>
                <w:color w:val="auto"/>
              </w:rPr>
            </w:pPr>
            <w:r>
              <w:rPr>
                <w:rFonts w:ascii="Arial" w:cs="Arial" w:eastAsia="Arial" w:hAnsi="Arial"/>
                <w:sz w:val="16"/>
                <w:szCs w:val="16"/>
                <w:color w:val="auto"/>
              </w:rPr>
              <w:t>(Unaudited)</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Assets: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207,658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233,274</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8,692</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Pawn loans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209,855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176,586</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Pawn service charges receivable, net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34,921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29,765</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Inventory, net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156,064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119,313</w:t>
            </w:r>
          </w:p>
        </w:tc>
      </w:tr>
      <w:tr>
        <w:trPr>
          <w:trHeight w:val="219"/>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45,559</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31,209</w:t>
            </w:r>
          </w:p>
        </w:tc>
      </w:tr>
      <w:tr>
        <w:trPr>
          <w:trHeight w:val="207"/>
        </w:trPr>
        <w:tc>
          <w:tcPr>
            <w:tcW w:w="824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662,416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598,839</w:t>
            </w: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Investments in unconsolidated affiliates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37,789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42,513</w:t>
            </w: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Other investments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39,220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16,500</w:t>
            </w: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Property and equipment, net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55,612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52,201</w:t>
            </w: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Right-of-use asset, net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230,554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201,527</w:t>
            </w: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297,361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284,619</w:t>
            </w: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58,029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61,458</w:t>
            </w: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Notes receivable, net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1,190</w:t>
            </w: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Deferred tax asset, net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12,428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15,623</w:t>
            </w:r>
          </w:p>
        </w:tc>
      </w:tr>
      <w:tr>
        <w:trPr>
          <w:trHeight w:val="219"/>
        </w:trPr>
        <w:tc>
          <w:tcPr>
            <w:tcW w:w="82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5,851</w:t>
            </w: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1,402,315</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1,280,321</w:t>
            </w:r>
          </w:p>
        </w:tc>
      </w:tr>
      <w:tr>
        <w:trPr>
          <w:trHeight w:val="305"/>
        </w:trPr>
        <w:tc>
          <w:tcPr>
            <w:tcW w:w="824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69,930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75,531</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Customer layaway deposits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16,276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13,142</w:t>
            </w:r>
          </w:p>
        </w:tc>
      </w:tr>
      <w:tr>
        <w:trPr>
          <w:trHeight w:val="219"/>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Operating lease liabilities, current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52,799</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51,843</w:t>
            </w:r>
          </w:p>
        </w:tc>
      </w:tr>
      <w:tr>
        <w:trPr>
          <w:trHeight w:val="206"/>
        </w:trPr>
        <w:tc>
          <w:tcPr>
            <w:tcW w:w="824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139,005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140,516</w:t>
            </w: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Long-term debt, net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358,984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311,844</w:t>
            </w: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Deferred tax liability, net</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188,730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161,841</w:t>
            </w:r>
          </w:p>
        </w:tc>
      </w:tr>
      <w:tr>
        <w:trPr>
          <w:trHeight w:val="219"/>
        </w:trPr>
        <w:tc>
          <w:tcPr>
            <w:tcW w:w="82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11,398</w:t>
            </w:r>
          </w:p>
        </w:tc>
      </w:tr>
      <w:tr>
        <w:trPr>
          <w:trHeight w:val="206"/>
        </w:trPr>
        <w:tc>
          <w:tcPr>
            <w:tcW w:w="824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696,980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625,820</w:t>
            </w:r>
          </w:p>
        </w:tc>
      </w:tr>
      <w:tr>
        <w:trPr>
          <w:trHeight w:val="216"/>
        </w:trPr>
        <w:tc>
          <w:tcPr>
            <w:tcW w:w="8240" w:type="dxa"/>
            <w:vAlign w:val="bottom"/>
          </w:tcPr>
          <w:p>
            <w:pPr>
              <w:ind w:left="240"/>
              <w:spacing w:after="0"/>
              <w:rPr>
                <w:sz w:val="20"/>
                <w:szCs w:val="20"/>
                <w:color w:val="auto"/>
              </w:rPr>
            </w:pPr>
            <w:r>
              <w:rPr>
                <w:rFonts w:ascii="Arial" w:cs="Arial" w:eastAsia="Arial" w:hAnsi="Arial"/>
                <w:sz w:val="16"/>
                <w:szCs w:val="16"/>
                <w:color w:val="auto"/>
              </w:rPr>
              <w:t>Commitments and Contingencies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83"/>
        </w:trPr>
        <w:tc>
          <w:tcPr>
            <w:tcW w:w="8240" w:type="dxa"/>
            <w:vAlign w:val="bottom"/>
          </w:tcPr>
          <w:p>
            <w:pPr>
              <w:ind w:left="480"/>
              <w:spacing w:after="0"/>
              <w:rPr>
                <w:sz w:val="20"/>
                <w:szCs w:val="20"/>
                <w:color w:val="auto"/>
              </w:rPr>
            </w:pPr>
            <w:r>
              <w:rPr>
                <w:rFonts w:ascii="Arial" w:cs="Arial" w:eastAsia="Arial" w:hAnsi="Arial"/>
                <w:sz w:val="16"/>
                <w:szCs w:val="16"/>
                <w:color w:val="auto"/>
              </w:rPr>
              <w:t>Class A Non-voting Common Stock, par value $0.01per share; shares authorized: 100 million; issued and</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62"/>
        </w:trPr>
        <w:tc>
          <w:tcPr>
            <w:tcW w:w="8240" w:type="dxa"/>
            <w:vAlign w:val="bottom"/>
          </w:tcPr>
          <w:p>
            <w:pPr>
              <w:ind w:left="480"/>
              <w:spacing w:after="0" w:line="162" w:lineRule="exact"/>
              <w:rPr>
                <w:sz w:val="20"/>
                <w:szCs w:val="20"/>
                <w:color w:val="auto"/>
              </w:rPr>
            </w:pPr>
            <w:r>
              <w:rPr>
                <w:rFonts w:ascii="Arial" w:cs="Arial" w:eastAsia="Arial" w:hAnsi="Arial"/>
                <w:sz w:val="16"/>
                <w:szCs w:val="16"/>
                <w:color w:val="auto"/>
              </w:rPr>
              <w:t>outstanding: 52,877,930 as of December 31, 2022; 53,344,218 as of December 31, 2021; and 53,454,885</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5"/>
        </w:trPr>
        <w:tc>
          <w:tcPr>
            <w:tcW w:w="8240" w:type="dxa"/>
            <w:vAlign w:val="bottom"/>
          </w:tcPr>
          <w:p>
            <w:pPr>
              <w:ind w:left="480"/>
              <w:spacing w:after="0"/>
              <w:rPr>
                <w:sz w:val="20"/>
                <w:szCs w:val="20"/>
                <w:color w:val="auto"/>
              </w:rPr>
            </w:pPr>
            <w:r>
              <w:rPr>
                <w:rFonts w:ascii="Arial" w:cs="Arial" w:eastAsia="Arial" w:hAnsi="Arial"/>
                <w:sz w:val="16"/>
                <w:szCs w:val="16"/>
                <w:color w:val="auto"/>
              </w:rPr>
              <w:t>as of September 30, 2022</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533</w:t>
            </w:r>
          </w:p>
        </w:tc>
      </w:tr>
      <w:tr>
        <w:trPr>
          <w:trHeight w:val="183"/>
        </w:trPr>
        <w:tc>
          <w:tcPr>
            <w:tcW w:w="8240" w:type="dxa"/>
            <w:vAlign w:val="bottom"/>
          </w:tcPr>
          <w:p>
            <w:pPr>
              <w:ind w:left="480"/>
              <w:spacing w:after="0"/>
              <w:rPr>
                <w:sz w:val="20"/>
                <w:szCs w:val="20"/>
                <w:color w:val="auto"/>
              </w:rPr>
            </w:pPr>
            <w:r>
              <w:rPr>
                <w:rFonts w:ascii="Arial" w:cs="Arial" w:eastAsia="Arial" w:hAnsi="Arial"/>
                <w:sz w:val="16"/>
                <w:szCs w:val="16"/>
                <w:color w:val="auto"/>
              </w:rPr>
              <w:t>Class B Voting Common Stock, convertible, par value $0.01 per share; shares authorized: 3 million; issued</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5"/>
        </w:trPr>
        <w:tc>
          <w:tcPr>
            <w:tcW w:w="8240" w:type="dxa"/>
            <w:vAlign w:val="bottom"/>
          </w:tcPr>
          <w:p>
            <w:pPr>
              <w:ind w:left="480"/>
              <w:spacing w:after="0"/>
              <w:rPr>
                <w:sz w:val="20"/>
                <w:szCs w:val="20"/>
                <w:color w:val="auto"/>
              </w:rPr>
            </w:pPr>
            <w:r>
              <w:rPr>
                <w:rFonts w:ascii="Arial" w:cs="Arial" w:eastAsia="Arial" w:hAnsi="Arial"/>
                <w:sz w:val="16"/>
                <w:szCs w:val="16"/>
                <w:color w:val="auto"/>
              </w:rPr>
              <w:t>and outstanding: 2,970,171</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343,012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339,955</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414,929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369,359</w:t>
            </w:r>
          </w:p>
        </w:tc>
      </w:tr>
      <w:tr>
        <w:trPr>
          <w:trHeight w:val="219"/>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(53,165)</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(55,376)</w:t>
            </w:r>
          </w:p>
        </w:tc>
      </w:tr>
      <w:tr>
        <w:trPr>
          <w:trHeight w:val="209"/>
        </w:trPr>
        <w:tc>
          <w:tcPr>
            <w:tcW w:w="82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Total equity</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705,335</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654,501</w:t>
            </w:r>
          </w:p>
        </w:tc>
      </w:tr>
      <w:tr>
        <w:trPr>
          <w:trHeight w:val="22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1,402,315</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1,280,321</w:t>
            </w:r>
          </w:p>
        </w:tc>
      </w:tr>
    </w:tbl>
    <w:p>
      <w:pPr>
        <w:sectPr>
          <w:pgSz w:w="11900" w:h="16838" w:orient="portrait"/>
          <w:cols w:equalWidth="0" w:num="1">
            <w:col w:w="11240"/>
          </w:cols>
          <w:pgMar w:left="320" w:top="125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center"/>
              <w:ind w:right="239"/>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w w:val="99"/>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245"/>
        </w:trPr>
        <w:tc>
          <w:tcPr>
            <w:tcW w:w="8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gridSpan w:val="2"/>
          </w:tcPr>
          <w:p>
            <w:pPr>
              <w:jc w:val="center"/>
              <w:ind w:left="539"/>
              <w:spacing w:after="0"/>
              <w:rPr>
                <w:sz w:val="20"/>
                <w:szCs w:val="20"/>
                <w:color w:val="auto"/>
              </w:rPr>
            </w:pPr>
            <w:r>
              <w:rPr>
                <w:rFonts w:ascii="Arial" w:cs="Arial" w:eastAsia="Arial" w:hAnsi="Arial"/>
                <w:sz w:val="16"/>
                <w:szCs w:val="16"/>
                <w:color w:val="auto"/>
              </w:rPr>
              <w:t>(Unaudited)</w:t>
            </w:r>
          </w:p>
        </w:tc>
        <w:tc>
          <w:tcPr>
            <w:tcW w:w="940" w:type="dxa"/>
            <w:vAlign w:val="bottom"/>
          </w:tcPr>
          <w:p>
            <w:pPr>
              <w:spacing w:after="0"/>
              <w:rPr>
                <w:sz w:val="21"/>
                <w:szCs w:val="2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16,778</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15,721</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7,988</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7,574</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Amortization of debt discount and deferred financing costs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378</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374</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Non-cash lease expense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13,596</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12,694</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656</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587</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Other adjustments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Provision for inventory reserve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532</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(820)</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Stock compensation expense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1,886</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1,698</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Equity in net income of unconsolidated affiliates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(1,584)</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(1,138)</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Loss on extinguishment of debt</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3,545</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Service charges and fees receivable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(691)</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(419)</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(1,881)</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(2,314)</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Prepaid expenses, other current assets and other assets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(2,280)</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(2,330)</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(34,761)</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(29,531)</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Customer layaway deposits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(752)</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551</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Income taxes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6,574</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4,741</w:t>
            </w:r>
          </w:p>
        </w:tc>
      </w:tr>
      <w:tr>
        <w:trPr>
          <w:trHeight w:val="219"/>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Dividends from unconsolidated affiliates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1,775</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w:t>
            </w:r>
          </w:p>
        </w:tc>
      </w:tr>
      <w:tr>
        <w:trPr>
          <w:trHeight w:val="206"/>
        </w:trPr>
        <w:tc>
          <w:tcPr>
            <w:tcW w:w="8240" w:type="dxa"/>
            <w:vAlign w:val="bottom"/>
          </w:tcPr>
          <w:p>
            <w:pPr>
              <w:ind w:left="80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11,668</w:t>
            </w:r>
          </w:p>
        </w:tc>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9,018</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Loans made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(189,074)</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(166,480)</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Loans repaid</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109,125</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95,542</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88,030</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65,297</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Capital expenditures, net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(7,182)</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(4,985)</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(12,884)</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Issuance of notes receivable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(15,500)</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Investment in unconsolidated affiliates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(2,133)</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(2,477)</w:t>
            </w:r>
          </w:p>
        </w:tc>
      </w:tr>
      <w:tr>
        <w:trPr>
          <w:trHeight w:val="219"/>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Investment in other investments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(15,000)</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(16,500)</w:t>
            </w:r>
          </w:p>
        </w:tc>
      </w:tr>
      <w:tr>
        <w:trPr>
          <w:trHeight w:val="206"/>
        </w:trPr>
        <w:tc>
          <w:tcPr>
            <w:tcW w:w="8240" w:type="dxa"/>
            <w:vAlign w:val="bottom"/>
          </w:tcPr>
          <w:p>
            <w:pPr>
              <w:ind w:left="80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(44,618)</w:t>
            </w:r>
          </w:p>
        </w:tc>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(30,603)</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(1,138)</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(792)</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Proceeds from issuance of debt</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230,000</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Debt issuance cost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(7,403)</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Cash paid on extinguishment of debt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(1,951)</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Payments on debt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(178,488)</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Repurchase of common stock</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(7,027)</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240" w:type="dxa"/>
            <w:vAlign w:val="bottom"/>
          </w:tcPr>
          <w:p>
            <w:pPr>
              <w:ind w:left="80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33,993</w:t>
            </w:r>
          </w:p>
        </w:tc>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(792)</w:t>
            </w: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605</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w:t>
            </w: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2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1,648</w:t>
            </w:r>
          </w:p>
        </w:tc>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(21,658)</w:t>
            </w: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214,369</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263,624</w:t>
            </w: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216,017</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241,966</w:t>
            </w:r>
          </w:p>
        </w:tc>
      </w:tr>
    </w:tbl>
    <w:p>
      <w:pPr>
        <w:sectPr>
          <w:pgSz w:w="11900" w:h="16838" w:orient="portrait"/>
          <w:cols w:equalWidth="0" w:num="1">
            <w:col w:w="11240"/>
          </w:cols>
          <w:pgMar w:left="320" w:top="125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80" w:type="dxa"/>
            <w:vAlign w:val="bottom"/>
            <w:gridSpan w:val="9"/>
          </w:tcPr>
          <w:p>
            <w:pPr>
              <w:jc w:val="right"/>
              <w:ind w:right="199"/>
              <w:spacing w:after="0"/>
              <w:rPr>
                <w:sz w:val="20"/>
                <w:szCs w:val="20"/>
                <w:color w:val="auto"/>
              </w:rPr>
            </w:pPr>
            <w:r>
              <w:rPr>
                <w:rFonts w:ascii="Arial" w:cs="Arial" w:eastAsia="Arial" w:hAnsi="Arial"/>
                <w:sz w:val="16"/>
                <w:szCs w:val="16"/>
                <w:b w:val="1"/>
                <w:bCs w:val="1"/>
                <w:color w:val="auto"/>
              </w:rPr>
              <w:t>Three Months Ended December 31, 2022</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(Unaudited)</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6"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6" w:lineRule="exact"/>
              <w:rPr>
                <w:sz w:val="20"/>
                <w:szCs w:val="20"/>
                <w:color w:val="auto"/>
              </w:rPr>
            </w:pPr>
            <w:r>
              <w:rPr>
                <w:rFonts w:ascii="Arial" w:cs="Arial" w:eastAsia="Arial" w:hAnsi="Arial"/>
                <w:sz w:val="16"/>
                <w:szCs w:val="16"/>
                <w:b w:val="1"/>
                <w:bCs w:val="1"/>
                <w:color w:val="auto"/>
                <w:w w:val="98"/>
              </w:rPr>
              <w:t>Other</w:t>
            </w: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Total Segments</w:t>
            </w:r>
          </w:p>
        </w:tc>
        <w:tc>
          <w:tcPr>
            <w:tcW w:w="14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Corporate Items</w:t>
            </w:r>
          </w:p>
        </w:tc>
        <w:tc>
          <w:tcPr>
            <w:tcW w:w="120" w:type="dxa"/>
            <w:vAlign w:val="bottom"/>
          </w:tcPr>
          <w:p>
            <w:pPr>
              <w:spacing w:after="0"/>
              <w:rPr>
                <w:sz w:val="13"/>
                <w:szCs w:val="13"/>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29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Investments</w:t>
            </w:r>
          </w:p>
        </w:tc>
        <w:tc>
          <w:tcPr>
            <w:tcW w:w="1420" w:type="dxa"/>
            <w:vAlign w:val="bottom"/>
            <w:gridSpan w:val="3"/>
            <w:vMerge w:val="continue"/>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90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118,314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45,473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163,787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163,787</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7,884</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69,310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23,283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92,593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92,593</w:t>
            </w:r>
          </w:p>
        </w:tc>
        <w:tc>
          <w:tcPr>
            <w:tcW w:w="0" w:type="dxa"/>
            <w:vAlign w:val="bottom"/>
          </w:tcPr>
          <w:p>
            <w:pPr>
              <w:spacing w:after="0"/>
              <w:rPr>
                <w:sz w:val="1"/>
                <w:szCs w:val="1"/>
                <w:color w:val="auto"/>
              </w:rPr>
            </w:pPr>
          </w:p>
        </w:tc>
      </w:tr>
      <w:tr>
        <w:trPr>
          <w:trHeight w:val="219"/>
        </w:trPr>
        <w:tc>
          <w:tcPr>
            <w:tcW w:w="29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7"/>
        </w:trPr>
        <w:tc>
          <w:tcPr>
            <w:tcW w:w="29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194,825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69,480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264,327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264,327</w:t>
            </w: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73,256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31,621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104,877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104,877</w:t>
            </w: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6,953</w:t>
            </w:r>
          </w:p>
        </w:tc>
        <w:tc>
          <w:tcPr>
            <w:tcW w:w="0" w:type="dxa"/>
            <w:vAlign w:val="bottom"/>
          </w:tcPr>
          <w:p>
            <w:pPr>
              <w:spacing w:after="0"/>
              <w:rPr>
                <w:sz w:val="1"/>
                <w:szCs w:val="1"/>
                <w:color w:val="auto"/>
              </w:rPr>
            </w:pPr>
          </w:p>
        </w:tc>
      </w:tr>
      <w:tr>
        <w:trPr>
          <w:trHeight w:val="219"/>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cost of revenues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90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115,353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37,122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152,497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152,497</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73,304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27,499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100,803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100,803</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15,476</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7,988</w:t>
            </w:r>
          </w:p>
        </w:tc>
        <w:tc>
          <w:tcPr>
            <w:tcW w:w="0" w:type="dxa"/>
            <w:vAlign w:val="bottom"/>
          </w:tcPr>
          <w:p>
            <w:pPr>
              <w:spacing w:after="0"/>
              <w:rPr>
                <w:sz w:val="1"/>
                <w:szCs w:val="1"/>
                <w:color w:val="auto"/>
              </w:rPr>
            </w:pPr>
          </w:p>
        </w:tc>
      </w:tr>
      <w:tr>
        <w:trPr>
          <w:trHeight w:val="183"/>
        </w:trPr>
        <w:tc>
          <w:tcPr>
            <w:tcW w:w="2900" w:type="dxa"/>
            <w:vAlign w:val="bottom"/>
          </w:tcPr>
          <w:p>
            <w:pPr>
              <w:ind w:left="220"/>
              <w:spacing w:after="0"/>
              <w:rPr>
                <w:sz w:val="20"/>
                <w:szCs w:val="20"/>
                <w:color w:val="auto"/>
              </w:rPr>
            </w:pPr>
            <w:r>
              <w:rPr>
                <w:rFonts w:ascii="Arial" w:cs="Arial" w:eastAsia="Arial" w:hAnsi="Arial"/>
                <w:sz w:val="16"/>
                <w:szCs w:val="16"/>
                <w:color w:val="auto"/>
              </w:rPr>
              <w:t>(Gain) loss on sale or disposal of</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900" w:type="dxa"/>
            <w:vAlign w:val="bottom"/>
          </w:tcPr>
          <w:p>
            <w:pPr>
              <w:ind w:left="220"/>
              <w:spacing w:after="0"/>
              <w:rPr>
                <w:sz w:val="20"/>
                <w:szCs w:val="20"/>
                <w:color w:val="auto"/>
              </w:rPr>
            </w:pPr>
            <w:r>
              <w:rPr>
                <w:rFonts w:ascii="Arial" w:cs="Arial" w:eastAsia="Arial" w:hAnsi="Arial"/>
                <w:sz w:val="16"/>
                <w:szCs w:val="16"/>
                <w:color w:val="auto"/>
              </w:rPr>
              <w:t>assets and other</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6,190</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183"/>
        </w:trPr>
        <w:tc>
          <w:tcPr>
            <w:tcW w:w="2900" w:type="dxa"/>
            <w:vAlign w:val="bottom"/>
          </w:tcPr>
          <w:p>
            <w:pPr>
              <w:ind w:left="220"/>
              <w:spacing w:after="0"/>
              <w:rPr>
                <w:sz w:val="20"/>
                <w:szCs w:val="20"/>
                <w:color w:val="auto"/>
              </w:rPr>
            </w:pPr>
            <w:r>
              <w:rPr>
                <w:rFonts w:ascii="Arial" w:cs="Arial" w:eastAsia="Arial" w:hAnsi="Arial"/>
                <w:sz w:val="16"/>
                <w:szCs w:val="16"/>
                <w:color w:val="auto"/>
              </w:rPr>
              <w:t>Equity in net income of</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90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(1,584)</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(1,584)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(1,584)</w:t>
            </w:r>
          </w:p>
        </w:tc>
        <w:tc>
          <w:tcPr>
            <w:tcW w:w="0" w:type="dxa"/>
            <w:vAlign w:val="bottom"/>
          </w:tcPr>
          <w:p>
            <w:pPr>
              <w:spacing w:after="0"/>
              <w:rPr>
                <w:sz w:val="1"/>
                <w:szCs w:val="1"/>
                <w:color w:val="auto"/>
              </w:rPr>
            </w:pPr>
          </w:p>
        </w:tc>
      </w:tr>
      <w:tr>
        <w:trPr>
          <w:trHeight w:val="219"/>
        </w:trPr>
        <w:tc>
          <w:tcPr>
            <w:tcW w:w="29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39,291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7,529</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1,602</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48,422</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48,422</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(23,884)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24,538</w:t>
            </w: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80" w:type="dxa"/>
            <w:vAlign w:val="bottom"/>
            <w:gridSpan w:val="9"/>
          </w:tcPr>
          <w:p>
            <w:pPr>
              <w:jc w:val="right"/>
              <w:ind w:right="199"/>
              <w:spacing w:after="0"/>
              <w:rPr>
                <w:sz w:val="20"/>
                <w:szCs w:val="20"/>
                <w:color w:val="auto"/>
              </w:rPr>
            </w:pPr>
            <w:r>
              <w:rPr>
                <w:rFonts w:ascii="Arial" w:cs="Arial" w:eastAsia="Arial" w:hAnsi="Arial"/>
                <w:sz w:val="16"/>
                <w:szCs w:val="16"/>
                <w:b w:val="1"/>
                <w:bCs w:val="1"/>
                <w:color w:val="auto"/>
              </w:rPr>
              <w:t>Three Months Ended December 31, 2021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(Unaudited)</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6"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6" w:lineRule="exact"/>
              <w:rPr>
                <w:sz w:val="20"/>
                <w:szCs w:val="20"/>
                <w:color w:val="auto"/>
              </w:rPr>
            </w:pPr>
            <w:r>
              <w:rPr>
                <w:rFonts w:ascii="Arial" w:cs="Arial" w:eastAsia="Arial" w:hAnsi="Arial"/>
                <w:sz w:val="16"/>
                <w:szCs w:val="16"/>
                <w:b w:val="1"/>
                <w:bCs w:val="1"/>
                <w:color w:val="auto"/>
                <w:w w:val="98"/>
              </w:rPr>
              <w:t>Other</w:t>
            </w: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Total Segments</w:t>
            </w:r>
          </w:p>
        </w:tc>
        <w:tc>
          <w:tcPr>
            <w:tcW w:w="14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Corporate Items</w:t>
            </w:r>
          </w:p>
        </w:tc>
        <w:tc>
          <w:tcPr>
            <w:tcW w:w="120" w:type="dxa"/>
            <w:vAlign w:val="bottom"/>
          </w:tcPr>
          <w:p>
            <w:pPr>
              <w:spacing w:after="0"/>
              <w:rPr>
                <w:sz w:val="13"/>
                <w:szCs w:val="13"/>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29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Investments</w:t>
            </w:r>
          </w:p>
        </w:tc>
        <w:tc>
          <w:tcPr>
            <w:tcW w:w="1420" w:type="dxa"/>
            <w:vAlign w:val="bottom"/>
            <w:gridSpan w:val="3"/>
            <w:vMerge w:val="continue"/>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90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102,078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35,642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137,720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137,720</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6,944</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56,557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19,468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76,025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76,025</w:t>
            </w:r>
          </w:p>
        </w:tc>
        <w:tc>
          <w:tcPr>
            <w:tcW w:w="0" w:type="dxa"/>
            <w:vAlign w:val="bottom"/>
          </w:tcPr>
          <w:p>
            <w:pPr>
              <w:spacing w:after="0"/>
              <w:rPr>
                <w:sz w:val="1"/>
                <w:szCs w:val="1"/>
                <w:color w:val="auto"/>
              </w:rPr>
            </w:pPr>
          </w:p>
        </w:tc>
      </w:tr>
      <w:tr>
        <w:trPr>
          <w:trHeight w:val="219"/>
        </w:trPr>
        <w:tc>
          <w:tcPr>
            <w:tcW w:w="29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7"/>
        </w:trPr>
        <w:tc>
          <w:tcPr>
            <w:tcW w:w="29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163,637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57,314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220,994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220,994</w:t>
            </w: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57,832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25,279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83,111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83,111</w:t>
            </w:r>
          </w:p>
        </w:tc>
        <w:tc>
          <w:tcPr>
            <w:tcW w:w="0" w:type="dxa"/>
            <w:vAlign w:val="bottom"/>
          </w:tcPr>
          <w:p>
            <w:pPr>
              <w:spacing w:after="0"/>
              <w:rPr>
                <w:sz w:val="1"/>
                <w:szCs w:val="1"/>
                <w:color w:val="auto"/>
              </w:rPr>
            </w:pPr>
          </w:p>
        </w:tc>
      </w:tr>
      <w:tr>
        <w:trPr>
          <w:trHeight w:val="219"/>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5,772</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5,772</w:t>
            </w:r>
          </w:p>
        </w:tc>
        <w:tc>
          <w:tcPr>
            <w:tcW w:w="0" w:type="dxa"/>
            <w:vAlign w:val="bottom"/>
          </w:tcPr>
          <w:p>
            <w:pPr>
              <w:spacing w:after="0"/>
              <w:rPr>
                <w:sz w:val="1"/>
                <w:szCs w:val="1"/>
                <w:color w:val="auto"/>
              </w:rPr>
            </w:pPr>
          </w:p>
        </w:tc>
      </w:tr>
      <w:tr>
        <w:trPr>
          <w:trHeight w:val="207"/>
        </w:trPr>
        <w:tc>
          <w:tcPr>
            <w:tcW w:w="290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101,830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30,238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132,111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132,111</w:t>
            </w:r>
          </w:p>
        </w:tc>
        <w:tc>
          <w:tcPr>
            <w:tcW w:w="0" w:type="dxa"/>
            <w:vAlign w:val="bottom"/>
          </w:tcPr>
          <w:p>
            <w:pPr>
              <w:spacing w:after="0"/>
              <w:rPr>
                <w:sz w:val="1"/>
                <w:szCs w:val="1"/>
                <w:color w:val="auto"/>
              </w:rPr>
            </w:pPr>
          </w:p>
        </w:tc>
      </w:tr>
      <w:tr>
        <w:trPr>
          <w:trHeight w:val="183"/>
        </w:trPr>
        <w:tc>
          <w:tcPr>
            <w:tcW w:w="2900" w:type="dxa"/>
            <w:vAlign w:val="bottom"/>
          </w:tcPr>
          <w:p>
            <w:pPr>
              <w:ind w:left="20"/>
              <w:spacing w:after="0"/>
              <w:rPr>
                <w:sz w:val="20"/>
                <w:szCs w:val="20"/>
                <w:color w:val="auto"/>
              </w:rPr>
            </w:pPr>
            <w:r>
              <w:rPr>
                <w:rFonts w:ascii="Arial" w:cs="Arial" w:eastAsia="Arial" w:hAnsi="Arial"/>
                <w:sz w:val="16"/>
                <w:szCs w:val="16"/>
                <w:color w:val="auto"/>
              </w:rPr>
              <w:t>Segment and corporate expenses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90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64,689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22,082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86,771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86,771</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15,545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15,545</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7,574</w:t>
            </w:r>
          </w:p>
        </w:tc>
        <w:tc>
          <w:tcPr>
            <w:tcW w:w="0" w:type="dxa"/>
            <w:vAlign w:val="bottom"/>
          </w:tcPr>
          <w:p>
            <w:pPr>
              <w:spacing w:after="0"/>
              <w:rPr>
                <w:sz w:val="1"/>
                <w:szCs w:val="1"/>
                <w:color w:val="auto"/>
              </w:rPr>
            </w:pPr>
          </w:p>
        </w:tc>
      </w:tr>
      <w:tr>
        <w:trPr>
          <w:trHeight w:val="183"/>
        </w:trPr>
        <w:tc>
          <w:tcPr>
            <w:tcW w:w="2900" w:type="dxa"/>
            <w:vAlign w:val="bottom"/>
          </w:tcPr>
          <w:p>
            <w:pPr>
              <w:ind w:left="220"/>
              <w:spacing w:after="0"/>
              <w:rPr>
                <w:sz w:val="20"/>
                <w:szCs w:val="20"/>
                <w:color w:val="auto"/>
              </w:rPr>
            </w:pPr>
            <w:r>
              <w:rPr>
                <w:rFonts w:ascii="Arial" w:cs="Arial" w:eastAsia="Arial" w:hAnsi="Arial"/>
                <w:sz w:val="16"/>
                <w:szCs w:val="16"/>
                <w:color w:val="auto"/>
              </w:rPr>
              <w:t>Gain on sale of disposal of assets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900" w:type="dxa"/>
            <w:vAlign w:val="bottom"/>
          </w:tcPr>
          <w:p>
            <w:pPr>
              <w:ind w:left="220"/>
              <w:spacing w:after="0"/>
              <w:rPr>
                <w:sz w:val="20"/>
                <w:szCs w:val="20"/>
                <w:color w:val="auto"/>
              </w:rPr>
            </w:pPr>
            <w:r>
              <w:rPr>
                <w:rFonts w:ascii="Arial" w:cs="Arial" w:eastAsia="Arial" w:hAnsi="Arial"/>
                <w:sz w:val="16"/>
                <w:szCs w:val="16"/>
                <w:color w:val="auto"/>
              </w:rPr>
              <w:t>and other</w:t>
            </w:r>
          </w:p>
        </w:tc>
        <w:tc>
          <w:tcPr>
            <w:tcW w:w="1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2,431</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183"/>
        </w:trPr>
        <w:tc>
          <w:tcPr>
            <w:tcW w:w="2900" w:type="dxa"/>
            <w:vAlign w:val="bottom"/>
          </w:tcPr>
          <w:p>
            <w:pPr>
              <w:ind w:left="220"/>
              <w:spacing w:after="0"/>
              <w:rPr>
                <w:sz w:val="20"/>
                <w:szCs w:val="20"/>
                <w:color w:val="auto"/>
              </w:rPr>
            </w:pPr>
            <w:r>
              <w:rPr>
                <w:rFonts w:ascii="Arial" w:cs="Arial" w:eastAsia="Arial" w:hAnsi="Arial"/>
                <w:sz w:val="16"/>
                <w:szCs w:val="16"/>
                <w:color w:val="auto"/>
              </w:rPr>
              <w:t>Equity in net income of</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90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(1,138)</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(1,138)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219"/>
        </w:trPr>
        <w:tc>
          <w:tcPr>
            <w:tcW w:w="29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9"/>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34,471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6,487</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42,151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42,151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(20,804)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21,347</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9"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4560" w:type="dxa"/>
            <w:vAlign w:val="bottom"/>
            <w:gridSpan w:val="3"/>
          </w:tcPr>
          <w:p>
            <w:pPr>
              <w:jc w:val="center"/>
              <w:ind w:right="700"/>
              <w:spacing w:after="0"/>
              <w:rPr>
                <w:sz w:val="20"/>
                <w:szCs w:val="20"/>
                <w:color w:val="auto"/>
              </w:rPr>
            </w:pPr>
            <w:r>
              <w:rPr>
                <w:rFonts w:ascii="Arial" w:cs="Arial" w:eastAsia="Arial" w:hAnsi="Arial"/>
                <w:sz w:val="16"/>
                <w:szCs w:val="16"/>
                <w:b w:val="1"/>
                <w:bCs w:val="1"/>
                <w:color w:val="auto"/>
                <w:w w:val="98"/>
              </w:rPr>
              <w:t>EZCORP, Inc.</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4560" w:type="dxa"/>
            <w:vAlign w:val="bottom"/>
            <w:gridSpan w:val="3"/>
          </w:tcPr>
          <w:p>
            <w:pPr>
              <w:jc w:val="center"/>
              <w:ind w:right="720"/>
              <w:spacing w:after="0"/>
              <w:rPr>
                <w:sz w:val="20"/>
                <w:szCs w:val="20"/>
                <w:color w:val="auto"/>
              </w:rPr>
            </w:pPr>
            <w:r>
              <w:rPr>
                <w:rFonts w:ascii="Arial" w:cs="Arial" w:eastAsia="Arial" w:hAnsi="Arial"/>
                <w:sz w:val="16"/>
                <w:szCs w:val="16"/>
                <w:b w:val="1"/>
                <w:bCs w:val="1"/>
                <w:color w:val="auto"/>
              </w:rPr>
              <w:t>STORE COUNT ACTIVITY</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4560" w:type="dxa"/>
            <w:vAlign w:val="bottom"/>
            <w:gridSpan w:val="3"/>
          </w:tcPr>
          <w:p>
            <w:pPr>
              <w:jc w:val="center"/>
              <w:ind w:right="700"/>
              <w:spacing w:after="0"/>
              <w:rPr>
                <w:sz w:val="20"/>
                <w:szCs w:val="20"/>
                <w:color w:val="auto"/>
              </w:rPr>
            </w:pPr>
            <w:r>
              <w:rPr>
                <w:rFonts w:ascii="Arial" w:cs="Arial" w:eastAsia="Arial" w:hAnsi="Arial"/>
                <w:sz w:val="16"/>
                <w:szCs w:val="16"/>
                <w:b w:val="1"/>
                <w:bCs w:val="1"/>
                <w:color w:val="auto"/>
              </w:rPr>
              <w:t>(Unaudited)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7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December 31, 2022</w:t>
            </w: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U.S. Pawn</w:t>
            </w:r>
          </w:p>
        </w:tc>
        <w:tc>
          <w:tcPr>
            <w:tcW w:w="100" w:type="dxa"/>
            <w:vAlign w:val="bottom"/>
            <w:vMerge w:val="restart"/>
          </w:tcPr>
          <w:p>
            <w:pPr>
              <w:spacing w:after="0"/>
              <w:rPr>
                <w:sz w:val="13"/>
                <w:szCs w:val="13"/>
                <w:color w:val="auto"/>
              </w:rPr>
            </w:pP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700" w:type="dxa"/>
            <w:vAlign w:val="bottom"/>
          </w:tcPr>
          <w:p>
            <w:pPr>
              <w:ind w:left="20"/>
              <w:spacing w:after="0"/>
              <w:rPr>
                <w:sz w:val="20"/>
                <w:szCs w:val="20"/>
                <w:color w:val="auto"/>
              </w:rPr>
            </w:pPr>
            <w:r>
              <w:rPr>
                <w:rFonts w:ascii="Arial" w:cs="Arial" w:eastAsia="Arial" w:hAnsi="Arial"/>
                <w:sz w:val="16"/>
                <w:szCs w:val="16"/>
                <w:color w:val="auto"/>
              </w:rPr>
              <w:t>As of September 30, 2022</w:t>
            </w:r>
          </w:p>
        </w:tc>
        <w:tc>
          <w:tcPr>
            <w:tcW w:w="4460" w:type="dxa"/>
            <w:vAlign w:val="bottom"/>
            <w:gridSpan w:val="2"/>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30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6"/>
                <w:szCs w:val="16"/>
                <w:color w:val="auto"/>
              </w:rPr>
              <w:t>Locations acquired</w:t>
            </w:r>
          </w:p>
        </w:tc>
        <w:tc>
          <w:tcPr>
            <w:tcW w:w="446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3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sold, combined or closed</w:t>
            </w:r>
          </w:p>
        </w:tc>
        <w:tc>
          <w:tcPr>
            <w:tcW w:w="30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December 31, 2022</w:t>
            </w:r>
          </w:p>
        </w:tc>
        <w:tc>
          <w:tcPr>
            <w:tcW w:w="4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578"/>
        </w:trPr>
        <w:tc>
          <w:tcPr>
            <w:tcW w:w="3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December 31, 2021</w:t>
            </w: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U.S. Pawn</w:t>
            </w:r>
          </w:p>
        </w:tc>
        <w:tc>
          <w:tcPr>
            <w:tcW w:w="100" w:type="dxa"/>
            <w:vAlign w:val="bottom"/>
            <w:vMerge w:val="restart"/>
          </w:tcPr>
          <w:p>
            <w:pPr>
              <w:spacing w:after="0"/>
              <w:rPr>
                <w:sz w:val="13"/>
                <w:szCs w:val="13"/>
                <w:color w:val="auto"/>
              </w:rPr>
            </w:pP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700" w:type="dxa"/>
            <w:vAlign w:val="bottom"/>
          </w:tcPr>
          <w:p>
            <w:pPr>
              <w:ind w:left="20"/>
              <w:spacing w:after="0"/>
              <w:rPr>
                <w:sz w:val="20"/>
                <w:szCs w:val="20"/>
                <w:color w:val="auto"/>
              </w:rPr>
            </w:pPr>
            <w:r>
              <w:rPr>
                <w:rFonts w:ascii="Arial" w:cs="Arial" w:eastAsia="Arial" w:hAnsi="Arial"/>
                <w:sz w:val="16"/>
                <w:szCs w:val="16"/>
                <w:color w:val="auto"/>
              </w:rPr>
              <w:t>As of September 30, 2021</w:t>
            </w:r>
          </w:p>
        </w:tc>
        <w:tc>
          <w:tcPr>
            <w:tcW w:w="4460" w:type="dxa"/>
            <w:vAlign w:val="bottom"/>
            <w:gridSpan w:val="2"/>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30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6"/>
                <w:szCs w:val="16"/>
                <w:color w:val="auto"/>
              </w:rPr>
              <w:t>Locations acquired</w:t>
            </w:r>
          </w:p>
        </w:tc>
        <w:tc>
          <w:tcPr>
            <w:tcW w:w="30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sold, combined or closed</w:t>
            </w:r>
          </w:p>
        </w:tc>
        <w:tc>
          <w:tcPr>
            <w:tcW w:w="30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December 31, 2021</w:t>
            </w:r>
          </w:p>
        </w:tc>
        <w:tc>
          <w:tcPr>
            <w:tcW w:w="4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1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and three months ended December 31, 2022 and 2021 were as follows:</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2440" w:type="dxa"/>
            <w:vAlign w:val="bottom"/>
            <w:gridSpan w:val="4"/>
            <w:vMerge w:val="restart"/>
          </w:tcPr>
          <w:p>
            <w:pPr>
              <w:ind w:left="640"/>
              <w:spacing w:after="0"/>
              <w:rPr>
                <w:sz w:val="20"/>
                <w:szCs w:val="20"/>
                <w:color w:val="auto"/>
              </w:rPr>
            </w:pPr>
            <w:r>
              <w:rPr>
                <w:rFonts w:ascii="Arial" w:cs="Arial" w:eastAsia="Arial" w:hAnsi="Arial"/>
                <w:sz w:val="16"/>
                <w:szCs w:val="16"/>
                <w:b w:val="1"/>
                <w:bCs w:val="1"/>
                <w:color w:val="auto"/>
              </w:rPr>
              <w:t>December 31,</w:t>
            </w:r>
          </w:p>
        </w:tc>
        <w:tc>
          <w:tcPr>
            <w:tcW w:w="232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5"/>
        </w:trPr>
        <w:tc>
          <w:tcPr>
            <w:tcW w:w="6460" w:type="dxa"/>
            <w:vAlign w:val="bottom"/>
          </w:tcPr>
          <w:p>
            <w:pPr>
              <w:spacing w:after="0"/>
              <w:rPr>
                <w:sz w:val="18"/>
                <w:szCs w:val="18"/>
                <w:color w:val="auto"/>
              </w:rPr>
            </w:pPr>
          </w:p>
        </w:tc>
        <w:tc>
          <w:tcPr>
            <w:tcW w:w="2440" w:type="dxa"/>
            <w:vAlign w:val="bottom"/>
            <w:gridSpan w:val="4"/>
            <w:vMerge w:val="continue"/>
          </w:tcPr>
          <w:p>
            <w:pPr>
              <w:spacing w:after="0"/>
              <w:rPr>
                <w:sz w:val="18"/>
                <w:szCs w:val="18"/>
                <w:color w:val="auto"/>
              </w:rPr>
            </w:pPr>
          </w:p>
        </w:tc>
        <w:tc>
          <w:tcPr>
            <w:tcW w:w="232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64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45"/>
        </w:trPr>
        <w:tc>
          <w:tcPr>
            <w:tcW w:w="6460" w:type="dxa"/>
            <w:vAlign w:val="bottom"/>
          </w:tcPr>
          <w:p>
            <w:pPr>
              <w:spacing w:after="0"/>
              <w:rPr>
                <w:sz w:val="20"/>
                <w:szCs w:val="20"/>
                <w:color w:val="auto"/>
              </w:rPr>
            </w:pPr>
            <w:r>
              <w:rPr>
                <w:rFonts w:ascii="Arial" w:cs="Arial" w:eastAsia="Arial" w:hAnsi="Arial"/>
                <w:sz w:val="16"/>
                <w:szCs w:val="16"/>
                <w:color w:val="auto"/>
              </w:rPr>
              <w:t>Mexican peso</w:t>
            </w:r>
          </w:p>
        </w:tc>
        <w:tc>
          <w:tcPr>
            <w:tcW w:w="112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6"/>
                <w:szCs w:val="16"/>
                <w:color w:val="auto"/>
              </w:rPr>
              <w:t>Guatemalan quetzal</w:t>
            </w:r>
          </w:p>
        </w:tc>
        <w:tc>
          <w:tcPr>
            <w:tcW w:w="112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6"/>
                <w:szCs w:val="16"/>
                <w:color w:val="auto"/>
              </w:rPr>
              <w:t>Honduran lempira</w:t>
            </w:r>
          </w:p>
        </w:tc>
        <w:tc>
          <w:tcPr>
            <w:tcW w:w="112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6"/>
                <w:szCs w:val="16"/>
                <w:color w:val="auto"/>
              </w:rPr>
              <w:t>Australian dollar</w:t>
            </w: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Our statement of operations constant currency results reflect the monthly exchange rate fluctuations and so are not directly calculable from the above rates. Constant currency results, where presented, also exclude the foreign currency gain or loss.</w:t>
      </w:r>
    </w:p>
    <w:p>
      <w:pPr>
        <w:sectPr>
          <w:pgSz w:w="11900" w:h="16838" w:orient="portrait"/>
          <w:cols w:equalWidth="0" w:num="1">
            <w:col w:w="11240"/>
          </w:cols>
          <w:pgMar w:left="320" w:top="93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8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2021</w:t>
            </w:r>
          </w:p>
        </w:tc>
      </w:tr>
      <w:tr>
        <w:trPr>
          <w:trHeight w:val="245"/>
        </w:trPr>
        <w:tc>
          <w:tcPr>
            <w:tcW w:w="84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1"/>
                <w:szCs w:val="21"/>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6"/>
        </w:trPr>
        <w:tc>
          <w:tcPr>
            <w:tcW w:w="84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84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6"/>
        </w:trPr>
        <w:tc>
          <w:tcPr>
            <w:tcW w:w="84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9"/>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09"/>
        </w:trPr>
        <w:tc>
          <w:tcPr>
            <w:tcW w:w="84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r>
    </w:tbl>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Total</w:t>
            </w:r>
          </w:p>
        </w:tc>
        <w:tc>
          <w:tcPr>
            <w:tcW w:w="11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Gross Profit</w:t>
            </w: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Income Before</w:t>
            </w:r>
          </w:p>
        </w:tc>
        <w:tc>
          <w:tcPr>
            <w:tcW w:w="120" w:type="dxa"/>
            <w:vAlign w:val="bottom"/>
          </w:tcPr>
          <w:p>
            <w:pPr>
              <w:spacing w:after="0"/>
              <w:rPr>
                <w:sz w:val="16"/>
                <w:szCs w:val="16"/>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Tax Effect</w:t>
            </w:r>
          </w:p>
        </w:tc>
        <w:tc>
          <w:tcPr>
            <w:tcW w:w="11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Net Income</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80" w:type="dxa"/>
            <w:vAlign w:val="bottom"/>
          </w:tcPr>
          <w:p>
            <w:pPr>
              <w:spacing w:after="0"/>
              <w:rPr>
                <w:sz w:val="16"/>
                <w:szCs w:val="16"/>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5"/>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Revenues</w:t>
            </w:r>
          </w:p>
        </w:tc>
        <w:tc>
          <w:tcPr>
            <w:tcW w:w="114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080" w:type="dxa"/>
            <w:vAlign w:val="bottom"/>
          </w:tcPr>
          <w:p>
            <w:pPr>
              <w:ind w:left="20"/>
              <w:spacing w:after="0"/>
              <w:rPr>
                <w:sz w:val="20"/>
                <w:szCs w:val="20"/>
                <w:color w:val="auto"/>
              </w:rPr>
            </w:pPr>
            <w:r>
              <w:rPr>
                <w:rFonts w:ascii="Arial" w:cs="Arial" w:eastAsia="Arial" w:hAnsi="Arial"/>
                <w:sz w:val="16"/>
                <w:szCs w:val="16"/>
                <w:color w:val="auto"/>
              </w:rPr>
              <w:t>2023 Q1 Reported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264.3</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152.5</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center"/>
              <w:ind w:left="439"/>
              <w:spacing w:after="0"/>
              <w:rPr>
                <w:sz w:val="20"/>
                <w:szCs w:val="20"/>
                <w:color w:val="auto"/>
              </w:rPr>
            </w:pPr>
            <w:r>
              <w:rPr>
                <w:rFonts w:ascii="Arial" w:cs="Arial" w:eastAsia="Arial" w:hAnsi="Arial"/>
                <w:sz w:val="16"/>
                <w:szCs w:val="16"/>
                <w:color w:val="auto"/>
                <w:w w:val="98"/>
              </w:rPr>
              <w:t>7.8</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1"/>
                <w:szCs w:val="21"/>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6"/>
                <w:szCs w:val="16"/>
                <w:color w:val="auto"/>
              </w:rPr>
              <w:t>Extinguishment of Debt Impact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left="4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6"/>
                <w:szCs w:val="16"/>
                <w:color w:val="auto"/>
              </w:rPr>
              <w:t>FX Impact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left="439"/>
              <w:spacing w:after="0"/>
              <w:rPr>
                <w:sz w:val="20"/>
                <w:szCs w:val="20"/>
                <w:color w:val="auto"/>
              </w:rPr>
            </w:pPr>
            <w:r>
              <w:rPr>
                <w:rFonts w:ascii="Arial" w:cs="Arial" w:eastAsia="Arial" w:hAnsi="Arial"/>
                <w:sz w:val="16"/>
                <w:szCs w:val="16"/>
                <w:color w:val="auto"/>
                <w:w w:val="98"/>
              </w:rPr>
              <w:t>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Constant currency impact</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0"/>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2023 Q1 Adjusted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261.6</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color w:val="auto"/>
                <w:w w:val="98"/>
              </w:rPr>
              <w:t>6.6</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0.28</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Total</w:t>
            </w:r>
          </w:p>
        </w:tc>
        <w:tc>
          <w:tcPr>
            <w:tcW w:w="11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Gross Profit</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Income Before</w:t>
            </w:r>
          </w:p>
        </w:tc>
        <w:tc>
          <w:tcPr>
            <w:tcW w:w="120" w:type="dxa"/>
            <w:vAlign w:val="bottom"/>
          </w:tcPr>
          <w:p>
            <w:pPr>
              <w:spacing w:after="0"/>
              <w:rPr>
                <w:sz w:val="16"/>
                <w:szCs w:val="16"/>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Tax Effect</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Net</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60" w:type="dxa"/>
            <w:vAlign w:val="bottom"/>
          </w:tcPr>
          <w:p>
            <w:pPr>
              <w:spacing w:after="0"/>
              <w:rPr>
                <w:sz w:val="16"/>
                <w:szCs w:val="16"/>
                <w:color w:val="auto"/>
              </w:rPr>
            </w:pPr>
          </w:p>
        </w:tc>
        <w:tc>
          <w:tcPr>
            <w:tcW w:w="8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Revenues</w:t>
            </w:r>
          </w:p>
        </w:tc>
        <w:tc>
          <w:tcPr>
            <w:tcW w:w="114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Income</w:t>
            </w:r>
          </w:p>
        </w:tc>
        <w:tc>
          <w:tcPr>
            <w:tcW w:w="11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00" w:type="dxa"/>
            <w:vAlign w:val="bottom"/>
          </w:tcPr>
          <w:p>
            <w:pPr>
              <w:ind w:left="20"/>
              <w:spacing w:after="0"/>
              <w:rPr>
                <w:sz w:val="20"/>
                <w:szCs w:val="20"/>
                <w:color w:val="auto"/>
              </w:rPr>
            </w:pPr>
            <w:r>
              <w:rPr>
                <w:rFonts w:ascii="Arial" w:cs="Arial" w:eastAsia="Arial" w:hAnsi="Arial"/>
                <w:sz w:val="16"/>
                <w:szCs w:val="16"/>
                <w:color w:val="auto"/>
              </w:rPr>
              <w:t>2022</w:t>
            </w:r>
          </w:p>
        </w:tc>
        <w:tc>
          <w:tcPr>
            <w:tcW w:w="260" w:type="dxa"/>
            <w:vAlign w:val="bottom"/>
          </w:tcPr>
          <w:p>
            <w:pPr>
              <w:ind w:left="40"/>
              <w:spacing w:after="0"/>
              <w:rPr>
                <w:sz w:val="20"/>
                <w:szCs w:val="20"/>
                <w:color w:val="auto"/>
              </w:rPr>
            </w:pPr>
            <w:r>
              <w:rPr>
                <w:rFonts w:ascii="Arial" w:cs="Arial" w:eastAsia="Arial" w:hAnsi="Arial"/>
                <w:sz w:val="16"/>
                <w:szCs w:val="16"/>
                <w:color w:val="auto"/>
                <w:w w:val="93"/>
              </w:rPr>
              <w:t>Q1</w:t>
            </w:r>
          </w:p>
        </w:tc>
        <w:tc>
          <w:tcPr>
            <w:tcW w:w="2380" w:type="dxa"/>
            <w:vAlign w:val="bottom"/>
          </w:tcPr>
          <w:p>
            <w:pPr>
              <w:ind w:left="40"/>
              <w:spacing w:after="0"/>
              <w:rPr>
                <w:sz w:val="20"/>
                <w:szCs w:val="20"/>
                <w:color w:val="auto"/>
              </w:rPr>
            </w:pPr>
            <w:r>
              <w:rPr>
                <w:rFonts w:ascii="Arial" w:cs="Arial" w:eastAsia="Arial" w:hAnsi="Arial"/>
                <w:sz w:val="16"/>
                <w:szCs w:val="16"/>
                <w:color w:val="auto"/>
              </w:rPr>
              <w:t>Reported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221.0</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132.1</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center"/>
              <w:ind w:left="439"/>
              <w:spacing w:after="0"/>
              <w:rPr>
                <w:sz w:val="20"/>
                <w:szCs w:val="20"/>
                <w:color w:val="auto"/>
              </w:rPr>
            </w:pPr>
            <w:r>
              <w:rPr>
                <w:rFonts w:ascii="Arial" w:cs="Arial" w:eastAsia="Arial" w:hAnsi="Arial"/>
                <w:sz w:val="16"/>
                <w:szCs w:val="16"/>
                <w:color w:val="auto"/>
                <w:w w:val="98"/>
              </w:rPr>
              <w:t>5.6</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1"/>
                <w:szCs w:val="21"/>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19"/>
        </w:trPr>
        <w:tc>
          <w:tcPr>
            <w:tcW w:w="30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FX Impact</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0"/>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2022</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93"/>
              </w:rPr>
              <w:t>Q1</w:t>
            </w:r>
          </w:p>
        </w:tc>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Adjusted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221.0</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132.1</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color w:val="auto"/>
                <w:w w:val="98"/>
              </w:rPr>
              <w:t>5.5</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9" w:right="339" w:bottom="1440" w:gutter="0" w:footer="0" w:header="0"/>
        </w:sectPr>
      </w:pPr>
    </w:p>
    <w:bookmarkStart w:id="13" w:name="page14"/>
    <w:bookmarkEnd w:id="13"/>
    <w:p>
      <w:pPr>
        <w:jc w:val="center"/>
        <w:ind w:left="8740"/>
        <w:spacing w:after="0"/>
        <w:rPr>
          <w:sz w:val="20"/>
          <w:szCs w:val="20"/>
          <w:color w:val="auto"/>
        </w:rPr>
      </w:pPr>
      <w:r>
        <w:rPr>
          <w:rFonts w:ascii="Arial" w:cs="Arial" w:eastAsia="Arial" w:hAnsi="Arial"/>
          <w:sz w:val="16"/>
          <w:szCs w:val="16"/>
          <w:b w:val="1"/>
          <w:bCs w:val="1"/>
          <w:color w:val="auto"/>
        </w:rPr>
        <w:t>Three Months Ended</w:t>
      </w:r>
    </w:p>
    <w:p>
      <w:pPr>
        <w:jc w:val="center"/>
        <w:ind w:left="8740"/>
        <w:spacing w:after="0"/>
        <w:rPr>
          <w:sz w:val="20"/>
          <w:szCs w:val="20"/>
          <w:color w:val="auto"/>
        </w:rPr>
      </w:pPr>
      <w:r>
        <w:rPr>
          <w:rFonts w:ascii="Arial" w:cs="Arial" w:eastAsia="Arial" w:hAnsi="Arial"/>
          <w:sz w:val="16"/>
          <w:szCs w:val="16"/>
          <w:b w:val="1"/>
          <w:bCs w:val="1"/>
          <w:color w:val="auto"/>
        </w:rPr>
        <w:t>December 31, 2022</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center"/>
              <w:ind w:right="240"/>
              <w:spacing w:after="0" w:line="161" w:lineRule="exact"/>
              <w:rPr>
                <w:sz w:val="20"/>
                <w:szCs w:val="20"/>
                <w:color w:val="auto"/>
              </w:rPr>
            </w:pPr>
            <w:r>
              <w:rPr>
                <w:rFonts w:ascii="Arial" w:cs="Arial" w:eastAsia="Arial" w:hAnsi="Arial"/>
                <w:sz w:val="16"/>
                <w:szCs w:val="16"/>
                <w:b w:val="1"/>
                <w:bCs w:val="1"/>
                <w:color w:val="auto"/>
              </w:rPr>
              <w:t>U.S. Dollar</w:t>
            </w:r>
          </w:p>
        </w:tc>
        <w:tc>
          <w:tcPr>
            <w:tcW w:w="1240" w:type="dxa"/>
            <w:vAlign w:val="bottom"/>
            <w:tcBorders>
              <w:top w:val="single" w:sz="8" w:color="auto"/>
            </w:tcBorders>
          </w:tcPr>
          <w:p>
            <w:pPr>
              <w:jc w:val="right"/>
              <w:ind w:right="99"/>
              <w:spacing w:after="0" w:line="161" w:lineRule="exact"/>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215"/>
        </w:trPr>
        <w:tc>
          <w:tcPr>
            <w:tcW w:w="8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Change YOY</w:t>
            </w:r>
          </w:p>
        </w:tc>
        <w:tc>
          <w:tcPr>
            <w:tcW w:w="0" w:type="dxa"/>
            <w:vAlign w:val="bottom"/>
          </w:tcPr>
          <w:p>
            <w:pPr>
              <w:spacing w:after="0"/>
              <w:rPr>
                <w:sz w:val="1"/>
                <w:szCs w:val="1"/>
                <w:color w:val="auto"/>
              </w:rPr>
            </w:pPr>
          </w:p>
        </w:tc>
      </w:tr>
      <w:tr>
        <w:trPr>
          <w:trHeight w:val="245"/>
        </w:trPr>
        <w:tc>
          <w:tcPr>
            <w:tcW w:w="8760" w:type="dxa"/>
            <w:vAlign w:val="bottom"/>
          </w:tcPr>
          <w:p>
            <w:pPr>
              <w:ind w:left="20"/>
              <w:spacing w:after="0"/>
              <w:rPr>
                <w:sz w:val="20"/>
                <w:szCs w:val="20"/>
                <w:color w:val="auto"/>
              </w:rPr>
            </w:pPr>
            <w:r>
              <w:rPr>
                <w:rFonts w:ascii="Arial" w:cs="Arial" w:eastAsia="Arial" w:hAnsi="Arial"/>
                <w:sz w:val="16"/>
                <w:szCs w:val="16"/>
                <w:color w:val="auto"/>
              </w:rPr>
              <w:t>Consolidated revenue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264.3</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19"/>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7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261.6</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47"/>
        </w:trPr>
        <w:tc>
          <w:tcPr>
            <w:tcW w:w="8760" w:type="dxa"/>
            <w:vAlign w:val="bottom"/>
          </w:tcPr>
          <w:p>
            <w:pPr>
              <w:ind w:left="20"/>
              <w:spacing w:after="0"/>
              <w:rPr>
                <w:sz w:val="20"/>
                <w:szCs w:val="20"/>
                <w:color w:val="auto"/>
              </w:rPr>
            </w:pPr>
            <w:r>
              <w:rPr>
                <w:rFonts w:ascii="Arial" w:cs="Arial" w:eastAsia="Arial" w:hAnsi="Arial"/>
                <w:sz w:val="16"/>
                <w:szCs w:val="16"/>
                <w:color w:val="auto"/>
              </w:rPr>
              <w:t>Consolidated gross profit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152.5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19"/>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7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gross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47"/>
        </w:trPr>
        <w:tc>
          <w:tcPr>
            <w:tcW w:w="8760" w:type="dxa"/>
            <w:vAlign w:val="bottom"/>
          </w:tcPr>
          <w:p>
            <w:pPr>
              <w:ind w:left="20"/>
              <w:spacing w:after="0"/>
              <w:rPr>
                <w:sz w:val="20"/>
                <w:szCs w:val="20"/>
                <w:color w:val="auto"/>
              </w:rPr>
            </w:pPr>
            <w:r>
              <w:rPr>
                <w:rFonts w:ascii="Arial" w:cs="Arial" w:eastAsia="Arial" w:hAnsi="Arial"/>
                <w:sz w:val="16"/>
                <w:szCs w:val="16"/>
                <w:color w:val="auto"/>
              </w:rPr>
              <w:t>Consolidated net inventory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156.1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19"/>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7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net inventory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154.7</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88"/>
        </w:trPr>
        <w:tc>
          <w:tcPr>
            <w:tcW w:w="8760" w:type="dxa"/>
            <w:vAlign w:val="bottom"/>
          </w:tcPr>
          <w:p>
            <w:pPr>
              <w:ind w:left="20"/>
              <w:spacing w:after="0"/>
              <w:rPr>
                <w:sz w:val="20"/>
                <w:szCs w:val="20"/>
                <w:color w:val="auto"/>
              </w:rPr>
            </w:pPr>
            <w:r>
              <w:rPr>
                <w:rFonts w:ascii="Arial" w:cs="Arial" w:eastAsia="Arial" w:hAnsi="Arial"/>
                <w:sz w:val="16"/>
                <w:szCs w:val="16"/>
                <w:color w:val="auto"/>
              </w:rPr>
              <w:t>Latin America Pawn gross profit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9"/>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7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gross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47"/>
        </w:trPr>
        <w:tc>
          <w:tcPr>
            <w:tcW w:w="8760" w:type="dxa"/>
            <w:vAlign w:val="bottom"/>
          </w:tcPr>
          <w:p>
            <w:pPr>
              <w:ind w:left="20"/>
              <w:spacing w:after="0"/>
              <w:rPr>
                <w:sz w:val="20"/>
                <w:szCs w:val="20"/>
                <w:color w:val="auto"/>
              </w:rPr>
            </w:pPr>
            <w:r>
              <w:rPr>
                <w:rFonts w:ascii="Arial" w:cs="Arial" w:eastAsia="Arial" w:hAnsi="Arial"/>
                <w:sz w:val="16"/>
                <w:szCs w:val="16"/>
                <w:color w:val="auto"/>
              </w:rPr>
              <w:t>Latin America Pawn PLO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9"/>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7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PLO</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47"/>
        </w:trPr>
        <w:tc>
          <w:tcPr>
            <w:tcW w:w="8760" w:type="dxa"/>
            <w:vAlign w:val="bottom"/>
          </w:tcPr>
          <w:p>
            <w:pPr>
              <w:ind w:left="20"/>
              <w:spacing w:after="0"/>
              <w:rPr>
                <w:sz w:val="20"/>
                <w:szCs w:val="20"/>
                <w:color w:val="auto"/>
              </w:rPr>
            </w:pPr>
            <w:r>
              <w:rPr>
                <w:rFonts w:ascii="Arial" w:cs="Arial" w:eastAsia="Arial" w:hAnsi="Arial"/>
                <w:sz w:val="16"/>
                <w:szCs w:val="16"/>
                <w:color w:val="auto"/>
              </w:rPr>
              <w:t>Latin America Pawn PSC revenues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19"/>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7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PSC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47"/>
        </w:trPr>
        <w:tc>
          <w:tcPr>
            <w:tcW w:w="8760" w:type="dxa"/>
            <w:vAlign w:val="bottom"/>
          </w:tcPr>
          <w:p>
            <w:pPr>
              <w:ind w:left="20"/>
              <w:spacing w:after="0"/>
              <w:rPr>
                <w:sz w:val="20"/>
                <w:szCs w:val="20"/>
                <w:color w:val="auto"/>
              </w:rPr>
            </w:pPr>
            <w:r>
              <w:rPr>
                <w:rFonts w:ascii="Arial" w:cs="Arial" w:eastAsia="Arial" w:hAnsi="Arial"/>
                <w:sz w:val="16"/>
                <w:szCs w:val="16"/>
                <w:color w:val="auto"/>
              </w:rPr>
              <w:t>Latin America Pawn 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19"/>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7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merchandise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47"/>
        </w:trPr>
        <w:tc>
          <w:tcPr>
            <w:tcW w:w="8760" w:type="dxa"/>
            <w:vAlign w:val="bottom"/>
          </w:tcPr>
          <w:p>
            <w:pPr>
              <w:ind w:left="20"/>
              <w:spacing w:after="0"/>
              <w:rPr>
                <w:sz w:val="20"/>
                <w:szCs w:val="20"/>
                <w:color w:val="auto"/>
              </w:rPr>
            </w:pPr>
            <w:r>
              <w:rPr>
                <w:rFonts w:ascii="Arial" w:cs="Arial" w:eastAsia="Arial" w:hAnsi="Arial"/>
                <w:sz w:val="16"/>
                <w:szCs w:val="16"/>
                <w:color w:val="auto"/>
              </w:rPr>
              <w:t>Latin America Pawn segment profit before tax</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19"/>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7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segment profit before tax</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2023-02-01T15:51:28Z</dcterms:created>
  <dcterms:modified xsi:type="dcterms:W3CDTF">2023-02-01T15:51:28Z</dcterms:modified>
</cp:coreProperties>
</file>