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ind w:left="4960"/>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ind w:left="2960"/>
        <w:spacing w:after="0"/>
        <w:rPr>
          <w:sz w:val="20"/>
          <w:szCs w:val="20"/>
          <w:color w:val="auto"/>
        </w:rPr>
      </w:pPr>
      <w:r>
        <w:rPr>
          <w:rFonts w:ascii="Arial" w:cs="Arial" w:eastAsia="Arial" w:hAnsi="Arial"/>
          <w:sz w:val="25"/>
          <w:szCs w:val="25"/>
          <w:b w:val="1"/>
          <w:bCs w:val="1"/>
          <w:color w:val="auto"/>
        </w:rPr>
        <w:t>SECURITIES AND EXCHANGE COMMISSION</w:t>
      </w:r>
    </w:p>
    <w:p>
      <w:pPr>
        <w:spacing w:after="0" w:line="8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123190</wp:posOffset>
            </wp:positionV>
            <wp:extent cx="18942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8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73025</wp:posOffset>
            </wp:positionV>
            <wp:extent cx="1894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65" w:lineRule="exact"/>
        <w:rPr>
          <w:sz w:val="24"/>
          <w:szCs w:val="24"/>
          <w:color w:val="auto"/>
        </w:rPr>
      </w:pPr>
    </w:p>
    <w:p>
      <w:pPr>
        <w:ind w:left="3360" w:right="760" w:hanging="2740"/>
        <w:spacing w:after="0" w:line="397" w:lineRule="auto"/>
        <w:tabs>
          <w:tab w:leader="none" w:pos="1205"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QUARTERLY REPORT PURSUANT TO SECTION 13 OR 15(d) OF THE SECURITIES EXCHANGE ACT OF 1934 For the quarterly period ended December 31, 2024 or</w:t>
      </w:r>
    </w:p>
    <w:p>
      <w:pPr>
        <w:spacing w:after="0" w:line="70" w:lineRule="exact"/>
        <w:rPr>
          <w:sz w:val="24"/>
          <w:szCs w:val="24"/>
          <w:color w:val="auto"/>
        </w:rPr>
      </w:pPr>
    </w:p>
    <w:p>
      <w:pPr>
        <w:ind w:left="1220" w:hanging="600"/>
        <w:spacing w:after="0"/>
        <w:tabs>
          <w:tab w:leader="none" w:pos="1220" w:val="left"/>
        </w:tabs>
        <w:numPr>
          <w:ilvl w:val="0"/>
          <w:numId w:val="2"/>
        </w:numPr>
        <w:rPr>
          <w:rFonts w:ascii="MS PGothic" w:cs="MS PGothic" w:eastAsia="MS PGothic" w:hAnsi="MS PGothic"/>
          <w:sz w:val="25"/>
          <w:szCs w:val="25"/>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3" w:lineRule="exact"/>
        <w:rPr>
          <w:sz w:val="24"/>
          <w:szCs w:val="24"/>
          <w:color w:val="auto"/>
        </w:rPr>
      </w:pPr>
    </w:p>
    <w:p>
      <w:pPr>
        <w:ind w:left="31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3606165</wp:posOffset>
            </wp:positionH>
            <wp:positionV relativeFrom="paragraph">
              <wp:posOffset>-7620</wp:posOffset>
            </wp:positionV>
            <wp:extent cx="1567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7815" cy="8255"/>
                    </a:xfrm>
                    <a:prstGeom prst="rect">
                      <a:avLst/>
                    </a:prstGeom>
                    <a:noFill/>
                  </pic:spPr>
                </pic:pic>
              </a:graphicData>
            </a:graphic>
          </wp:anchor>
        </w:drawing>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0-19424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52070</wp:posOffset>
            </wp:positionV>
            <wp:extent cx="2005965"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596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EZCORP, INC.</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2660" w:type="dxa"/>
        <w:tblCellMar>
          <w:top w:w="0" w:type="dxa"/>
          <w:left w:w="0" w:type="dxa"/>
          <w:bottom w:w="0" w:type="dxa"/>
          <w:right w:w="0" w:type="dxa"/>
        </w:tblCellMar>
      </w:tblPr>
      <w:tr>
        <w:trPr>
          <w:trHeight w:val="196"/>
        </w:trPr>
        <w:tc>
          <w:tcPr>
            <w:tcW w:w="1100" w:type="dxa"/>
            <w:vAlign w:val="bottom"/>
          </w:tcPr>
          <w:p>
            <w:pPr>
              <w:spacing w:after="0"/>
              <w:rPr>
                <w:sz w:val="17"/>
                <w:szCs w:val="17"/>
                <w:color w:val="auto"/>
              </w:rPr>
            </w:pPr>
          </w:p>
        </w:tc>
        <w:tc>
          <w:tcPr>
            <w:tcW w:w="2840" w:type="dxa"/>
            <w:vAlign w:val="bottom"/>
          </w:tcPr>
          <w:p>
            <w:pPr>
              <w:jc w:val="center"/>
              <w:ind w:right="1168"/>
              <w:spacing w:after="0"/>
              <w:rPr>
                <w:sz w:val="20"/>
                <w:szCs w:val="20"/>
                <w:color w:val="auto"/>
              </w:rPr>
            </w:pPr>
            <w:r>
              <w:rPr>
                <w:rFonts w:ascii="Arial" w:cs="Arial" w:eastAsia="Arial" w:hAnsi="Arial"/>
                <w:sz w:val="14"/>
                <w:szCs w:val="14"/>
                <w:b w:val="1"/>
                <w:bCs w:val="1"/>
                <w:color w:val="auto"/>
              </w:rPr>
              <w:t>Delaware</w:t>
            </w:r>
          </w:p>
        </w:tc>
        <w:tc>
          <w:tcPr>
            <w:tcW w:w="2020" w:type="dxa"/>
            <w:vAlign w:val="bottom"/>
          </w:tcPr>
          <w:p>
            <w:pPr>
              <w:jc w:val="right"/>
              <w:ind w:right="508"/>
              <w:spacing w:after="0"/>
              <w:rPr>
                <w:sz w:val="20"/>
                <w:szCs w:val="20"/>
                <w:color w:val="auto"/>
              </w:rPr>
            </w:pPr>
            <w:r>
              <w:rPr>
                <w:rFonts w:ascii="Arial" w:cs="Arial" w:eastAsia="Arial" w:hAnsi="Arial"/>
                <w:sz w:val="14"/>
                <w:szCs w:val="14"/>
                <w:b w:val="1"/>
                <w:bCs w:val="1"/>
                <w:color w:val="auto"/>
              </w:rPr>
              <w:t>74-2540145</w:t>
            </w:r>
          </w:p>
        </w:tc>
        <w:tc>
          <w:tcPr>
            <w:tcW w:w="0" w:type="dxa"/>
            <w:vAlign w:val="bottom"/>
          </w:tcPr>
          <w:p>
            <w:pPr>
              <w:spacing w:after="0"/>
              <w:rPr>
                <w:sz w:val="1"/>
                <w:szCs w:val="1"/>
                <w:color w:val="auto"/>
              </w:rPr>
            </w:pPr>
          </w:p>
        </w:tc>
      </w:tr>
      <w:tr>
        <w:trPr>
          <w:trHeight w:val="168"/>
        </w:trPr>
        <w:tc>
          <w:tcPr>
            <w:tcW w:w="3940" w:type="dxa"/>
            <w:vAlign w:val="bottom"/>
            <w:gridSpan w:val="2"/>
            <w:vMerge w:val="restart"/>
          </w:tcPr>
          <w:p>
            <w:pPr>
              <w:jc w:val="center"/>
              <w:ind w:right="68"/>
              <w:spacing w:after="0"/>
              <w:rPr>
                <w:sz w:val="20"/>
                <w:szCs w:val="20"/>
                <w:color w:val="auto"/>
              </w:rPr>
            </w:pPr>
            <w:r>
              <w:rPr>
                <w:rFonts w:ascii="Arial" w:cs="Arial" w:eastAsia="Arial" w:hAnsi="Arial"/>
                <w:sz w:val="14"/>
                <w:szCs w:val="14"/>
                <w:color w:val="auto"/>
              </w:rPr>
              <w:t>(State or other jurisdiction of incorporation or organization)</w:t>
            </w:r>
          </w:p>
        </w:tc>
        <w:tc>
          <w:tcPr>
            <w:tcW w:w="2020" w:type="dxa"/>
            <w:vAlign w:val="bottom"/>
          </w:tcPr>
          <w:p>
            <w:pPr>
              <w:jc w:val="center"/>
              <w:ind w:left="48"/>
              <w:spacing w:after="0"/>
              <w:rPr>
                <w:sz w:val="20"/>
                <w:szCs w:val="20"/>
                <w:color w:val="auto"/>
              </w:rPr>
            </w:pPr>
            <w:r>
              <w:rPr>
                <w:rFonts w:ascii="Arial" w:cs="Arial" w:eastAsia="Arial" w:hAnsi="Arial"/>
                <w:sz w:val="14"/>
                <w:szCs w:val="14"/>
                <w:color w:val="auto"/>
              </w:rPr>
              <w:t>(I.R.S. Employer Identification</w:t>
            </w:r>
          </w:p>
        </w:tc>
        <w:tc>
          <w:tcPr>
            <w:tcW w:w="0" w:type="dxa"/>
            <w:vAlign w:val="bottom"/>
          </w:tcPr>
          <w:p>
            <w:pPr>
              <w:spacing w:after="0"/>
              <w:rPr>
                <w:sz w:val="1"/>
                <w:szCs w:val="1"/>
                <w:color w:val="auto"/>
              </w:rPr>
            </w:pPr>
          </w:p>
        </w:tc>
      </w:tr>
      <w:tr>
        <w:trPr>
          <w:trHeight w:val="190"/>
        </w:trPr>
        <w:tc>
          <w:tcPr>
            <w:tcW w:w="3940" w:type="dxa"/>
            <w:vAlign w:val="bottom"/>
            <w:gridSpan w:val="2"/>
            <w:vMerge w:val="continue"/>
          </w:tcPr>
          <w:p>
            <w:pPr>
              <w:spacing w:after="0"/>
              <w:rPr>
                <w:sz w:val="16"/>
                <w:szCs w:val="16"/>
                <w:color w:val="auto"/>
              </w:rPr>
            </w:pPr>
          </w:p>
        </w:tc>
        <w:tc>
          <w:tcPr>
            <w:tcW w:w="2020" w:type="dxa"/>
            <w:vAlign w:val="bottom"/>
          </w:tcPr>
          <w:p>
            <w:pPr>
              <w:jc w:val="center"/>
              <w:ind w:left="28"/>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201"/>
        </w:trPr>
        <w:tc>
          <w:tcPr>
            <w:tcW w:w="1100" w:type="dxa"/>
            <w:vAlign w:val="bottom"/>
          </w:tcPr>
          <w:p>
            <w:pPr>
              <w:jc w:val="center"/>
              <w:ind w:right="8"/>
              <w:spacing w:after="0"/>
              <w:rPr>
                <w:sz w:val="20"/>
                <w:szCs w:val="20"/>
                <w:color w:val="auto"/>
              </w:rPr>
            </w:pPr>
            <w:r>
              <w:rPr>
                <w:rFonts w:ascii="Arial" w:cs="Arial" w:eastAsia="Arial" w:hAnsi="Arial"/>
                <w:sz w:val="14"/>
                <w:szCs w:val="14"/>
                <w:b w:val="1"/>
                <w:bCs w:val="1"/>
                <w:color w:val="auto"/>
              </w:rPr>
              <w:t>2500 Bee Cave</w:t>
            </w:r>
          </w:p>
        </w:tc>
        <w:tc>
          <w:tcPr>
            <w:tcW w:w="28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Bldg One Suite 200 Rollingwood  TX</w:t>
            </w:r>
          </w:p>
        </w:tc>
        <w:tc>
          <w:tcPr>
            <w:tcW w:w="2020" w:type="dxa"/>
            <w:vAlign w:val="bottom"/>
            <w:vMerge w:val="restart"/>
          </w:tcPr>
          <w:p>
            <w:pPr>
              <w:jc w:val="right"/>
              <w:ind w:right="688"/>
              <w:spacing w:after="0"/>
              <w:rPr>
                <w:sz w:val="20"/>
                <w:szCs w:val="20"/>
                <w:color w:val="auto"/>
              </w:rPr>
            </w:pPr>
            <w:r>
              <w:rPr>
                <w:rFonts w:ascii="Arial" w:cs="Arial" w:eastAsia="Arial" w:hAnsi="Arial"/>
                <w:sz w:val="14"/>
                <w:szCs w:val="14"/>
                <w:b w:val="1"/>
                <w:bCs w:val="1"/>
                <w:color w:val="auto"/>
              </w:rPr>
              <w:t>78746</w:t>
            </w:r>
          </w:p>
        </w:tc>
        <w:tc>
          <w:tcPr>
            <w:tcW w:w="0" w:type="dxa"/>
            <w:vAlign w:val="bottom"/>
          </w:tcPr>
          <w:p>
            <w:pPr>
              <w:spacing w:after="0"/>
              <w:rPr>
                <w:sz w:val="1"/>
                <w:szCs w:val="1"/>
                <w:color w:val="auto"/>
              </w:rPr>
            </w:pPr>
          </w:p>
        </w:tc>
      </w:tr>
      <w:tr>
        <w:trPr>
          <w:trHeight w:val="189"/>
        </w:trPr>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Road</w:t>
            </w:r>
          </w:p>
        </w:tc>
        <w:tc>
          <w:tcPr>
            <w:tcW w:w="2840" w:type="dxa"/>
            <w:vAlign w:val="bottom"/>
            <w:vMerge w:val="continue"/>
          </w:tcPr>
          <w:p>
            <w:pPr>
              <w:spacing w:after="0"/>
              <w:rPr>
                <w:sz w:val="16"/>
                <w:szCs w:val="16"/>
                <w:color w:val="auto"/>
              </w:rPr>
            </w:pP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40" w:type="dxa"/>
            <w:vAlign w:val="bottom"/>
            <w:gridSpan w:val="2"/>
          </w:tcPr>
          <w:p>
            <w:pPr>
              <w:jc w:val="center"/>
              <w:ind w:right="48"/>
              <w:spacing w:after="0"/>
              <w:rPr>
                <w:sz w:val="20"/>
                <w:szCs w:val="20"/>
                <w:color w:val="auto"/>
              </w:rPr>
            </w:pPr>
            <w:r>
              <w:rPr>
                <w:rFonts w:ascii="Arial" w:cs="Arial" w:eastAsia="Arial" w:hAnsi="Arial"/>
                <w:sz w:val="14"/>
                <w:szCs w:val="14"/>
                <w:color w:val="auto"/>
              </w:rPr>
              <w:t>(Address of principal executive offices)</w:t>
            </w:r>
          </w:p>
        </w:tc>
        <w:tc>
          <w:tcPr>
            <w:tcW w:w="2020" w:type="dxa"/>
            <w:vAlign w:val="bottom"/>
          </w:tcPr>
          <w:p>
            <w:pPr>
              <w:jc w:val="center"/>
              <w:ind w:left="28"/>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bl>
    <w:p>
      <w:pPr>
        <w:spacing w:after="0" w:line="16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(512) 314-3400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126365</wp:posOffset>
            </wp:positionV>
            <wp:extent cx="2331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354"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9" w:lineRule="exact"/>
        <w:rPr>
          <w:sz w:val="24"/>
          <w:szCs w:val="24"/>
          <w:color w:val="auto"/>
        </w:rPr>
      </w:pPr>
    </w:p>
    <w:tbl>
      <w:tblPr>
        <w:tblLayout w:type="fixed"/>
        <w:tblInd w:w="1000" w:type="dxa"/>
        <w:tblCellMar>
          <w:top w:w="0" w:type="dxa"/>
          <w:left w:w="0" w:type="dxa"/>
          <w:bottom w:w="0" w:type="dxa"/>
          <w:right w:w="0" w:type="dxa"/>
        </w:tblCellMar>
      </w:tblPr>
      <w:tr>
        <w:trPr>
          <w:trHeight w:val="197"/>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60" w:type="dxa"/>
            <w:vAlign w:val="bottom"/>
          </w:tcPr>
          <w:p>
            <w:pPr>
              <w:spacing w:after="0"/>
              <w:rPr>
                <w:sz w:val="17"/>
                <w:szCs w:val="17"/>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8"/>
        </w:trPr>
        <w:tc>
          <w:tcPr>
            <w:tcW w:w="3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Class A Non-voting Common Stock, par value $.01 per</w:t>
            </w:r>
          </w:p>
        </w:tc>
        <w:tc>
          <w:tcPr>
            <w:tcW w:w="14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EZPW</w:t>
            </w:r>
          </w:p>
        </w:tc>
        <w:tc>
          <w:tcPr>
            <w:tcW w:w="3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NASDAQ Stock Market</w:t>
            </w:r>
          </w:p>
        </w:tc>
        <w:tc>
          <w:tcPr>
            <w:tcW w:w="0" w:type="dxa"/>
            <w:vAlign w:val="bottom"/>
          </w:tcPr>
          <w:p>
            <w:pPr>
              <w:spacing w:after="0"/>
              <w:rPr>
                <w:sz w:val="1"/>
                <w:szCs w:val="1"/>
                <w:color w:val="auto"/>
              </w:rPr>
            </w:pPr>
          </w:p>
        </w:tc>
      </w:tr>
      <w:tr>
        <w:trPr>
          <w:trHeight w:val="196"/>
        </w:trPr>
        <w:tc>
          <w:tcPr>
            <w:tcW w:w="3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w:t>
            </w:r>
          </w:p>
        </w:tc>
        <w:tc>
          <w:tcPr>
            <w:tcW w:w="1460" w:type="dxa"/>
            <w:vAlign w:val="bottom"/>
            <w:gridSpan w:val="2"/>
            <w:vMerge w:val="continue"/>
          </w:tcPr>
          <w:p>
            <w:pPr>
              <w:spacing w:after="0"/>
              <w:rPr>
                <w:sz w:val="17"/>
                <w:szCs w:val="17"/>
                <w:color w:val="auto"/>
              </w:rPr>
            </w:pPr>
          </w:p>
        </w:tc>
        <w:tc>
          <w:tcPr>
            <w:tcW w:w="3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rPr>
              <w:t>(NASDAQ Global Select Market)</w:t>
            </w:r>
          </w:p>
        </w:tc>
        <w:tc>
          <w:tcPr>
            <w:tcW w:w="0" w:type="dxa"/>
            <w:vAlign w:val="bottom"/>
          </w:tcPr>
          <w:p>
            <w:pPr>
              <w:spacing w:after="0"/>
              <w:rPr>
                <w:sz w:val="1"/>
                <w:szCs w:val="1"/>
                <w:color w:val="auto"/>
              </w:rPr>
            </w:pPr>
          </w:p>
        </w:tc>
      </w:tr>
    </w:tbl>
    <w:p>
      <w:pPr>
        <w:spacing w:after="0" w:line="114" w:lineRule="exact"/>
        <w:rPr>
          <w:sz w:val="24"/>
          <w:szCs w:val="24"/>
          <w:color w:val="auto"/>
        </w:rPr>
      </w:pPr>
    </w:p>
    <w:p>
      <w:pPr>
        <w:ind w:right="6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tabs>
          <w:tab w:leader="none" w:pos="480" w:val="left"/>
          <w:tab w:leader="none" w:pos="110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12" w:lineRule="exact"/>
        <w:rPr>
          <w:sz w:val="24"/>
          <w:szCs w:val="24"/>
          <w:color w:val="auto"/>
        </w:rPr>
      </w:pPr>
    </w:p>
    <w:p>
      <w:pPr>
        <w:ind w:right="64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ind w:right="540"/>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204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16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2580" w:type="dxa"/>
            <w:vAlign w:val="bottom"/>
          </w:tcPr>
          <w:p>
            <w:pPr>
              <w:ind w:left="120"/>
              <w:spacing w:after="0"/>
              <w:rPr>
                <w:sz w:val="20"/>
                <w:szCs w:val="20"/>
                <w:color w:val="auto"/>
              </w:rPr>
            </w:pPr>
            <w:r>
              <w:rPr>
                <w:rFonts w:ascii="Arial" w:cs="Arial" w:eastAsia="Arial" w:hAnsi="Arial"/>
                <w:sz w:val="14"/>
                <w:szCs w:val="14"/>
                <w:color w:val="auto"/>
              </w:rPr>
              <w:t>Accelerated filer</w:t>
            </w:r>
          </w:p>
        </w:tc>
        <w:tc>
          <w:tcPr>
            <w:tcW w:w="9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300" w:type="dxa"/>
            <w:vAlign w:val="bottom"/>
          </w:tcPr>
          <w:p>
            <w:pPr>
              <w:spacing w:after="0"/>
              <w:rPr>
                <w:sz w:val="20"/>
                <w:szCs w:val="20"/>
                <w:color w:val="auto"/>
              </w:rPr>
            </w:pPr>
            <w:r>
              <w:rPr>
                <w:rFonts w:ascii="Arial" w:cs="Arial" w:eastAsia="Arial" w:hAnsi="Arial"/>
                <w:sz w:val="14"/>
                <w:szCs w:val="14"/>
                <w:color w:val="auto"/>
              </w:rPr>
              <w:t>Non-accelerated filer</w:t>
            </w:r>
          </w:p>
        </w:tc>
        <w:tc>
          <w:tcPr>
            <w:tcW w:w="116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2580" w:type="dxa"/>
            <w:vAlign w:val="bottom"/>
          </w:tcPr>
          <w:p>
            <w:pPr>
              <w:ind w:left="120"/>
              <w:spacing w:after="0"/>
              <w:rPr>
                <w:sz w:val="20"/>
                <w:szCs w:val="20"/>
                <w:color w:val="auto"/>
              </w:rPr>
            </w:pPr>
            <w:r>
              <w:rPr>
                <w:rFonts w:ascii="Arial" w:cs="Arial" w:eastAsia="Arial" w:hAnsi="Arial"/>
                <w:sz w:val="14"/>
                <w:szCs w:val="14"/>
                <w:color w:val="auto"/>
              </w:rPr>
              <w:t>Smaller reporting company</w:t>
            </w:r>
          </w:p>
        </w:tc>
        <w:tc>
          <w:tcPr>
            <w:tcW w:w="9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580" w:type="dxa"/>
            <w:vAlign w:val="bottom"/>
          </w:tcPr>
          <w:p>
            <w:pPr>
              <w:ind w:left="120"/>
              <w:spacing w:after="0"/>
              <w:rPr>
                <w:sz w:val="20"/>
                <w:szCs w:val="20"/>
                <w:color w:val="auto"/>
              </w:rPr>
            </w:pPr>
            <w:r>
              <w:rPr>
                <w:rFonts w:ascii="Arial" w:cs="Arial" w:eastAsia="Arial" w:hAnsi="Arial"/>
                <w:sz w:val="14"/>
                <w:szCs w:val="14"/>
                <w:color w:val="auto"/>
              </w:rPr>
              <w:t>Emerging growth company</w:t>
            </w:r>
          </w:p>
        </w:tc>
        <w:tc>
          <w:tcPr>
            <w:tcW w:w="9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33" w:lineRule="exact"/>
        <w:rPr>
          <w:sz w:val="24"/>
          <w:szCs w:val="24"/>
          <w:color w:val="auto"/>
        </w:rPr>
      </w:pPr>
    </w:p>
    <w:p>
      <w:pPr>
        <w:ind w:right="26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7" w:lineRule="exact"/>
        <w:rPr>
          <w:sz w:val="24"/>
          <w:szCs w:val="24"/>
          <w:color w:val="auto"/>
        </w:rPr>
      </w:pPr>
    </w:p>
    <w:p>
      <w:pPr>
        <w:spacing w:after="0" w:line="161" w:lineRule="exact"/>
        <w:tabs>
          <w:tab w:leader="none" w:pos="7340" w:val="left"/>
          <w:tab w:leader="none" w:pos="7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4" w:lineRule="exact"/>
        <w:rPr>
          <w:sz w:val="24"/>
          <w:szCs w:val="24"/>
          <w:color w:val="auto"/>
        </w:rPr>
      </w:pPr>
    </w:p>
    <w:p>
      <w:pPr>
        <w:ind w:right="20"/>
        <w:spacing w:after="0" w:line="305" w:lineRule="auto"/>
        <w:rPr>
          <w:sz w:val="20"/>
          <w:szCs w:val="20"/>
          <w:color w:val="auto"/>
        </w:rPr>
      </w:pPr>
      <w:r>
        <w:rPr>
          <w:rFonts w:ascii="Arial" w:cs="Arial" w:eastAsia="Arial" w:hAnsi="Arial"/>
          <w:sz w:val="14"/>
          <w:szCs w:val="14"/>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36" w:lineRule="exact"/>
        <w:rPr>
          <w:sz w:val="24"/>
          <w:szCs w:val="24"/>
          <w:color w:val="auto"/>
        </w:rPr>
      </w:pPr>
    </w:p>
    <w:p>
      <w:pPr>
        <w:spacing w:after="0" w:line="305" w:lineRule="auto"/>
        <w:rPr>
          <w:sz w:val="20"/>
          <w:szCs w:val="20"/>
          <w:color w:val="auto"/>
        </w:rPr>
      </w:pPr>
      <w:r>
        <w:rPr>
          <w:rFonts w:ascii="Arial" w:cs="Arial" w:eastAsia="Arial" w:hAnsi="Arial"/>
          <w:sz w:val="14"/>
          <w:szCs w:val="14"/>
          <w:color w:val="auto"/>
        </w:rPr>
        <w:t>As of January 29, 2025, 51,968,414 shares of the registrant’s Class A Non-voting Common Stock (“Class A Common Stock”), par value $.01 per share, and 2,970,171 shares of the registrant’s Class B Voting Common Stock, par value $.01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960" w:type="dxa"/>
            <w:vAlign w:val="bottom"/>
            <w:gridSpan w:val="11"/>
          </w:tcPr>
          <w:p>
            <w:pPr>
              <w:jc w:val="center"/>
              <w:ind w:right="4780"/>
              <w:spacing w:after="0"/>
              <w:rPr>
                <w:sz w:val="20"/>
                <w:szCs w:val="20"/>
                <w:color w:val="auto"/>
              </w:rPr>
            </w:pPr>
            <w:r>
              <w:rPr>
                <w:rFonts w:ascii="Arial" w:cs="Arial" w:eastAsia="Arial" w:hAnsi="Arial"/>
                <w:sz w:val="18"/>
                <w:szCs w:val="18"/>
                <w:b w:val="1"/>
                <w:bCs w:val="1"/>
                <w:color w:val="auto"/>
                <w:w w:val="98"/>
              </w:rPr>
              <w:t>EZCORP, Inc.</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0" w:type="dxa"/>
            <w:vAlign w:val="bottom"/>
            <w:gridSpan w:val="12"/>
          </w:tcPr>
          <w:p>
            <w:pPr>
              <w:jc w:val="center"/>
              <w:ind w:right="4160"/>
              <w:spacing w:after="0"/>
              <w:rPr>
                <w:sz w:val="20"/>
                <w:szCs w:val="20"/>
                <w:color w:val="auto"/>
              </w:rPr>
            </w:pPr>
            <w:r>
              <w:rPr>
                <w:rFonts w:ascii="Arial" w:cs="Arial" w:eastAsia="Arial" w:hAnsi="Arial"/>
                <w:sz w:val="18"/>
                <w:szCs w:val="18"/>
                <w:b w:val="1"/>
                <w:bCs w:val="1"/>
                <w:color w:val="auto"/>
                <w:w w:val="99"/>
              </w:rPr>
              <w:t>INDEX TO FORM 10-Q</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980" w:type="dxa"/>
            <w:vAlign w:val="bottom"/>
            <w:gridSpan w:val="30"/>
          </w:tcPr>
          <w:p>
            <w:pPr>
              <w:spacing w:after="0"/>
              <w:rPr>
                <w:sz w:val="20"/>
                <w:szCs w:val="20"/>
                <w:color w:val="auto"/>
              </w:rPr>
            </w:pPr>
            <w:r>
              <w:rPr>
                <w:rFonts w:ascii="Arial" w:cs="Arial" w:eastAsia="Arial" w:hAnsi="Arial"/>
                <w:sz w:val="18"/>
                <w:szCs w:val="18"/>
                <w:color w:val="0000FF"/>
              </w:rPr>
              <w:t>PART I — FINANCIAL INFORMATION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tcBorders>
              <w:bottom w:val="single" w:sz="8" w:color="0000FF"/>
            </w:tcBorders>
            <w:gridSpan w:val="15"/>
          </w:tcPr>
          <w:p>
            <w:pPr>
              <w:ind w:left="20"/>
              <w:spacing w:after="0"/>
              <w:rPr>
                <w:sz w:val="20"/>
                <w:szCs w:val="20"/>
                <w:color w:val="auto"/>
              </w:rPr>
            </w:pPr>
            <w:r>
              <w:rPr>
                <w:rFonts w:ascii="Arial" w:cs="Arial" w:eastAsia="Arial" w:hAnsi="Arial"/>
                <w:sz w:val="18"/>
                <w:szCs w:val="18"/>
                <w:color w:val="0000FF"/>
                <w:w w:val="99"/>
              </w:rPr>
              <w:t>Item 1. Financial Statements (unaudited)</w:t>
            </w:r>
          </w:p>
        </w:tc>
        <w:tc>
          <w:tcPr>
            <w:tcW w:w="7400" w:type="dxa"/>
            <w:vAlign w:val="bottom"/>
            <w:gridSpan w:val="14"/>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320" w:type="dxa"/>
            <w:vAlign w:val="bottom"/>
            <w:gridSpan w:val="28"/>
          </w:tcPr>
          <w:p>
            <w:pPr>
              <w:spacing w:after="0"/>
              <w:rPr>
                <w:sz w:val="20"/>
                <w:szCs w:val="20"/>
                <w:color w:val="auto"/>
              </w:rPr>
            </w:pPr>
            <w:r>
              <w:rPr>
                <w:rFonts w:ascii="Arial" w:cs="Arial" w:eastAsia="Arial" w:hAnsi="Arial"/>
                <w:sz w:val="18"/>
                <w:szCs w:val="18"/>
                <w:color w:val="0000FF"/>
              </w:rPr>
              <w:t>Condensed Consolidated Balance Sheets as of December 31, 2024 and 2023 and September 30, 2024</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320" w:type="dxa"/>
            <w:vAlign w:val="bottom"/>
            <w:gridSpan w:val="28"/>
          </w:tcPr>
          <w:p>
            <w:pPr>
              <w:spacing w:after="0"/>
              <w:rPr>
                <w:sz w:val="20"/>
                <w:szCs w:val="20"/>
                <w:color w:val="auto"/>
              </w:rPr>
            </w:pPr>
            <w:r>
              <w:rPr>
                <w:rFonts w:ascii="Arial" w:cs="Arial" w:eastAsia="Arial" w:hAnsi="Arial"/>
                <w:sz w:val="18"/>
                <w:szCs w:val="18"/>
                <w:color w:val="0000FF"/>
              </w:rPr>
              <w:t>Condensed Consolidated Statements of Operations for the Three Months Ended December 31, 2024 and 2023</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9"/>
              </w:rPr>
              <w:t>Condensed Consolidated Statements of Comprehensive Income for the Three Months Ended December 31, 2024 and</w:t>
            </w:r>
          </w:p>
        </w:tc>
        <w:tc>
          <w:tcPr>
            <w:tcW w:w="920" w:type="dxa"/>
            <w:vAlign w:val="bottom"/>
          </w:tcPr>
          <w:p>
            <w:pPr>
              <w:spacing w:after="0"/>
              <w:rPr>
                <w:sz w:val="18"/>
                <w:szCs w:val="18"/>
                <w:color w:val="auto"/>
              </w:rPr>
            </w:pPr>
          </w:p>
        </w:tc>
        <w:tc>
          <w:tcPr>
            <w:tcW w:w="2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74"/>
        </w:trPr>
        <w:tc>
          <w:tcPr>
            <w:tcW w:w="1080" w:type="dxa"/>
            <w:vAlign w:val="bottom"/>
            <w:gridSpan w:val="4"/>
            <w:vMerge w:val="restart"/>
          </w:tcPr>
          <w:p>
            <w:pPr>
              <w:ind w:left="680"/>
              <w:spacing w:after="0" w:line="156" w:lineRule="exact"/>
              <w:rPr>
                <w:sz w:val="20"/>
                <w:szCs w:val="20"/>
                <w:color w:val="auto"/>
              </w:rPr>
            </w:pPr>
            <w:r>
              <w:rPr>
                <w:rFonts w:ascii="Arial" w:cs="Arial" w:eastAsia="Arial" w:hAnsi="Arial"/>
                <w:sz w:val="18"/>
                <w:szCs w:val="18"/>
                <w:color w:val="0000FF"/>
                <w:w w:val="94"/>
              </w:rPr>
              <w:t>2023</w:t>
            </w: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108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80" w:type="dxa"/>
            <w:vAlign w:val="bottom"/>
            <w:gridSpan w:val="26"/>
          </w:tcPr>
          <w:p>
            <w:pPr>
              <w:spacing w:after="0"/>
              <w:rPr>
                <w:sz w:val="20"/>
                <w:szCs w:val="20"/>
                <w:color w:val="auto"/>
              </w:rPr>
            </w:pPr>
            <w:r>
              <w:rPr>
                <w:rFonts w:ascii="Arial" w:cs="Arial" w:eastAsia="Arial" w:hAnsi="Arial"/>
                <w:sz w:val="18"/>
                <w:szCs w:val="18"/>
                <w:color w:val="0000FF"/>
                <w:w w:val="99"/>
              </w:rPr>
              <w:t>Condensed Consolidated Statements of Stockholders’ Equity for the Periods Ended December 31, 2024 and 2023</w:t>
            </w:r>
          </w:p>
        </w:tc>
        <w:tc>
          <w:tcPr>
            <w:tcW w:w="1240" w:type="dxa"/>
            <w:vAlign w:val="bottom"/>
            <w:gridSpan w:val="2"/>
          </w:tcPr>
          <w:p>
            <w:pPr>
              <w:spacing w:after="0"/>
              <w:rPr>
                <w:sz w:val="19"/>
                <w:szCs w:val="19"/>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gridSpan w:val="26"/>
          </w:tcPr>
          <w:p>
            <w:pPr>
              <w:spacing w:after="0"/>
              <w:rPr>
                <w:sz w:val="20"/>
                <w:szCs w:val="20"/>
                <w:color w:val="auto"/>
              </w:rPr>
            </w:pPr>
            <w:r>
              <w:rPr>
                <w:rFonts w:ascii="Arial" w:cs="Arial" w:eastAsia="Arial" w:hAnsi="Arial"/>
                <w:sz w:val="18"/>
                <w:szCs w:val="18"/>
                <w:color w:val="0000FF"/>
              </w:rPr>
              <w:t>Condensed Consolidated Statements of Cash Flows for the Three Months Ended December 31, 2024 and 2023</w:t>
            </w:r>
          </w:p>
        </w:tc>
        <w:tc>
          <w:tcPr>
            <w:tcW w:w="1240" w:type="dxa"/>
            <w:vAlign w:val="bottom"/>
            <w:gridSpan w:val="2"/>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20" w:type="dxa"/>
            <w:vAlign w:val="bottom"/>
            <w:gridSpan w:val="25"/>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500" w:type="dxa"/>
            <w:vAlign w:val="bottom"/>
            <w:gridSpan w:val="3"/>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gridSpan w:val="26"/>
          </w:tcPr>
          <w:p>
            <w:pPr>
              <w:spacing w:after="0"/>
              <w:rPr>
                <w:sz w:val="20"/>
                <w:szCs w:val="20"/>
                <w:color w:val="auto"/>
              </w:rPr>
            </w:pPr>
            <w:r>
              <w:rPr>
                <w:rFonts w:ascii="Arial" w:cs="Arial" w:eastAsia="Arial" w:hAnsi="Arial"/>
                <w:sz w:val="18"/>
                <w:szCs w:val="18"/>
                <w:color w:val="0000FF"/>
              </w:rPr>
              <w:t>Note 1: Organization and Summary of Significant Accounting Policies</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5"/>
          </w:tcPr>
          <w:p>
            <w:pPr>
              <w:spacing w:after="0"/>
              <w:rPr>
                <w:sz w:val="20"/>
                <w:szCs w:val="20"/>
                <w:color w:val="auto"/>
              </w:rPr>
            </w:pPr>
            <w:r>
              <w:rPr>
                <w:rFonts w:ascii="Arial" w:cs="Arial" w:eastAsia="Arial" w:hAnsi="Arial"/>
                <w:sz w:val="18"/>
                <w:szCs w:val="18"/>
                <w:color w:val="0000FF"/>
                <w:w w:val="93"/>
              </w:rPr>
              <w:t>Note 2: Goodwill</w:t>
            </w:r>
          </w:p>
        </w:tc>
        <w:tc>
          <w:tcPr>
            <w:tcW w:w="4180" w:type="dxa"/>
            <w:vAlign w:val="bottom"/>
            <w:gridSpan w:val="15"/>
          </w:tcPr>
          <w:p>
            <w:pPr>
              <w:spacing w:after="0"/>
              <w:rPr>
                <w:sz w:val="18"/>
                <w:szCs w:val="18"/>
                <w:color w:val="auto"/>
              </w:rPr>
            </w:pPr>
          </w:p>
        </w:tc>
        <w:tc>
          <w:tcPr>
            <w:tcW w:w="4380" w:type="dxa"/>
            <w:vAlign w:val="bottom"/>
            <w:gridSpan w:val="6"/>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9"/>
          </w:tcPr>
          <w:p>
            <w:pPr>
              <w:spacing w:after="0"/>
              <w:rPr>
                <w:sz w:val="20"/>
                <w:szCs w:val="20"/>
                <w:color w:val="auto"/>
              </w:rPr>
            </w:pPr>
            <w:r>
              <w:rPr>
                <w:rFonts w:ascii="Arial" w:cs="Arial" w:eastAsia="Arial" w:hAnsi="Arial"/>
                <w:sz w:val="18"/>
                <w:szCs w:val="18"/>
                <w:color w:val="0000FF"/>
                <w:w w:val="96"/>
              </w:rPr>
              <w:t>Note 3: Earnings Per Share</w:t>
            </w:r>
          </w:p>
        </w:tc>
        <w:tc>
          <w:tcPr>
            <w:tcW w:w="7680" w:type="dxa"/>
            <w:vAlign w:val="bottom"/>
            <w:gridSpan w:val="17"/>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9"/>
          </w:tcPr>
          <w:p>
            <w:pPr>
              <w:spacing w:after="0"/>
              <w:rPr>
                <w:sz w:val="20"/>
                <w:szCs w:val="20"/>
                <w:color w:val="auto"/>
              </w:rPr>
            </w:pPr>
            <w:r>
              <w:rPr>
                <w:rFonts w:ascii="Arial" w:cs="Arial" w:eastAsia="Arial" w:hAnsi="Arial"/>
                <w:sz w:val="18"/>
                <w:szCs w:val="18"/>
                <w:color w:val="0000FF"/>
              </w:rPr>
              <w:t>Note 4: Leases</w:t>
            </w:r>
          </w:p>
        </w:tc>
        <w:tc>
          <w:tcPr>
            <w:tcW w:w="7680" w:type="dxa"/>
            <w:vAlign w:val="bottom"/>
            <w:gridSpan w:val="17"/>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6"/>
              </w:rPr>
              <w:t>Note 5: Strategic Investments</w:t>
            </w:r>
          </w:p>
        </w:tc>
        <w:tc>
          <w:tcPr>
            <w:tcW w:w="7520" w:type="dxa"/>
            <w:vAlign w:val="bottom"/>
            <w:gridSpan w:val="16"/>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6"/>
              </w:rPr>
              <w:t>Note 6: Fair Value Measurements</w:t>
            </w:r>
          </w:p>
        </w:tc>
        <w:tc>
          <w:tcPr>
            <w:tcW w:w="7200" w:type="dxa"/>
            <w:vAlign w:val="bottom"/>
            <w:gridSpan w:val="1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gridSpan w:val="26"/>
          </w:tcPr>
          <w:p>
            <w:pPr>
              <w:spacing w:after="0"/>
              <w:rPr>
                <w:sz w:val="20"/>
                <w:szCs w:val="20"/>
                <w:color w:val="auto"/>
              </w:rPr>
            </w:pPr>
            <w:r>
              <w:rPr>
                <w:rFonts w:ascii="Arial" w:cs="Arial" w:eastAsia="Arial" w:hAnsi="Arial"/>
                <w:sz w:val="18"/>
                <w:szCs w:val="18"/>
                <w:color w:val="0000FF"/>
              </w:rPr>
              <w:t>Note 7: Debt</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7"/>
              </w:rPr>
              <w:t>Note 8: Common Stock and Stock Compensation</w:t>
            </w:r>
          </w:p>
        </w:tc>
        <w:tc>
          <w:tcPr>
            <w:tcW w:w="5960" w:type="dxa"/>
            <w:vAlign w:val="bottom"/>
            <w:gridSpan w:val="11"/>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7"/>
              </w:rPr>
              <w:t>Note 9: Commitments and Contingencies</w:t>
            </w:r>
          </w:p>
        </w:tc>
        <w:tc>
          <w:tcPr>
            <w:tcW w:w="6600" w:type="dxa"/>
            <w:vAlign w:val="bottom"/>
            <w:gridSpan w:val="1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6"/>
              </w:rPr>
              <w:t>Note 10: Segment Information</w:t>
            </w:r>
          </w:p>
        </w:tc>
        <w:tc>
          <w:tcPr>
            <w:tcW w:w="7480" w:type="dxa"/>
            <w:vAlign w:val="bottom"/>
            <w:gridSpan w:val="15"/>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8"/>
              </w:rPr>
              <w:t>Note 11: Supplemental Consolidated Financial Information</w:t>
            </w:r>
          </w:p>
        </w:tc>
        <w:tc>
          <w:tcPr>
            <w:tcW w:w="5240" w:type="dxa"/>
            <w:vAlign w:val="bottom"/>
            <w:gridSpan w:val="7"/>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60" w:type="dxa"/>
            <w:vAlign w:val="bottom"/>
            <w:gridSpan w:val="29"/>
          </w:tcPr>
          <w:p>
            <w:pPr>
              <w:ind w:left="20"/>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80" w:type="dxa"/>
            <w:vAlign w:val="bottom"/>
            <w:tcBorders>
              <w:top w:val="single" w:sz="8" w:color="0000FF"/>
            </w:tcBorders>
            <w:gridSpan w:val="24"/>
          </w:tcPr>
          <w:p>
            <w:pPr>
              <w:ind w:left="20"/>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2980" w:type="dxa"/>
            <w:vAlign w:val="bottom"/>
            <w:gridSpan w:val="5"/>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300" w:type="dxa"/>
            <w:vAlign w:val="bottom"/>
            <w:tcBorders>
              <w:top w:val="single" w:sz="8" w:color="0000FF"/>
            </w:tcBorders>
            <w:gridSpan w:val="21"/>
          </w:tcPr>
          <w:p>
            <w:pPr>
              <w:ind w:left="20"/>
              <w:spacing w:after="0"/>
              <w:rPr>
                <w:sz w:val="20"/>
                <w:szCs w:val="20"/>
                <w:color w:val="auto"/>
              </w:rPr>
            </w:pPr>
            <w:r>
              <w:rPr>
                <w:rFonts w:ascii="Arial" w:cs="Arial" w:eastAsia="Arial" w:hAnsi="Arial"/>
                <w:sz w:val="18"/>
                <w:szCs w:val="18"/>
                <w:color w:val="0000FF"/>
              </w:rPr>
              <w:t>Item 4. Controls and Procedures</w:t>
            </w:r>
          </w:p>
        </w:tc>
        <w:tc>
          <w:tcPr>
            <w:tcW w:w="5360" w:type="dxa"/>
            <w:vAlign w:val="bottom"/>
            <w:gridSpan w:val="8"/>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40" w:type="dxa"/>
            <w:vAlign w:val="bottom"/>
            <w:gridSpan w:val="10"/>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980" w:type="dxa"/>
            <w:vAlign w:val="bottom"/>
            <w:gridSpan w:val="30"/>
          </w:tcPr>
          <w:p>
            <w:pPr>
              <w:spacing w:after="0"/>
              <w:rPr>
                <w:sz w:val="20"/>
                <w:szCs w:val="20"/>
                <w:color w:val="auto"/>
              </w:rPr>
            </w:pPr>
            <w:r>
              <w:rPr>
                <w:rFonts w:ascii="Arial" w:cs="Arial" w:eastAsia="Arial" w:hAnsi="Arial"/>
                <w:sz w:val="18"/>
                <w:szCs w:val="18"/>
                <w:color w:val="0000FF"/>
              </w:rPr>
              <w:t>PART II — OTHER INFORMATION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500" w:type="dxa"/>
            <w:vAlign w:val="bottom"/>
            <w:tcBorders>
              <w:top w:val="single" w:sz="8" w:color="0000FF"/>
            </w:tcBorders>
            <w:gridSpan w:val="9"/>
          </w:tcPr>
          <w:p>
            <w:pPr>
              <w:ind w:left="20"/>
              <w:spacing w:after="0"/>
              <w:rPr>
                <w:sz w:val="20"/>
                <w:szCs w:val="20"/>
                <w:color w:val="auto"/>
              </w:rPr>
            </w:pPr>
            <w:r>
              <w:rPr>
                <w:rFonts w:ascii="Arial" w:cs="Arial" w:eastAsia="Arial" w:hAnsi="Arial"/>
                <w:sz w:val="18"/>
                <w:szCs w:val="18"/>
                <w:color w:val="0000FF"/>
              </w:rPr>
              <w:t>Item 1. Legal Proceedings</w:t>
            </w:r>
          </w:p>
        </w:tc>
        <w:tc>
          <w:tcPr>
            <w:tcW w:w="8160" w:type="dxa"/>
            <w:vAlign w:val="bottom"/>
            <w:gridSpan w:val="20"/>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Borders>
              <w:top w:val="single" w:sz="8" w:color="0000FF"/>
            </w:tcBorders>
            <w:gridSpan w:val="8"/>
          </w:tcPr>
          <w:p>
            <w:pPr>
              <w:ind w:left="20"/>
              <w:spacing w:after="0"/>
              <w:rPr>
                <w:sz w:val="20"/>
                <w:szCs w:val="20"/>
                <w:color w:val="auto"/>
              </w:rPr>
            </w:pPr>
            <w:r>
              <w:rPr>
                <w:rFonts w:ascii="Arial" w:cs="Arial" w:eastAsia="Arial" w:hAnsi="Arial"/>
                <w:sz w:val="18"/>
                <w:szCs w:val="18"/>
                <w:color w:val="0000FF"/>
              </w:rPr>
              <w:t>Item 1A. Risk Factors</w:t>
            </w:r>
          </w:p>
        </w:tc>
        <w:tc>
          <w:tcPr>
            <w:tcW w:w="8560" w:type="dxa"/>
            <w:vAlign w:val="bottom"/>
            <w:gridSpan w:val="21"/>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40" w:type="dxa"/>
            <w:vAlign w:val="bottom"/>
            <w:gridSpan w:val="13"/>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Borders>
              <w:bottom w:val="single" w:sz="8" w:color="0000FF"/>
            </w:tcBorders>
            <w:gridSpan w:val="20"/>
          </w:tcPr>
          <w:p>
            <w:pPr>
              <w:ind w:left="20"/>
              <w:spacing w:after="0"/>
              <w:rPr>
                <w:sz w:val="20"/>
                <w:szCs w:val="20"/>
                <w:color w:val="auto"/>
              </w:rPr>
            </w:pPr>
            <w:r>
              <w:rPr>
                <w:rFonts w:ascii="Arial" w:cs="Arial" w:eastAsia="Arial" w:hAnsi="Arial"/>
                <w:sz w:val="18"/>
                <w:szCs w:val="18"/>
                <w:color w:val="0000FF"/>
                <w:w w:val="99"/>
              </w:rPr>
              <w:t>Item 2. Unregistered Sale of Equity Security and Use of Proceeds</w:t>
            </w:r>
          </w:p>
        </w:tc>
        <w:tc>
          <w:tcPr>
            <w:tcW w:w="5420" w:type="dxa"/>
            <w:vAlign w:val="bottom"/>
            <w:gridSpan w:val="9"/>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60" w:type="dxa"/>
            <w:vAlign w:val="bottom"/>
            <w:gridSpan w:val="29"/>
          </w:tcPr>
          <w:p>
            <w:pPr>
              <w:ind w:left="20"/>
              <w:spacing w:after="0"/>
              <w:rPr>
                <w:sz w:val="20"/>
                <w:szCs w:val="20"/>
                <w:color w:val="auto"/>
              </w:rPr>
            </w:pPr>
            <w:r>
              <w:rPr>
                <w:rFonts w:ascii="Arial" w:cs="Arial" w:eastAsia="Arial" w:hAnsi="Arial"/>
                <w:sz w:val="18"/>
                <w:szCs w:val="18"/>
                <w:color w:val="0000FF"/>
              </w:rPr>
              <w:t>Item 5. Other Information</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0000FF"/>
              <w:bottom w:val="single" w:sz="8" w:color="0000FF"/>
            </w:tcBorders>
            <w:gridSpan w:val="4"/>
          </w:tcPr>
          <w:p>
            <w:pPr>
              <w:ind w:left="20"/>
              <w:spacing w:after="0"/>
              <w:rPr>
                <w:sz w:val="20"/>
                <w:szCs w:val="20"/>
                <w:color w:val="auto"/>
              </w:rPr>
            </w:pPr>
            <w:r>
              <w:rPr>
                <w:rFonts w:ascii="Arial" w:cs="Arial" w:eastAsia="Arial" w:hAnsi="Arial"/>
                <w:sz w:val="18"/>
                <w:szCs w:val="18"/>
                <w:color w:val="0000FF"/>
                <w:w w:val="97"/>
              </w:rPr>
              <w:t>Item 6. Exhibits</w:t>
            </w:r>
          </w:p>
        </w:tc>
        <w:tc>
          <w:tcPr>
            <w:tcW w:w="760" w:type="dxa"/>
            <w:vAlign w:val="bottom"/>
            <w:tcBorders>
              <w:top w:val="single" w:sz="8" w:color="0000FF"/>
            </w:tcBorders>
            <w:gridSpan w:val="3"/>
          </w:tcPr>
          <w:p>
            <w:pPr>
              <w:spacing w:after="0"/>
              <w:rPr>
                <w:sz w:val="18"/>
                <w:szCs w:val="18"/>
                <w:color w:val="auto"/>
              </w:rPr>
            </w:pPr>
          </w:p>
        </w:tc>
        <w:tc>
          <w:tcPr>
            <w:tcW w:w="8660" w:type="dxa"/>
            <w:vAlign w:val="bottom"/>
            <w:gridSpan w:val="22"/>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980" w:type="dxa"/>
            <w:vAlign w:val="bottom"/>
            <w:gridSpan w:val="30"/>
          </w:tcPr>
          <w:p>
            <w:pPr>
              <w:spacing w:after="0"/>
              <w:rPr>
                <w:sz w:val="20"/>
                <w:szCs w:val="20"/>
                <w:color w:val="auto"/>
              </w:rPr>
            </w:pPr>
            <w:r>
              <w:rPr>
                <w:rFonts w:ascii="Arial" w:cs="Arial" w:eastAsia="Arial" w:hAnsi="Arial"/>
                <w:sz w:val="18"/>
                <w:szCs w:val="18"/>
                <w:color w:val="0000FF"/>
              </w:rPr>
              <w:t>SIGNATURES</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32</w:t>
            </w:r>
          </w:p>
        </w:tc>
        <w:tc>
          <w:tcPr>
            <w:tcW w:w="0" w:type="dxa"/>
            <w:vAlign w:val="bottom"/>
          </w:tcPr>
          <w:p>
            <w:pPr>
              <w:spacing w:after="0"/>
              <w:rPr>
                <w:sz w:val="1"/>
                <w:szCs w:val="1"/>
                <w:color w:val="auto"/>
              </w:rPr>
            </w:pPr>
          </w:p>
        </w:tc>
      </w:tr>
      <w:tr>
        <w:trPr>
          <w:trHeight w:val="986"/>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97F"/>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vMerge w:val="restart"/>
          </w:tcPr>
          <w:p>
            <w:pPr>
              <w:ind w:left="20"/>
              <w:spacing w:after="0"/>
              <w:rPr>
                <w:sz w:val="20"/>
                <w:szCs w:val="20"/>
                <w:color w:val="auto"/>
              </w:rPr>
            </w:pPr>
            <w:r>
              <w:rPr>
                <w:rFonts w:ascii="Arial" w:cs="Arial" w:eastAsia="Arial" w:hAnsi="Arial"/>
                <w:sz w:val="16"/>
                <w:szCs w:val="16"/>
                <w:color w:val="auto"/>
              </w:rPr>
              <w:t>(in thousands, except share and per share amounts)</w:t>
            </w:r>
          </w:p>
        </w:tc>
        <w:tc>
          <w:tcPr>
            <w:tcW w:w="14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67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5"/>
        </w:trPr>
        <w:tc>
          <w:tcPr>
            <w:tcW w:w="6700" w:type="dxa"/>
            <w:vAlign w:val="bottom"/>
          </w:tcPr>
          <w:p>
            <w:pPr>
              <w:ind w:left="20"/>
              <w:spacing w:after="0"/>
              <w:rPr>
                <w:sz w:val="20"/>
                <w:szCs w:val="20"/>
                <w:color w:val="auto"/>
              </w:rPr>
            </w:pPr>
            <w:r>
              <w:rPr>
                <w:rFonts w:ascii="Arial" w:cs="Arial" w:eastAsia="Arial" w:hAnsi="Arial"/>
                <w:sz w:val="16"/>
                <w:szCs w:val="16"/>
                <w:color w:val="auto"/>
              </w:rPr>
              <w:t>Assets:</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170,513</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9,294</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Pawn loans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274,824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243,252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274,084</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45,198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40,002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44,013</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Inventory, net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199,481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191,923</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36,562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44,001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39,171</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739,957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719,168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728,998</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13,555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13,329</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investments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51,900</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63,231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68,998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65,973</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Right-of-use assets, net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227,810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226,602</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304,722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303,799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306,478</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net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58,451</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Deferred tax asset,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24,990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25,984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25,362</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assets, net</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15,872</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13,819</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16,144</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1,499,133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1,481,193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1,493,237</w:t>
            </w:r>
          </w:p>
        </w:tc>
        <w:tc>
          <w:tcPr>
            <w:tcW w:w="0" w:type="dxa"/>
            <w:vAlign w:val="bottom"/>
          </w:tcPr>
          <w:p>
            <w:pPr>
              <w:spacing w:after="0"/>
              <w:rPr>
                <w:sz w:val="1"/>
                <w:szCs w:val="1"/>
                <w:color w:val="auto"/>
              </w:rPr>
            </w:pPr>
          </w:p>
        </w:tc>
      </w:tr>
      <w:tr>
        <w:trPr>
          <w:trHeight w:val="417"/>
        </w:trPr>
        <w:tc>
          <w:tcPr>
            <w:tcW w:w="670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2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Current maturities of long-term debt, net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103,072</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68,682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69,386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85,737</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Customer layaway deposits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21,570</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Operating lease liabilities, current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57,900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57,980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58,998</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269,377</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Long-term debt,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224,505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326,223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224,256</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liability, net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182,228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188,475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180,616</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12,317</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11,243</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12,337</w:t>
            </w:r>
          </w:p>
        </w:tc>
        <w:tc>
          <w:tcPr>
            <w:tcW w:w="0" w:type="dxa"/>
            <w:vAlign w:val="bottom"/>
          </w:tcPr>
          <w:p>
            <w:pPr>
              <w:spacing w:after="0"/>
              <w:rPr>
                <w:sz w:val="1"/>
                <w:szCs w:val="1"/>
                <w:color w:val="auto"/>
              </w:rPr>
            </w:pPr>
          </w:p>
        </w:tc>
      </w:tr>
      <w:tr>
        <w:trPr>
          <w:trHeight w:val="209"/>
        </w:trPr>
        <w:tc>
          <w:tcPr>
            <w:tcW w:w="670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675,239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706,310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688,666</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Commitments and contingencies (Note 9)</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220"/>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Class A Non-voting Common Stock, par value $0.01 per share; shares authorized: 100</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million; issued and outstanding: 52,050,550 as of December 31, 2024; 52,272,594 as</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of December 31, 2023; and 51,582,698 as of September 30, 2024</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162"/>
        </w:trPr>
        <w:tc>
          <w:tcPr>
            <w:tcW w:w="6700" w:type="dxa"/>
            <w:vAlign w:val="bottom"/>
          </w:tcPr>
          <w:p>
            <w:pPr>
              <w:ind w:left="480"/>
              <w:spacing w:after="0" w:line="162" w:lineRule="exact"/>
              <w:rPr>
                <w:sz w:val="20"/>
                <w:szCs w:val="20"/>
                <w:color w:val="auto"/>
              </w:rPr>
            </w:pPr>
            <w:r>
              <w:rPr>
                <w:rFonts w:ascii="Arial" w:cs="Arial" w:eastAsia="Arial" w:hAnsi="Arial"/>
                <w:sz w:val="16"/>
                <w:szCs w:val="16"/>
                <w:color w:val="auto"/>
              </w:rPr>
              <w:t>Class B Voting Common Stock, convertible, par value $0.01 per share; shares</w:t>
            </w: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authorized: 3 million; issued and outstanding: 2,970,171</w:t>
            </w: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345,783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348,366</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536,427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457,929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507,206</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(58,866)</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(27,469)</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(51,547)</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Total equity</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823,894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774,883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804,571</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1,499,133</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1,481,193</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1,493,237</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97F"/>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3"/>
          </w:tcPr>
          <w:p>
            <w:pPr>
              <w:jc w:val="right"/>
              <w:ind w:right="699"/>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94"/>
        </w:trPr>
        <w:tc>
          <w:tcPr>
            <w:tcW w:w="8240" w:type="dxa"/>
            <w:vAlign w:val="bottom"/>
          </w:tcPr>
          <w:p>
            <w:pPr>
              <w:ind w:left="20"/>
              <w:spacing w:after="0"/>
              <w:rPr>
                <w:sz w:val="20"/>
                <w:szCs w:val="20"/>
                <w:color w:val="auto"/>
              </w:rPr>
            </w:pPr>
            <w:r>
              <w:rPr>
                <w:rFonts w:ascii="Arial" w:cs="Arial" w:eastAsia="Arial" w:hAnsi="Arial"/>
                <w:sz w:val="14"/>
                <w:szCs w:val="14"/>
                <w:color w:val="auto"/>
              </w:rPr>
              <w:t>(in thousands, except per share amount)</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r>
      <w:tr>
        <w:trPr>
          <w:trHeight w:val="251"/>
        </w:trPr>
        <w:tc>
          <w:tcPr>
            <w:tcW w:w="8240" w:type="dxa"/>
            <w:vAlign w:val="bottom"/>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186,343</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179,403</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16,732</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14,082</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117,052</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106,449</w:t>
            </w:r>
          </w:p>
        </w:tc>
      </w:tr>
      <w:tr>
        <w:trPr>
          <w:trHeight w:val="215"/>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r>
      <w:tr>
        <w:trPr>
          <w:trHeight w:val="210"/>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320,170</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299,991</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121,824</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115,210</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Jewelry scrapping cost of goods sold</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12,942</w:t>
            </w: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12,208</w:t>
            </w:r>
          </w:p>
        </w:tc>
      </w:tr>
      <w:tr>
        <w:trPr>
          <w:trHeight w:val="209"/>
        </w:trPr>
        <w:tc>
          <w:tcPr>
            <w:tcW w:w="824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185,404</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172,573</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116,451</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110,555</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18,669</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16,543</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8,335</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8,565</w:t>
            </w:r>
          </w:p>
        </w:tc>
      </w:tr>
      <w:tr>
        <w:trPr>
          <w:trHeight w:val="215"/>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Loss (gain) on sale or disposal of assets and other</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r>
      <w:tr>
        <w:trPr>
          <w:trHeight w:val="209"/>
        </w:trPr>
        <w:tc>
          <w:tcPr>
            <w:tcW w:w="8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143,463</w:t>
            </w: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135,491</w:t>
            </w:r>
          </w:p>
        </w:tc>
      </w:tr>
      <w:tr>
        <w:trPr>
          <w:trHeight w:val="210"/>
        </w:trPr>
        <w:tc>
          <w:tcPr>
            <w:tcW w:w="8240" w:type="dxa"/>
            <w:vAlign w:val="bottom"/>
          </w:tcPr>
          <w:p>
            <w:pPr>
              <w:ind w:left="680"/>
              <w:spacing w:after="0"/>
              <w:rPr>
                <w:sz w:val="20"/>
                <w:szCs w:val="20"/>
                <w:color w:val="auto"/>
              </w:rPr>
            </w:pPr>
            <w:r>
              <w:rPr>
                <w:rFonts w:ascii="Arial" w:cs="Arial" w:eastAsia="Arial" w:hAnsi="Arial"/>
                <w:sz w:val="16"/>
                <w:szCs w:val="16"/>
                <w:color w:val="auto"/>
              </w:rPr>
              <w:t>Operating income</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41,941</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37,082</w:t>
            </w: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3,147</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3,440</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(2,093)</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(2,639)</w:t>
            </w: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net income of unconsolidated affiliates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w:t>
            </w:r>
          </w:p>
        </w:tc>
      </w:tr>
      <w:tr>
        <w:trPr>
          <w:trHeight w:val="215"/>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expense (income)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978</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41,384</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37,705</w:t>
            </w:r>
          </w:p>
        </w:tc>
      </w:tr>
      <w:tr>
        <w:trPr>
          <w:trHeight w:val="215"/>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10,368</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9,235</w:t>
            </w: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31,016</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28,470</w:t>
            </w:r>
          </w:p>
        </w:tc>
      </w:tr>
      <w:tr>
        <w:trPr>
          <w:trHeight w:val="216"/>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0.57</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0.52</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0.40</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0.36</w:t>
            </w:r>
          </w:p>
        </w:tc>
      </w:tr>
      <w:tr>
        <w:trPr>
          <w:trHeight w:val="217"/>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54,827</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55,076</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83,347</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86,812</w:t>
            </w: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97F"/>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34"/>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28,470</w:t>
            </w:r>
          </w:p>
        </w:tc>
        <w:tc>
          <w:tcPr>
            <w:tcW w:w="0" w:type="dxa"/>
            <w:vAlign w:val="bottom"/>
          </w:tcPr>
          <w:p>
            <w:pPr>
              <w:spacing w:after="0"/>
              <w:rPr>
                <w:sz w:val="1"/>
                <w:szCs w:val="1"/>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Foreign currency translation adjustment, net of income tax (expense) benefit for our investment in unconsolidated</w:t>
            </w: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(7,319)</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4,633</w:t>
            </w:r>
          </w:p>
        </w:tc>
        <w:tc>
          <w:tcPr>
            <w:tcW w:w="0" w:type="dxa"/>
            <w:vAlign w:val="bottom"/>
          </w:tcPr>
          <w:p>
            <w:pPr>
              <w:spacing w:after="0"/>
              <w:rPr>
                <w:sz w:val="1"/>
                <w:szCs w:val="1"/>
                <w:color w:val="auto"/>
              </w:rPr>
            </w:pPr>
          </w:p>
        </w:tc>
      </w:tr>
      <w:tr>
        <w:trPr>
          <w:trHeight w:val="215"/>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affiliate of $(106) and $57 for the three months ended December 31, 2024, and 2023, respectively.</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23,697</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33,103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97F"/>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8"/>
          </w:tcPr>
          <w:p>
            <w:pPr>
              <w:ind w:left="300"/>
              <w:spacing w:after="0" w:line="158" w:lineRule="exact"/>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3"/>
                <w:szCs w:val="13"/>
                <w:color w:val="auto"/>
              </w:rPr>
            </w:pPr>
          </w:p>
        </w:tc>
        <w:tc>
          <w:tcPr>
            <w:tcW w:w="1020" w:type="dxa"/>
            <w:vAlign w:val="bottom"/>
            <w:gridSpan w:val="5"/>
          </w:tcPr>
          <w:p>
            <w:pPr>
              <w:jc w:val="center"/>
              <w:ind w:right="200"/>
              <w:spacing w:after="0" w:line="158"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3"/>
                <w:szCs w:val="13"/>
                <w:color w:val="auto"/>
              </w:rPr>
            </w:pPr>
          </w:p>
        </w:tc>
        <w:tc>
          <w:tcPr>
            <w:tcW w:w="920" w:type="dxa"/>
            <w:vAlign w:val="bottom"/>
          </w:tcPr>
          <w:p>
            <w:pPr>
              <w:jc w:val="center"/>
              <w:ind w:right="141"/>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4"/>
            <w:vMerge w:val="restart"/>
          </w:tcPr>
          <w:p>
            <w:pPr>
              <w:jc w:val="center"/>
              <w:ind w:right="32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4"/>
                <w:szCs w:val="4"/>
                <w:color w:val="auto"/>
              </w:rPr>
            </w:pPr>
          </w:p>
        </w:tc>
        <w:tc>
          <w:tcPr>
            <w:tcW w:w="880" w:type="dxa"/>
            <w:vAlign w:val="bottom"/>
            <w:gridSpan w:val="4"/>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3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114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45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5"/>
                <w:szCs w:val="5"/>
                <w:color w:val="auto"/>
              </w:rPr>
            </w:pPr>
          </w:p>
        </w:tc>
        <w:tc>
          <w:tcPr>
            <w:tcW w:w="8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9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6"/>
                <w:szCs w:val="16"/>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34"/>
        </w:trPr>
        <w:tc>
          <w:tcPr>
            <w:tcW w:w="45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54,553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348,366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507,206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804,571</w:t>
            </w:r>
          </w:p>
        </w:tc>
        <w:tc>
          <w:tcPr>
            <w:tcW w:w="0" w:type="dxa"/>
            <w:vAlign w:val="bottom"/>
          </w:tcPr>
          <w:p>
            <w:pPr>
              <w:spacing w:after="0"/>
              <w:rPr>
                <w:sz w:val="1"/>
                <w:szCs w:val="1"/>
                <w:color w:val="auto"/>
              </w:rPr>
            </w:pPr>
          </w:p>
        </w:tc>
      </w:tr>
      <w:tr>
        <w:trPr>
          <w:trHeight w:val="215"/>
        </w:trPr>
        <w:tc>
          <w:tcPr>
            <w:tcW w:w="458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1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2,597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2,597</w:t>
            </w: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Release of restricted stock, net of shares withheld for taxes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58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1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(3,971)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(3,971)</w:t>
            </w: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loss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(7,319)</w:t>
            </w:r>
          </w:p>
        </w:tc>
        <w:tc>
          <w:tcPr>
            <w:tcW w:w="0" w:type="dxa"/>
            <w:vAlign w:val="bottom"/>
          </w:tcPr>
          <w:p>
            <w:pPr>
              <w:spacing w:after="0"/>
              <w:rPr>
                <w:sz w:val="1"/>
                <w:szCs w:val="1"/>
                <w:color w:val="auto"/>
              </w:rPr>
            </w:pPr>
          </w:p>
        </w:tc>
      </w:tr>
      <w:tr>
        <w:trPr>
          <w:trHeight w:val="215"/>
        </w:trPr>
        <w:tc>
          <w:tcPr>
            <w:tcW w:w="4580" w:type="dxa"/>
            <w:vAlign w:val="bottom"/>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31,016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31,016</w:t>
            </w:r>
          </w:p>
        </w:tc>
        <w:tc>
          <w:tcPr>
            <w:tcW w:w="0" w:type="dxa"/>
            <w:vAlign w:val="bottom"/>
          </w:tcPr>
          <w:p>
            <w:pPr>
              <w:spacing w:after="0"/>
              <w:rPr>
                <w:sz w:val="1"/>
                <w:szCs w:val="1"/>
                <w:color w:val="auto"/>
              </w:rPr>
            </w:pPr>
          </w:p>
        </w:tc>
      </w:tr>
      <w:tr>
        <w:trPr>
          <w:trHeight w:val="217"/>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December 31, 2024</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55,021</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345,783</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536,427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(58,866)</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823,894</w:t>
            </w:r>
          </w:p>
        </w:tc>
        <w:tc>
          <w:tcPr>
            <w:tcW w:w="0" w:type="dxa"/>
            <w:vAlign w:val="bottom"/>
          </w:tcPr>
          <w:p>
            <w:pPr>
              <w:spacing w:after="0"/>
              <w:rPr>
                <w:sz w:val="1"/>
                <w:szCs w:val="1"/>
                <w:color w:val="auto"/>
              </w:rPr>
            </w:pPr>
          </w:p>
        </w:tc>
      </w:tr>
      <w:tr>
        <w:trPr>
          <w:trHeight w:val="396"/>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8"/>
          </w:tcPr>
          <w:p>
            <w:pPr>
              <w:jc w:val="center"/>
              <w:ind w:right="60"/>
              <w:spacing w:after="0" w:line="158" w:lineRule="exact"/>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3"/>
                <w:szCs w:val="13"/>
                <w:color w:val="auto"/>
              </w:rPr>
            </w:pPr>
          </w:p>
        </w:tc>
        <w:tc>
          <w:tcPr>
            <w:tcW w:w="1020" w:type="dxa"/>
            <w:vAlign w:val="bottom"/>
            <w:gridSpan w:val="5"/>
          </w:tcPr>
          <w:p>
            <w:pPr>
              <w:jc w:val="center"/>
              <w:ind w:right="120"/>
              <w:spacing w:after="0" w:line="158"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3"/>
                <w:szCs w:val="13"/>
                <w:color w:val="auto"/>
              </w:rPr>
            </w:pPr>
          </w:p>
        </w:tc>
        <w:tc>
          <w:tcPr>
            <w:tcW w:w="920" w:type="dxa"/>
            <w:vAlign w:val="bottom"/>
          </w:tcPr>
          <w:p>
            <w:pPr>
              <w:jc w:val="center"/>
              <w:ind w:right="141"/>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4"/>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4"/>
                <w:szCs w:val="4"/>
                <w:color w:val="auto"/>
              </w:rPr>
            </w:pPr>
          </w:p>
        </w:tc>
        <w:tc>
          <w:tcPr>
            <w:tcW w:w="880" w:type="dxa"/>
            <w:vAlign w:val="bottom"/>
            <w:gridSpan w:val="4"/>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3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114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45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5"/>
                <w:szCs w:val="5"/>
                <w:color w:val="auto"/>
              </w:rPr>
            </w:pPr>
          </w:p>
        </w:tc>
        <w:tc>
          <w:tcPr>
            <w:tcW w:w="8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Par Value</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6"/>
                <w:szCs w:val="16"/>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34"/>
        </w:trPr>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2023</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54,840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549</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346,181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431,140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745,768</w:t>
            </w:r>
          </w:p>
        </w:tc>
        <w:tc>
          <w:tcPr>
            <w:tcW w:w="0" w:type="dxa"/>
            <w:vAlign w:val="bottom"/>
          </w:tcPr>
          <w:p>
            <w:pPr>
              <w:spacing w:after="0"/>
              <w:rPr>
                <w:sz w:val="1"/>
                <w:szCs w:val="1"/>
                <w:color w:val="auto"/>
              </w:rPr>
            </w:pPr>
          </w:p>
        </w:tc>
      </w:tr>
      <w:tr>
        <w:trPr>
          <w:trHeight w:val="215"/>
        </w:trPr>
        <w:tc>
          <w:tcPr>
            <w:tcW w:w="458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10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Release of restricted stock, net of shares withheld for taxes</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458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10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(3,253)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(3,253)</w:t>
            </w: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4,633</w:t>
            </w:r>
          </w:p>
        </w:tc>
        <w:tc>
          <w:tcPr>
            <w:tcW w:w="0" w:type="dxa"/>
            <w:vAlign w:val="bottom"/>
          </w:tcPr>
          <w:p>
            <w:pPr>
              <w:spacing w:after="0"/>
              <w:rPr>
                <w:sz w:val="1"/>
                <w:szCs w:val="1"/>
                <w:color w:val="auto"/>
              </w:rPr>
            </w:pPr>
          </w:p>
        </w:tc>
      </w:tr>
      <w:tr>
        <w:trPr>
          <w:trHeight w:val="215"/>
        </w:trPr>
        <w:tc>
          <w:tcPr>
            <w:tcW w:w="4580" w:type="dxa"/>
            <w:vAlign w:val="bottom"/>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(355)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(3,007)</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28,470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28,470</w:t>
            </w:r>
          </w:p>
        </w:tc>
        <w:tc>
          <w:tcPr>
            <w:tcW w:w="0" w:type="dxa"/>
            <w:vAlign w:val="bottom"/>
          </w:tcPr>
          <w:p>
            <w:pPr>
              <w:spacing w:after="0"/>
              <w:rPr>
                <w:sz w:val="1"/>
                <w:szCs w:val="1"/>
                <w:color w:val="auto"/>
              </w:rPr>
            </w:pPr>
          </w:p>
        </w:tc>
      </w:tr>
      <w:tr>
        <w:trPr>
          <w:trHeight w:val="217"/>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December 31, 2023</w:t>
            </w: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55,243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553</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343,870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457,929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(27,469)</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774,883</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160"/>
        <w:spacing w:after="0"/>
        <w:rPr>
          <w:sz w:val="20"/>
          <w:szCs w:val="20"/>
          <w:color w:val="auto"/>
        </w:rPr>
      </w:pPr>
      <w:r>
        <w:rPr>
          <w:rFonts w:ascii="Arial" w:cs="Arial" w:eastAsia="Arial" w:hAnsi="Arial"/>
          <w:sz w:val="25"/>
          <w:szCs w:val="25"/>
          <w:b w:val="1"/>
          <w:bCs w:val="1"/>
          <w:color w:val="00497F"/>
        </w:rPr>
        <w:t>EZCORP, Inc.</w:t>
      </w:r>
    </w:p>
    <w:p>
      <w:pPr>
        <w:spacing w:after="0" w:line="36" w:lineRule="exact"/>
        <w:rPr>
          <w:sz w:val="20"/>
          <w:szCs w:val="20"/>
          <w:color w:val="auto"/>
        </w:rPr>
      </w:pPr>
    </w:p>
    <w:p>
      <w:pPr>
        <w:ind w:left="1820"/>
        <w:spacing w:after="0"/>
        <w:rPr>
          <w:sz w:val="20"/>
          <w:szCs w:val="20"/>
          <w:color w:val="auto"/>
        </w:rPr>
      </w:pPr>
      <w:r>
        <w:rPr>
          <w:rFonts w:ascii="Arial" w:cs="Arial" w:eastAsia="Arial" w:hAnsi="Arial"/>
          <w:sz w:val="25"/>
          <w:szCs w:val="25"/>
          <w:b w:val="1"/>
          <w:bCs w:val="1"/>
          <w:color w:val="00497F"/>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97F"/>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49"/>
        </w:trPr>
        <w:tc>
          <w:tcPr>
            <w:tcW w:w="824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31,016</w:t>
            </w:r>
          </w:p>
        </w:tc>
        <w:tc>
          <w:tcPr>
            <w:tcW w:w="5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28,470</w:t>
            </w:r>
          </w:p>
        </w:tc>
      </w:tr>
      <w:tr>
        <w:trPr>
          <w:trHeight w:val="215"/>
        </w:trPr>
        <w:tc>
          <w:tcPr>
            <w:tcW w:w="8240" w:type="dxa"/>
            <w:vAlign w:val="bottom"/>
          </w:tcPr>
          <w:p>
            <w:pPr>
              <w:ind w:left="26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8,335</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8,565</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Amortization of debt discount and deferred financing costs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382</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417</w:t>
            </w: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lease expense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14,421</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14,744</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478</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345</w:t>
            </w: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adjustments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Provision for inventory reserve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 compensation expense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2,597</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Equity in net income from investment in unconsolidated affiliates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(1,475)</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(1,153)</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Pawn service charges receivable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(1,368)</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Inventory</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2,066</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Prepaid expenses, other current assets and other assets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1,375</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(5,823)</w:t>
            </w: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(38,737)</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(33,991)</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Customer layaway deposits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2,909</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(719)</w:t>
            </w:r>
          </w:p>
        </w:tc>
      </w:tr>
      <w:tr>
        <w:trPr>
          <w:trHeight w:val="216"/>
        </w:trPr>
        <w:tc>
          <w:tcPr>
            <w:tcW w:w="82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9,000</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8,309</w:t>
            </w:r>
          </w:p>
        </w:tc>
      </w:tr>
      <w:tr>
        <w:trPr>
          <w:trHeight w:val="209"/>
        </w:trPr>
        <w:tc>
          <w:tcPr>
            <w:tcW w:w="8240" w:type="dxa"/>
            <w:vAlign w:val="bottom"/>
          </w:tcPr>
          <w:p>
            <w:pPr>
              <w:ind w:left="80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25,991</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21,481</w:t>
            </w: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Loans made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(247,225)</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(216,978)</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Loans repaid</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135,190</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123,021</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101,850</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98,209</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 net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(5,609)</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(7,184)</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Investment in other investments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(15,000)</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Dividends from unconsolidated affiliates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1,902</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w:t>
            </w:r>
          </w:p>
        </w:tc>
      </w:tr>
      <w:tr>
        <w:trPr>
          <w:trHeight w:val="215"/>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w:t>
            </w:r>
          </w:p>
        </w:tc>
      </w:tr>
      <w:tr>
        <w:trPr>
          <w:trHeight w:val="210"/>
        </w:trPr>
        <w:tc>
          <w:tcPr>
            <w:tcW w:w="82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(14,040)</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(16,864)</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(3,971)</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(3,253)</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(3,000)</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(3,007)</w:t>
            </w:r>
          </w:p>
        </w:tc>
      </w:tr>
      <w:tr>
        <w:trPr>
          <w:trHeight w:val="216"/>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Payments of finance leases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10"/>
        </w:trPr>
        <w:tc>
          <w:tcPr>
            <w:tcW w:w="8240" w:type="dxa"/>
            <w:vAlign w:val="bottom"/>
          </w:tcPr>
          <w:p>
            <w:pPr>
              <w:ind w:left="80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(7,102)</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(6,392)</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4,085</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(1,982)</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179,807</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228,968</w:t>
            </w:r>
          </w:p>
        </w:tc>
      </w:tr>
      <w:tr>
        <w:trPr>
          <w:trHeight w:val="21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183,892</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226,986</w:t>
            </w:r>
          </w:p>
        </w:tc>
      </w:tr>
    </w:tbl>
    <w:p>
      <w:pPr>
        <w:spacing w:after="0" w:line="188"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00497F"/>
        </w:rPr>
        <w:t>Notes to Condensed Consolidated Financial Statements</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497F"/>
        </w:rPr>
        <w:t>(Unaudited)</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 ORGANIZATION AND SUMMARY OF SIGNIFICANT ACCOUNTING POLICIES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Business</w:t>
      </w:r>
    </w:p>
    <w:p>
      <w:pPr>
        <w:spacing w:after="0" w:line="16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EZCORP, Inc. (collectively with its subsidiaries, the “Company,” “we,” “us,” or “our”) is a provider of pawn loans in the United States (“U.S.”) and Latin America. Pawn loans are non-recourse loans collateralized by tangible property. We also sell merchandise, primarily collateral forfeited from pawn lending operations and pre-owned merchandise purchased from customers.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162"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The accompanying interim unaudited condensed consolidated financial statements (“Condensed Consolidated Financial Statements”) have been prepared in accordance with U.S. generally accepted accounting principles (“U.S. GAAP”) for interim financial information and with the instructions to Form 10-Q and Article 10-01 of Regulation S-X. Accordingly, they do not include all of the information and footnotes required by U.S. GAAP for complete financial statements.</w:t>
      </w:r>
    </w:p>
    <w:p>
      <w:pPr>
        <w:spacing w:after="0" w:line="122" w:lineRule="exact"/>
        <w:rPr>
          <w:sz w:val="20"/>
          <w:szCs w:val="20"/>
          <w:color w:val="auto"/>
        </w:rPr>
      </w:pPr>
    </w:p>
    <w:p>
      <w:pPr>
        <w:jc w:val="both"/>
        <w:ind w:right="16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These Condensed Consolidated Financial Statements should be read in conjunction with the audited consolidated financial statements and related notes contained in our </w:t>
      </w:r>
      <w:hyperlink r:id="rId21">
        <w:r>
          <w:rPr>
            <w:rFonts w:ascii="Arial" w:cs="Arial" w:eastAsia="Arial" w:hAnsi="Arial"/>
            <w:sz w:val="18"/>
            <w:szCs w:val="18"/>
            <w:color w:val="auto"/>
          </w:rPr>
          <w:t xml:space="preserve">Annual Report on Form 10-K for the year ended September 30, </w:t>
        </w:r>
      </w:hyperlink>
      <w:r>
        <w:rPr>
          <w:rFonts w:ascii="Arial" w:cs="Arial" w:eastAsia="Arial" w:hAnsi="Arial"/>
          <w:sz w:val="18"/>
          <w:szCs w:val="18"/>
          <w:color w:val="auto"/>
        </w:rPr>
        <w:t>2024, filed with the Securities and Exchange Commission (“SEC”) on November 13, 2024 (“2024 Annual Report”).</w:t>
      </w:r>
    </w:p>
    <w:p>
      <w:pPr>
        <w:spacing w:after="0" w:line="117" w:lineRule="exact"/>
        <w:rPr>
          <w:sz w:val="20"/>
          <w:szCs w:val="20"/>
          <w:color w:val="auto"/>
        </w:rPr>
      </w:pPr>
    </w:p>
    <w:p>
      <w:pPr>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In the opinion of management, the accompanying Condensed Consolidated Financial Statements include all adjustments, consisting of normal recurring adjustments, considered necessary for a fair presentation. Financial results for the three month period ended December 31, 2024, are not necessarily indicative of results that may be expected for the fiscal year ending September 30, 2025 or any other period due, in part, to seasonal variations. There have been no changes that have had a material impact in significant accounting policies as described in our 2024 </w:t>
      </w:r>
      <w:hyperlink r:id="rId21">
        <w:r>
          <w:rPr>
            <w:rFonts w:ascii="Arial" w:cs="Arial" w:eastAsia="Arial" w:hAnsi="Arial"/>
            <w:sz w:val="18"/>
            <w:szCs w:val="18"/>
            <w:color w:val="auto"/>
          </w:rPr>
          <w:t>Annual Report.</w:t>
        </w:r>
      </w:hyperlink>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EZCORP, Inc. and its wholly-owned subsidiaries. We use the equity method of accounting for entities in which we have a 50% or less investment and exercise significant influence. We account for equity investments for which we do not have significant influence and without readily determinable fair values at cost with adjustments for observable changes in price in orderly transactions for identical or similar investments of the same issuer or impairments. All inter-company accounts and transactions have been eliminated in consolidation.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the determination of inventory reserves, expected credit losses, useful lives of long-lived and intangible assets, valuation of share-based compensation, valuation of equity investments, valuation of deferred tax assets and liabilities, loss contingencies related to litigation and discount rates used for operating leases. We base our estimates on historical experience, observable trends and various other assumptions we believe are reasonable. Actual results may differ materially from these estimates under different assumptions or conditions.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Merchandise Sales Revenues Recognition</w:t>
      </w:r>
    </w:p>
    <w:p>
      <w:pPr>
        <w:spacing w:after="0" w:line="171"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Customer layaway deposits are recorded as liabilities when a customer provides a deposit for merchandise. Upon cancellation, customer layaway deposits are generally refundable, less a cancellation fee, via credit slip. Our customer layaway deposits balance as of December 31, 2024, 2023 and September 30, 2024 was $24.2 million, $18.3 million and $21.6 million, respectively, and are generally recognized as revenues within a one-year period.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71"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We account for our investment in Rich Data Corporation (“RDC”) in accordance with Accounting Standards Codification (“ASC”) 321, Investments — Equity Securities, and we have elected to use the measurement alternative to measure this investment at cost, less any impairment, plus or minus changes resulting from observable price changes in orderly transactions for identical or similar investments of the same issuer, if any. As of December 31, 2024, 2023 and September 30, 2024, the carrying value of our investment in RDC was $6.2 million.</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5: Strategic Investments for details on our investment in Founders One, LLC (“Founders”).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In October 2023, the Financial Accounting Standards Board (“FASB”) issued Accounting Standards Update (“ASU”) 2023-06, </w:t>
      </w:r>
      <w:r>
        <w:rPr>
          <w:rFonts w:ascii="Arial" w:cs="Arial" w:eastAsia="Arial" w:hAnsi="Arial"/>
          <w:sz w:val="18"/>
          <w:szCs w:val="18"/>
          <w:i w:val="1"/>
          <w:iCs w:val="1"/>
          <w:color w:val="auto"/>
        </w:rPr>
        <w:t>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Improvements - Codification Amendments in Response to the SEC’s Disclosure Update and Simplification Initiative </w:t>
      </w:r>
      <w:r>
        <w:rPr>
          <w:rFonts w:ascii="Arial" w:cs="Arial" w:eastAsia="Arial" w:hAnsi="Arial"/>
          <w:sz w:val="18"/>
          <w:szCs w:val="18"/>
          <w:color w:val="auto"/>
        </w:rPr>
        <w:t>(“ASU 2023-06”). ASU</w:t>
      </w:r>
      <w:r>
        <w:rPr>
          <w:rFonts w:ascii="Arial" w:cs="Arial" w:eastAsia="Arial" w:hAnsi="Arial"/>
          <w:sz w:val="18"/>
          <w:szCs w:val="18"/>
          <w:i w:val="1"/>
          <w:iCs w:val="1"/>
          <w:color w:val="auto"/>
        </w:rPr>
        <w:t xml:space="preserve"> </w:t>
      </w:r>
      <w:r>
        <w:rPr>
          <w:rFonts w:ascii="Arial" w:cs="Arial" w:eastAsia="Arial" w:hAnsi="Arial"/>
          <w:sz w:val="18"/>
          <w:szCs w:val="18"/>
          <w:color w:val="auto"/>
        </w:rPr>
        <w:t>2023-06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and will no longer be effective if the SEC has not removed the applicable disclosure requirement by June 30, 2027. Early adoption is prohibited. We are currently evaluating the impact of this standard on our consolidated financial statements and related disclosures.</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November 2023, the FASB issued ASU 2023-07, Segment Reporting (Topic 280): </w:t>
      </w:r>
      <w:r>
        <w:rPr>
          <w:rFonts w:ascii="Arial" w:cs="Arial" w:eastAsia="Arial" w:hAnsi="Arial"/>
          <w:sz w:val="18"/>
          <w:szCs w:val="18"/>
          <w:i w:val="1"/>
          <w:iCs w:val="1"/>
          <w:color w:val="auto"/>
        </w:rPr>
        <w:t>Improvements to Reportable Segment Disclosures</w:t>
      </w:r>
      <w:r>
        <w:rPr>
          <w:rFonts w:ascii="Arial" w:cs="Arial" w:eastAsia="Arial" w:hAnsi="Arial"/>
          <w:sz w:val="18"/>
          <w:szCs w:val="18"/>
          <w:color w:val="auto"/>
        </w:rPr>
        <w:t xml:space="preserve"> (“ASU 2023-07”). ASU 2023-07 requires disclosure of significant segment expenses regularly provided to the chief operating decision maker (“CODM”) included within segment operating profit or loss. Additionally, the ASU requires a description of how the CODM utilizes segment operating profit or loss to assess segment performance. The requirements of ASU 2023-07 are effective for the Company for fiscal years beginning after December 15, 2023, and interim periods within fiscal years beginning after December 15, 2024. Early adoption is permitted, and retrospective application is required for all periods presented. We are currently evaluating the impact of this standard on our consolidated financial statements and related disclosures.</w:t>
      </w:r>
    </w:p>
    <w:p>
      <w:pPr>
        <w:spacing w:after="0" w:line="1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xml:space="preserve"> (“ASU 2023-09”). ASU 2023-09 requires disclosure of specific categories and disaggregation of information in the rate reconciliation table. The ASU also requires disclosure of disaggregated information related to income taxes paid, income or loss from continuing operations before income tax expense or benefit and income tax expense or benefit from continuing operations. The requirements of this ASU 2023-09 are effective for the Company for fiscal years beginning after December 15, 2024. Early adoption is permitted, and the amendments should be applied on a prospective basis. Retrospective application is permitted. We are currently evaluating the impact of this standard on our consolidated financial statements and related disclosures.</w:t>
      </w:r>
    </w:p>
    <w:p>
      <w:pPr>
        <w:spacing w:after="0" w:line="12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In March 2024, the FASB issued ASU 2024-02, </w:t>
      </w:r>
      <w:r>
        <w:rPr>
          <w:rFonts w:ascii="Arial" w:cs="Arial" w:eastAsia="Arial" w:hAnsi="Arial"/>
          <w:sz w:val="18"/>
          <w:szCs w:val="18"/>
          <w:i w:val="1"/>
          <w:iCs w:val="1"/>
          <w:color w:val="auto"/>
        </w:rPr>
        <w:t>Codification Improvements—Amendments to Remove References to the Concepts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(“ASU 2024-02”). ASU 2024-02 contains amendments to the Codification that remove references to various FASB Concepts</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The requirements of this ASU 2024-02 are effective for the Company for fiscal years beginning after December 15, 2024 and can be applied on a prospective or retrospective basis. This standard is not expected to have a significant impact on our consolidated financial statements and related disclosures.</w:t>
      </w:r>
    </w:p>
    <w:p>
      <w:pPr>
        <w:spacing w:after="0" w:line="1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(Subtopic 220-40): Disaggregation of Income Statement Expenses </w:t>
      </w:r>
      <w:r>
        <w:rPr>
          <w:rFonts w:ascii="Arial" w:cs="Arial" w:eastAsia="Arial" w:hAnsi="Arial"/>
          <w:sz w:val="18"/>
          <w:szCs w:val="18"/>
          <w:color w:val="auto"/>
        </w:rPr>
        <w:t>(“ASU 2024-03”). Additionally, in January 2025, the FASB</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ASU 2025-01 to clarify the effective date of ASU 2024-03. ASU 2024-03 requires disclosure in the notes to the financial statements of specified information about certain costs and expenses. The requirements of ASU 2024-03 are effective for the Company for fiscal years beginning after December 15, 2026 and interim periods within fiscal years beginning after December 15, 2027. Early adoption is permitted and should be applied either prospectively to financial statements issued for reporting periods after the effective date of this ASU or retrospectively to any or all period periods presented in the financial statements. We are currently evaluating the impact of this standard on our consolidated financial statements and related disclosures.</w:t>
      </w:r>
    </w:p>
    <w:p>
      <w:pPr>
        <w:spacing w:after="0" w:line="1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In November 2024, the FASB issued ASU 2024-04, </w:t>
      </w:r>
      <w:r>
        <w:rPr>
          <w:rFonts w:ascii="Arial" w:cs="Arial" w:eastAsia="Arial" w:hAnsi="Arial"/>
          <w:sz w:val="18"/>
          <w:szCs w:val="18"/>
          <w:i w:val="1"/>
          <w:iCs w:val="1"/>
          <w:color w:val="auto"/>
        </w:rPr>
        <w:t>Debt - Debt with Conversions and Other Options (Subtopic 470-20): Induced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Conversions of Convertible Debt Instruments </w:t>
      </w:r>
      <w:r>
        <w:rPr>
          <w:rFonts w:ascii="Arial" w:cs="Arial" w:eastAsia="Arial" w:hAnsi="Arial"/>
          <w:sz w:val="18"/>
          <w:szCs w:val="18"/>
          <w:color w:val="auto"/>
        </w:rPr>
        <w:t>(“ASU 2024-04”). ASU 2024-04 clarifies the requirements for determining whether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settlements of convertible debt instruments, including convertible debt instruments with cash conversion features or convertible debt instruments that are not currently convertible, should be accounted for as an induced conversion. The requirements of ASU 2024-04 are effective for the Company for fiscal years beginning after December 15, 2025, and interim periods within those periods. Early adoption is permitted for all entities that have adopted the amendments in ASU 2020-06 and can be applied on a prospective or retrospective basis. We are currently evaluating the impact of this standard on our consolidated financial statements and related disclosures.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2: GOODWILL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by segment and in total: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7"/>
          </w:tcPr>
          <w:p>
            <w:pPr>
              <w:jc w:val="center"/>
              <w:ind w:right="179"/>
              <w:spacing w:after="0"/>
              <w:rPr>
                <w:sz w:val="20"/>
                <w:szCs w:val="20"/>
                <w:color w:val="auto"/>
              </w:rPr>
            </w:pPr>
            <w:r>
              <w:rPr>
                <w:rFonts w:ascii="Arial" w:cs="Arial" w:eastAsia="Arial" w:hAnsi="Arial"/>
                <w:sz w:val="16"/>
                <w:szCs w:val="16"/>
                <w:b w:val="1"/>
                <w:bCs w:val="1"/>
                <w:color w:val="auto"/>
              </w:rPr>
              <w:t>Three Months Ended December 31, 2024</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60" w:type="dxa"/>
            <w:vAlign w:val="bottom"/>
          </w:tcPr>
          <w:p>
            <w:pPr>
              <w:spacing w:after="0"/>
              <w:rPr>
                <w:sz w:val="18"/>
                <w:szCs w:val="18"/>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auto"/>
              </w:rPr>
              <w:t>U.S. Pawn</w:t>
            </w:r>
          </w:p>
        </w:tc>
        <w:tc>
          <w:tcPr>
            <w:tcW w:w="1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Latin America Pawn</w:t>
            </w:r>
          </w:p>
        </w:tc>
        <w:tc>
          <w:tcPr>
            <w:tcW w:w="220" w:type="dxa"/>
            <w:vAlign w:val="bottom"/>
          </w:tcPr>
          <w:p>
            <w:pPr>
              <w:spacing w:after="0"/>
              <w:rPr>
                <w:sz w:val="18"/>
                <w:szCs w:val="18"/>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Consolidated</w:t>
            </w:r>
          </w:p>
        </w:tc>
      </w:tr>
      <w:tr>
        <w:trPr>
          <w:trHeight w:val="34"/>
        </w:trPr>
        <w:tc>
          <w:tcPr>
            <w:tcW w:w="606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2024</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264,428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306,478</w:t>
            </w:r>
          </w:p>
        </w:tc>
      </w:tr>
      <w:tr>
        <w:trPr>
          <w:trHeight w:val="215"/>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foreign currency translation changes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(1,756)</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(1,756)</w:t>
            </w:r>
          </w:p>
        </w:tc>
      </w:tr>
      <w:tr>
        <w:trPr>
          <w:trHeight w:val="209"/>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December 31, 2024</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264,428</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40,294</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304,722</w:t>
            </w:r>
          </w:p>
        </w:tc>
      </w:tr>
    </w:tbl>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7"/>
          </w:tcPr>
          <w:p>
            <w:pPr>
              <w:jc w:val="right"/>
              <w:ind w:right="919"/>
              <w:spacing w:after="0"/>
              <w:rPr>
                <w:sz w:val="20"/>
                <w:szCs w:val="20"/>
                <w:color w:val="auto"/>
              </w:rPr>
            </w:pPr>
            <w:r>
              <w:rPr>
                <w:rFonts w:ascii="Arial" w:cs="Arial" w:eastAsia="Arial" w:hAnsi="Arial"/>
                <w:sz w:val="16"/>
                <w:szCs w:val="16"/>
                <w:b w:val="1"/>
                <w:bCs w:val="1"/>
                <w:color w:val="auto"/>
              </w:rPr>
              <w:t>Three Months Ended December 31, 2023</w:t>
            </w:r>
          </w:p>
        </w:tc>
      </w:tr>
      <w:tr>
        <w:trPr>
          <w:trHeight w:val="210"/>
        </w:trPr>
        <w:tc>
          <w:tcPr>
            <w:tcW w:w="59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8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6"/>
                <w:szCs w:val="16"/>
                <w:b w:val="1"/>
                <w:bCs w:val="1"/>
                <w:color w:val="auto"/>
              </w:rPr>
              <w:t>U.S. Pawn</w:t>
            </w:r>
          </w:p>
        </w:tc>
        <w:tc>
          <w:tcPr>
            <w:tcW w:w="1720" w:type="dxa"/>
            <w:vAlign w:val="bottom"/>
            <w:gridSpan w:val="3"/>
          </w:tcPr>
          <w:p>
            <w:pPr>
              <w:ind w:left="40"/>
              <w:spacing w:after="0"/>
              <w:rPr>
                <w:sz w:val="20"/>
                <w:szCs w:val="20"/>
                <w:color w:val="auto"/>
              </w:rPr>
            </w:pPr>
            <w:r>
              <w:rPr>
                <w:rFonts w:ascii="Arial" w:cs="Arial" w:eastAsia="Arial" w:hAnsi="Arial"/>
                <w:sz w:val="16"/>
                <w:szCs w:val="16"/>
                <w:b w:val="1"/>
                <w:bCs w:val="1"/>
                <w:color w:val="auto"/>
              </w:rPr>
              <w:t>Latin America Pawn</w:t>
            </w:r>
          </w:p>
        </w:tc>
        <w:tc>
          <w:tcPr>
            <w:tcW w:w="220" w:type="dxa"/>
            <w:vAlign w:val="bottom"/>
          </w:tcPr>
          <w:p>
            <w:pPr>
              <w:spacing w:after="0"/>
              <w:rPr>
                <w:sz w:val="18"/>
                <w:szCs w:val="18"/>
                <w:color w:val="auto"/>
              </w:rPr>
            </w:pPr>
          </w:p>
        </w:tc>
        <w:tc>
          <w:tcPr>
            <w:tcW w:w="1420" w:type="dxa"/>
            <w:vAlign w:val="bottom"/>
          </w:tcPr>
          <w:p>
            <w:pPr>
              <w:jc w:val="right"/>
              <w:ind w:right="219"/>
              <w:spacing w:after="0"/>
              <w:rPr>
                <w:sz w:val="20"/>
                <w:szCs w:val="20"/>
                <w:color w:val="auto"/>
              </w:rPr>
            </w:pPr>
            <w:r>
              <w:rPr>
                <w:rFonts w:ascii="Arial" w:cs="Arial" w:eastAsia="Arial" w:hAnsi="Arial"/>
                <w:sz w:val="16"/>
                <w:szCs w:val="16"/>
                <w:b w:val="1"/>
                <w:bCs w:val="1"/>
                <w:color w:val="auto"/>
              </w:rPr>
              <w:t>Consolidated</w:t>
            </w:r>
          </w:p>
        </w:tc>
      </w:tr>
      <w:tr>
        <w:trPr>
          <w:trHeight w:val="34"/>
        </w:trPr>
        <w:tc>
          <w:tcPr>
            <w:tcW w:w="59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2023</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255,942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302,372</w:t>
            </w:r>
          </w:p>
        </w:tc>
      </w:tr>
      <w:tr>
        <w:trPr>
          <w:trHeight w:val="216"/>
        </w:trPr>
        <w:tc>
          <w:tcPr>
            <w:tcW w:w="59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Acquisitions </w:t>
            </w:r>
            <w:r>
              <w:rPr>
                <w:rFonts w:ascii="Arial" w:cs="Arial" w:eastAsia="Arial" w:hAnsi="Arial"/>
                <w:sz w:val="21"/>
                <w:szCs w:val="21"/>
                <w:color w:val="auto"/>
                <w:vertAlign w:val="superscript"/>
              </w:rPr>
              <w:t>(a)</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416</w:t>
            </w:r>
          </w:p>
        </w:tc>
      </w:tr>
      <w:tr>
        <w:trPr>
          <w:trHeight w:val="215"/>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foreign currency translation changes</w:t>
            </w: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r>
      <w:tr>
        <w:trPr>
          <w:trHeight w:val="20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December 31, 2023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256,358</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47,441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303,799</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(a) Amount represents goodwill recognized in connection with an immaterial acquisition within the U.S. Pawn segment and we have therefore omitted certain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3: EARNINGS PER SHARE</w:t>
      </w:r>
    </w:p>
    <w:p>
      <w:pPr>
        <w:spacing w:after="0" w:line="177"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The following table reconciles the number of common shares used to compute basic and diluted earnings per share attributable to EZCORP Inc., shareholders:</w:t>
      </w:r>
    </w:p>
    <w:tbl>
      <w:tblPr>
        <w:tblLayout w:type="fixed"/>
        <w:tblInd w:w="0" w:type="dxa"/>
        <w:tblCellMar>
          <w:top w:w="0" w:type="dxa"/>
          <w:left w:w="0" w:type="dxa"/>
          <w:bottom w:w="0" w:type="dxa"/>
          <w:right w:w="0" w:type="dxa"/>
        </w:tblCellMar>
      </w:tblPr>
      <w:tr>
        <w:trPr>
          <w:trHeight w:val="164"/>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4"/>
          </w:tcPr>
          <w:p>
            <w:pPr>
              <w:jc w:val="right"/>
              <w:ind w:right="619"/>
              <w:spacing w:after="0" w:line="164" w:lineRule="exact"/>
              <w:rPr>
                <w:sz w:val="20"/>
                <w:szCs w:val="20"/>
                <w:color w:val="auto"/>
              </w:rPr>
            </w:pPr>
            <w:r>
              <w:rPr>
                <w:rFonts w:ascii="Arial" w:cs="Arial" w:eastAsia="Arial" w:hAnsi="Arial"/>
                <w:sz w:val="16"/>
                <w:szCs w:val="16"/>
                <w:b w:val="1"/>
                <w:bCs w:val="1"/>
                <w:color w:val="auto"/>
              </w:rPr>
              <w:t>Three Months Ended</w:t>
            </w:r>
          </w:p>
        </w:tc>
      </w:tr>
      <w:tr>
        <w:trPr>
          <w:trHeight w:val="216"/>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34"/>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common share: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Net income - basic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31,016</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28,470</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Weighted shares outstanding - basic</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54,827</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55,076</w:t>
            </w:r>
          </w:p>
        </w:tc>
      </w:tr>
      <w:tr>
        <w:trPr>
          <w:trHeight w:val="21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Basic earnings per common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0.57</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r>
      <w:tr>
        <w:trPr>
          <w:trHeight w:val="203"/>
        </w:trPr>
        <w:tc>
          <w:tcPr>
            <w:tcW w:w="8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Diluted earnings per common share: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 basic</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28,470</w:t>
            </w:r>
          </w:p>
        </w:tc>
      </w:tr>
      <w:tr>
        <w:trPr>
          <w:trHeight w:val="215"/>
        </w:trPr>
        <w:tc>
          <w:tcPr>
            <w:tcW w:w="82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Add: Convertible Notes* interest expense, net of tax</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2,439</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w:t>
            </w:r>
          </w:p>
        </w:tc>
      </w:tr>
      <w:tr>
        <w:trPr>
          <w:trHeight w:val="210"/>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 diluted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33,455</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31,129</w:t>
            </w: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Weighted shares outstanding - basic</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54,827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55,076</w:t>
            </w:r>
          </w:p>
        </w:tc>
      </w:tr>
      <w:tr>
        <w:trPr>
          <w:trHeight w:val="217"/>
        </w:trPr>
        <w:tc>
          <w:tcPr>
            <w:tcW w:w="8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Equity-based compensation awards - effect of dilution**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w:t>
            </w:r>
          </w:p>
        </w:tc>
      </w:tr>
      <w:tr>
        <w:trPr>
          <w:trHeight w:val="215"/>
        </w:trPr>
        <w:tc>
          <w:tcPr>
            <w:tcW w:w="82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Convertible Notes* - effect of dilution</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26,979</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30,418</w:t>
            </w:r>
          </w:p>
        </w:tc>
      </w:tr>
      <w:tr>
        <w:trPr>
          <w:trHeight w:val="210"/>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Weighted shares outstanding - diluted</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83,347</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86,812</w:t>
            </w:r>
          </w:p>
        </w:tc>
      </w:tr>
      <w:tr>
        <w:trPr>
          <w:trHeight w:val="21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 earnings per common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0.40</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r>
      <w:tr>
        <w:trPr>
          <w:trHeight w:val="203"/>
        </w:trPr>
        <w:tc>
          <w:tcPr>
            <w:tcW w:w="8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Potential common shares excluded from the calculation of diluted earnings per common share above: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8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Restricted stock***</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w:t>
            </w:r>
          </w:p>
        </w:tc>
      </w:tr>
    </w:tbl>
    <w:p>
      <w:pPr>
        <w:spacing w:after="0" w:line="301" w:lineRule="exact"/>
        <w:rPr>
          <w:sz w:val="20"/>
          <w:szCs w:val="20"/>
          <w:color w:val="auto"/>
        </w:rPr>
      </w:pPr>
    </w:p>
    <w:p>
      <w:pPr>
        <w:ind w:left="340" w:right="60" w:hanging="332"/>
        <w:spacing w:after="0" w:line="261" w:lineRule="auto"/>
        <w:tabs>
          <w:tab w:leader="none" w:pos="229"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Company’s debt (collectively, the “Convertible Notes”) includes the 2.375% Convertible Senior Notes Due 2025 (the “2025 Convertible Notes”), the 3.750% Convertible Senior Notes Due 2029 (the “2029 Convertible Notes”) and the three months ended December 31, 2023 also includes the 2.875% Convertible Senior Notes Due 2024 (the “2024 Convertible Notes”). See Note 7: Debt for conversion price, initial conversion rate and additional information.</w:t>
      </w:r>
    </w:p>
    <w:p>
      <w:pPr>
        <w:spacing w:after="0" w:line="2" w:lineRule="exact"/>
        <w:rPr>
          <w:sz w:val="20"/>
          <w:szCs w:val="20"/>
          <w:color w:val="auto"/>
        </w:rPr>
      </w:pPr>
    </w:p>
    <w:p>
      <w:pPr>
        <w:ind w:left="340" w:right="460" w:hanging="332"/>
        <w:spacing w:after="0" w:line="261" w:lineRule="auto"/>
        <w:tabs>
          <w:tab w:leader="none" w:pos="288"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time-based share-based awards and performance-based awards for which targets for fiscal year tranches have been achieved and vesting is subject only to achievement of service conditions.</w:t>
      </w:r>
    </w:p>
    <w:p>
      <w:pPr>
        <w:ind w:left="340" w:right="20" w:hanging="332"/>
        <w:spacing w:after="0" w:line="264" w:lineRule="auto"/>
        <w:tabs>
          <w:tab w:leader="none" w:pos="344"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share-based awards that are contingently issuable, but for which the condition for issuance has not been met as of the end of the reporting period.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4: LEASES</w:t>
      </w:r>
    </w:p>
    <w:p>
      <w:pPr>
        <w:spacing w:after="0" w:line="177"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We determine if a contract contains a lease at inception. Our lease portfolio consists primarily of operating leases for pawn store locations and corporate offices with lease terms ranging from three to ten years and finance leases for vehicles with lease terms ranging from two to five years.</w:t>
      </w:r>
    </w:p>
    <w:p>
      <w:pPr>
        <w:spacing w:after="0" w:line="117"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table below presents balances of our lease assets and liabilities and their balance sheet locations for both operating and financing leases: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40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14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2720" w:type="dxa"/>
            <w:vAlign w:val="bottom"/>
            <w:vMerge w:val="continue"/>
          </w:tcPr>
          <w:p>
            <w:pPr>
              <w:spacing w:after="0"/>
              <w:rPr>
                <w:sz w:val="18"/>
                <w:szCs w:val="18"/>
                <w:color w:val="auto"/>
              </w:rPr>
            </w:pPr>
          </w:p>
        </w:tc>
        <w:tc>
          <w:tcPr>
            <w:tcW w:w="4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6"/>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Lease assets:</w:t>
            </w:r>
          </w:p>
        </w:tc>
        <w:tc>
          <w:tcPr>
            <w:tcW w:w="3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Right-of-use assets, net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227,810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226,602</w:t>
            </w:r>
          </w:p>
        </w:tc>
        <w:tc>
          <w:tcPr>
            <w:tcW w:w="0" w:type="dxa"/>
            <w:vAlign w:val="bottom"/>
          </w:tcPr>
          <w:p>
            <w:pPr>
              <w:spacing w:after="0"/>
              <w:rPr>
                <w:sz w:val="1"/>
                <w:szCs w:val="1"/>
                <w:color w:val="auto"/>
              </w:rPr>
            </w:pPr>
          </w:p>
        </w:tc>
      </w:tr>
      <w:tr>
        <w:trPr>
          <w:trHeight w:val="21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Financing lease assets</w:t>
            </w:r>
          </w:p>
        </w:tc>
        <w:tc>
          <w:tcPr>
            <w:tcW w:w="40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Other assets, net</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w:t>
            </w:r>
          </w:p>
        </w:tc>
        <w:tc>
          <w:tcPr>
            <w:tcW w:w="0" w:type="dxa"/>
            <w:vAlign w:val="bottom"/>
          </w:tcPr>
          <w:p>
            <w:pPr>
              <w:spacing w:after="0"/>
              <w:rPr>
                <w:sz w:val="1"/>
                <w:szCs w:val="1"/>
                <w:color w:val="auto"/>
              </w:rPr>
            </w:pPr>
          </w:p>
        </w:tc>
      </w:tr>
      <w:tr>
        <w:trPr>
          <w:trHeight w:val="204"/>
        </w:trPr>
        <w:tc>
          <w:tcPr>
            <w:tcW w:w="2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lease assets</w:t>
            </w:r>
          </w:p>
        </w:tc>
        <w:tc>
          <w:tcPr>
            <w:tcW w:w="3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229,150</w:t>
            </w: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233,227</w:t>
            </w: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228,161</w:t>
            </w:r>
          </w:p>
        </w:tc>
        <w:tc>
          <w:tcPr>
            <w:tcW w:w="0" w:type="dxa"/>
            <w:vAlign w:val="bottom"/>
          </w:tcPr>
          <w:p>
            <w:pPr>
              <w:spacing w:after="0"/>
              <w:rPr>
                <w:sz w:val="1"/>
                <w:szCs w:val="1"/>
                <w:color w:val="auto"/>
              </w:rPr>
            </w:pPr>
          </w:p>
        </w:tc>
      </w:tr>
      <w:tr>
        <w:trPr>
          <w:trHeight w:val="418"/>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Lease liabilities:</w:t>
            </w: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20"/>
              <w:spacing w:after="0"/>
              <w:rPr>
                <w:sz w:val="20"/>
                <w:szCs w:val="20"/>
                <w:color w:val="auto"/>
              </w:rPr>
            </w:pPr>
            <w:r>
              <w:rPr>
                <w:rFonts w:ascii="Arial" w:cs="Arial" w:eastAsia="Arial" w:hAnsi="Arial"/>
                <w:sz w:val="16"/>
                <w:szCs w:val="16"/>
                <w:color w:val="auto"/>
              </w:rPr>
              <w:t>Current:</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liabilities, 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58,998</w:t>
            </w:r>
          </w:p>
        </w:tc>
        <w:tc>
          <w:tcPr>
            <w:tcW w:w="0" w:type="dxa"/>
            <w:vAlign w:val="bottom"/>
          </w:tcPr>
          <w:p>
            <w:pPr>
              <w:spacing w:after="0"/>
              <w:rPr>
                <w:sz w:val="1"/>
                <w:szCs w:val="1"/>
                <w:color w:val="auto"/>
              </w:rPr>
            </w:pPr>
          </w:p>
        </w:tc>
      </w:tr>
      <w:tr>
        <w:trPr>
          <w:trHeight w:val="162"/>
        </w:trPr>
        <w:tc>
          <w:tcPr>
            <w:tcW w:w="2720" w:type="dxa"/>
            <w:vAlign w:val="bottom"/>
            <w:vMerge w:val="restart"/>
          </w:tcPr>
          <w:p>
            <w:pPr>
              <w:ind w:left="20"/>
              <w:spacing w:after="0"/>
              <w:rPr>
                <w:sz w:val="20"/>
                <w:szCs w:val="20"/>
                <w:color w:val="auto"/>
              </w:rPr>
            </w:pPr>
            <w:r>
              <w:rPr>
                <w:rFonts w:ascii="Arial" w:cs="Arial" w:eastAsia="Arial" w:hAnsi="Arial"/>
                <w:sz w:val="16"/>
                <w:szCs w:val="16"/>
                <w:color w:val="auto"/>
              </w:rPr>
              <w:t>Financing lease liabilities</w:t>
            </w:r>
          </w:p>
        </w:tc>
        <w:tc>
          <w:tcPr>
            <w:tcW w:w="40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Accounts payable, accrued expenses and other</w:t>
            </w: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556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15"/>
        </w:trPr>
        <w:tc>
          <w:tcPr>
            <w:tcW w:w="2720" w:type="dxa"/>
            <w:vAlign w:val="bottom"/>
            <w:tcBorders>
              <w:bottom w:val="single" w:sz="8" w:color="auto"/>
            </w:tcBorders>
            <w:vMerge w:val="continue"/>
          </w:tcPr>
          <w:p>
            <w:pPr>
              <w:spacing w:after="0"/>
              <w:rPr>
                <w:sz w:val="18"/>
                <w:szCs w:val="18"/>
                <w:color w:val="auto"/>
              </w:rPr>
            </w:pPr>
          </w:p>
        </w:tc>
        <w:tc>
          <w:tcPr>
            <w:tcW w:w="40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current lease liabilities</w:t>
            </w:r>
          </w:p>
        </w:tc>
        <w:tc>
          <w:tcPr>
            <w:tcW w:w="3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58,456</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58,552</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59,568</w:t>
            </w:r>
          </w:p>
        </w:tc>
        <w:tc>
          <w:tcPr>
            <w:tcW w:w="0" w:type="dxa"/>
            <w:vAlign w:val="bottom"/>
          </w:tcPr>
          <w:p>
            <w:pPr>
              <w:spacing w:after="0"/>
              <w:rPr>
                <w:sz w:val="1"/>
                <w:szCs w:val="1"/>
                <w:color w:val="auto"/>
              </w:rPr>
            </w:pPr>
          </w:p>
        </w:tc>
      </w:tr>
      <w:tr>
        <w:trPr>
          <w:trHeight w:val="215"/>
        </w:trPr>
        <w:tc>
          <w:tcPr>
            <w:tcW w:w="2720" w:type="dxa"/>
            <w:vAlign w:val="bottom"/>
          </w:tcPr>
          <w:p>
            <w:pPr>
              <w:ind w:left="20"/>
              <w:spacing w:after="0"/>
              <w:rPr>
                <w:sz w:val="20"/>
                <w:szCs w:val="20"/>
                <w:color w:val="auto"/>
              </w:rPr>
            </w:pPr>
            <w:r>
              <w:rPr>
                <w:rFonts w:ascii="Arial" w:cs="Arial" w:eastAsia="Arial" w:hAnsi="Arial"/>
                <w:sz w:val="16"/>
                <w:szCs w:val="16"/>
                <w:color w:val="auto"/>
              </w:rPr>
              <w:t>Non-current:</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180,616</w:t>
            </w:r>
          </w:p>
        </w:tc>
        <w:tc>
          <w:tcPr>
            <w:tcW w:w="0" w:type="dxa"/>
            <w:vAlign w:val="bottom"/>
          </w:tcPr>
          <w:p>
            <w:pPr>
              <w:spacing w:after="0"/>
              <w:rPr>
                <w:sz w:val="1"/>
                <w:szCs w:val="1"/>
                <w:color w:val="auto"/>
              </w:rPr>
            </w:pPr>
          </w:p>
        </w:tc>
      </w:tr>
      <w:tr>
        <w:trPr>
          <w:trHeight w:val="21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Financing lease liabilities</w:t>
            </w:r>
          </w:p>
        </w:tc>
        <w:tc>
          <w:tcPr>
            <w:tcW w:w="40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217"/>
        </w:trPr>
        <w:tc>
          <w:tcPr>
            <w:tcW w:w="2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non-current lease liabilities</w:t>
            </w:r>
          </w:p>
        </w:tc>
        <w:tc>
          <w:tcPr>
            <w:tcW w:w="3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183,135</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190,119</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181,726</w:t>
            </w:r>
          </w:p>
        </w:tc>
        <w:tc>
          <w:tcPr>
            <w:tcW w:w="0" w:type="dxa"/>
            <w:vAlign w:val="bottom"/>
          </w:tcPr>
          <w:p>
            <w:pPr>
              <w:spacing w:after="0"/>
              <w:rPr>
                <w:sz w:val="1"/>
                <w:szCs w:val="1"/>
                <w:color w:val="auto"/>
              </w:rPr>
            </w:pPr>
          </w:p>
        </w:tc>
      </w:tr>
      <w:tr>
        <w:trPr>
          <w:trHeight w:val="223"/>
        </w:trPr>
        <w:tc>
          <w:tcPr>
            <w:tcW w:w="27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lease liabilities</w:t>
            </w:r>
          </w:p>
        </w:tc>
        <w:tc>
          <w:tcPr>
            <w:tcW w:w="3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241,591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248,671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241,294</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major components of our lease costs: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50"/>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Operating lease cost:</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 *</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19,066</w:t>
            </w:r>
          </w:p>
        </w:tc>
      </w:tr>
      <w:tr>
        <w:trPr>
          <w:trHeight w:val="215"/>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Variable lease cost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3,293</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4,215</w:t>
            </w:r>
          </w:p>
        </w:tc>
      </w:tr>
      <w:tr>
        <w:trPr>
          <w:trHeight w:val="217"/>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operating lease cost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23,262</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23,281</w:t>
            </w:r>
          </w:p>
        </w:tc>
      </w:tr>
      <w:tr>
        <w:trPr>
          <w:trHeight w:val="418"/>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Financing lease cost:</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financing lease assets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15"/>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on financing lease liabilities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217"/>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financing lease cost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223"/>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lease cost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23,445</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23,497</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 Includes a reduction for sublease rental income of $0.6 million and $1.1 million for the three months ended December 31, 2024 and 2023, respectively.</w:t>
      </w:r>
    </w:p>
    <w:p>
      <w:pPr>
        <w:spacing w:after="0" w:line="2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Lease expense is recognized on a straight-line basis over the lease term with variable lease expense recognized in the period in which the costs are incurred. The components of lease expense are included in “Store expenses” and “General and administrative” under operating expenses, based on the underlying lease use. Cash paid for operating leases was $20.0 million and $20.3 million for the three months ended December 31, 2024 and 2023, respectively. Cash paid for principal and interest on finance leases was $0.1 million and less than $0.1 million, respectively, for the three months ended December 31, 2024 and $0.1 million and $0.1 million, respectively, for the three months ended December 31, 2023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term and discount rates for leases are as follows:</w:t>
      </w:r>
    </w:p>
    <w:p>
      <w:pPr>
        <w:spacing w:after="0" w:line="210"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6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49"/>
        </w:trPr>
        <w:tc>
          <w:tcPr>
            <w:tcW w:w="8060" w:type="dxa"/>
            <w:vAlign w:val="bottom"/>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Financing leases</w:t>
            </w:r>
          </w:p>
        </w:tc>
        <w:tc>
          <w:tcPr>
            <w:tcW w:w="154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270"/>
        </w:trPr>
        <w:tc>
          <w:tcPr>
            <w:tcW w:w="806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8.53 %</w:t>
            </w: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Financing leases</w:t>
            </w:r>
          </w:p>
        </w:tc>
        <w:tc>
          <w:tcPr>
            <w:tcW w:w="1540" w:type="dxa"/>
            <w:vAlign w:val="bottom"/>
          </w:tcPr>
          <w:p>
            <w:pPr>
              <w:jc w:val="right"/>
              <w:spacing w:after="0"/>
              <w:rPr>
                <w:sz w:val="20"/>
                <w:szCs w:val="20"/>
                <w:color w:val="auto"/>
              </w:rPr>
            </w:pPr>
            <w:r>
              <w:rPr>
                <w:rFonts w:ascii="Arial" w:cs="Arial" w:eastAsia="Arial" w:hAnsi="Arial"/>
                <w:sz w:val="16"/>
                <w:szCs w:val="16"/>
                <w:color w:val="auto"/>
              </w:rPr>
              <w:t>11.14 %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11.14 %</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 maturities of lease liabilities under ASC 842 by fiscal year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Operating Leases</w:t>
            </w:r>
          </w:p>
        </w:tc>
        <w:tc>
          <w:tcPr>
            <w:tcW w:w="10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b w:val="1"/>
                <w:bCs w:val="1"/>
                <w:color w:val="auto"/>
              </w:rPr>
              <w:t>Financing Leases</w:t>
            </w:r>
          </w:p>
        </w:tc>
      </w:tr>
      <w:tr>
        <w:trPr>
          <w:trHeight w:val="209"/>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Remaining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57,021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w:t>
            </w: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Fiscal 2026</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68,806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702</w:t>
            </w: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2027</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Fiscal 2028</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39,612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2029</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49,919</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296,238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w:t>
            </w:r>
          </w:p>
        </w:tc>
      </w:tr>
      <w:tr>
        <w:trPr>
          <w:trHeight w:val="215"/>
        </w:trPr>
        <w:tc>
          <w:tcPr>
            <w:tcW w:w="79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Less: portion representing imputed interest</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56,110</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r>
      <w:tr>
        <w:trPr>
          <w:trHeight w:val="210"/>
        </w:trPr>
        <w:tc>
          <w:tcPr>
            <w:tcW w:w="7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net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w:t>
            </w:r>
          </w:p>
        </w:tc>
      </w:tr>
      <w:tr>
        <w:trPr>
          <w:trHeight w:val="215"/>
        </w:trPr>
        <w:tc>
          <w:tcPr>
            <w:tcW w:w="798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Less: current portion</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57,900</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r>
      <w:tr>
        <w:trPr>
          <w:trHeight w:val="217"/>
        </w:trPr>
        <w:tc>
          <w:tcPr>
            <w:tcW w:w="79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Total long-term net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182,228</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w:t>
            </w:r>
          </w:p>
        </w:tc>
      </w:tr>
    </w:tbl>
    <w:p>
      <w:pPr>
        <w:spacing w:after="0" w:line="22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recorded $18.2 million and $9.3 million in non-cash additions to our operating right-of-use assets and lease liabilities for the three months ended December 31, 2024 and 2023, respectively. We recorded no non-cash finance lease additions for the three months ended December 31, 2024 and $0.1 million for the three months ended December 31, 2023.</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5: STRATEGIC INVESTMENTS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Converters International Limited</w:t>
      </w:r>
    </w:p>
    <w:p>
      <w:pPr>
        <w:spacing w:after="0" w:line="13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As of December 31, 2024, we owned 273,939,157 shares, or approximately 43.7%, of Cash Converters. We acquired our original investment in November 2009 and have increased our ownership through the acquisition of additional shares periodically since that time.</w:t>
      </w:r>
    </w:p>
    <w:p>
      <w:pPr>
        <w:spacing w:after="0" w:line="9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received cash dividends from Cash Converters of $1.9 million and $1.7 million during the three months ended December 31, 2024 and 2023, respectively.</w:t>
      </w:r>
    </w:p>
    <w:p>
      <w:pPr>
        <w:spacing w:after="0" w:line="9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following tables present summary financial information for Cash Converters’ most recently reported results as applicable after translation to U.S. dollars: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34"/>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185,649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189,563</w:t>
            </w:r>
          </w:p>
        </w:tc>
      </w:tr>
      <w:tr>
        <w:trPr>
          <w:trHeight w:val="215"/>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assets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133,043</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103,595</w:t>
            </w:r>
          </w:p>
        </w:tc>
      </w:tr>
      <w:tr>
        <w:trPr>
          <w:trHeight w:val="217"/>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318,692</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293,158</w:t>
            </w:r>
          </w:p>
        </w:tc>
      </w:tr>
      <w:tr>
        <w:trPr>
          <w:trHeight w:val="40"/>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103,771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97,630</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74,010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58,777</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140,911</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136,751</w:t>
            </w:r>
          </w:p>
        </w:tc>
      </w:tr>
      <w:tr>
        <w:trPr>
          <w:trHeight w:val="217"/>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318,692</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293,158</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Full-Year Ended June 30,</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34"/>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203,608</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152,879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125,709</w:t>
            </w: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profit (loss)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(65,351)</w:t>
            </w: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212529"/>
        </w:rPr>
        <w:t xml:space="preserve">During the </w:t>
      </w:r>
      <w:r>
        <w:rPr>
          <w:rFonts w:ascii="Arial" w:cs="Arial" w:eastAsia="Arial" w:hAnsi="Arial"/>
          <w:sz w:val="18"/>
          <w:szCs w:val="18"/>
          <w:color w:val="000000"/>
        </w:rPr>
        <w:t>three</w:t>
      </w:r>
      <w:r>
        <w:rPr>
          <w:rFonts w:ascii="Arial" w:cs="Arial" w:eastAsia="Arial" w:hAnsi="Arial"/>
          <w:sz w:val="18"/>
          <w:szCs w:val="18"/>
          <w:color w:val="212529"/>
        </w:rPr>
        <w:t xml:space="preserve"> months ended December 31, 2024, and </w:t>
      </w:r>
      <w:r>
        <w:rPr>
          <w:rFonts w:ascii="Arial" w:cs="Arial" w:eastAsia="Arial" w:hAnsi="Arial"/>
          <w:sz w:val="18"/>
          <w:szCs w:val="18"/>
          <w:color w:val="000000"/>
        </w:rPr>
        <w:t>2023</w:t>
      </w:r>
      <w:r>
        <w:rPr>
          <w:rFonts w:ascii="Arial" w:cs="Arial" w:eastAsia="Arial" w:hAnsi="Arial"/>
          <w:sz w:val="18"/>
          <w:szCs w:val="18"/>
          <w:color w:val="212529"/>
        </w:rPr>
        <w:t xml:space="preserve"> we recorded our share of income of $1.6 million and $1.2 million, respectively, from Cash Converters, included in </w:t>
      </w:r>
      <w:r>
        <w:rPr>
          <w:rFonts w:ascii="Arial" w:cs="Arial" w:eastAsia="Arial" w:hAnsi="Arial"/>
          <w:sz w:val="18"/>
          <w:szCs w:val="18"/>
          <w:color w:val="000000"/>
        </w:rPr>
        <w:t>“Equity in net income of unconsolidated affiliates”</w:t>
      </w:r>
      <w:r>
        <w:rPr>
          <w:rFonts w:ascii="Arial" w:cs="Arial" w:eastAsia="Arial" w:hAnsi="Arial"/>
          <w:sz w:val="18"/>
          <w:szCs w:val="18"/>
          <w:color w:val="212529"/>
        </w:rPr>
        <w:t xml:space="preserve"> in the condensed consolidated statements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212529"/>
        </w:rPr>
        <w:t>See Note 6: Fair Value Measurements for the fair value and carrying value of our investment in Cash Converters.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Founders One, LLC</w:t>
      </w:r>
    </w:p>
    <w:p>
      <w:pPr>
        <w:spacing w:after="0" w:line="13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fiscal 2022, we invested $15.0 million in exchange for a non-redeemable voting participating preferred equity interest in Founders One, LLC (“Founders”), a then newly-formed entity with one other member. In fiscal 2023, we contributed an additional $ 15.0 million associated with our preferred interest and loaned Founders $15.0 million in exchange for a Demand Promissory Note secured by the common interest held by the other member. In fiscal 2024, we contributed an additional $15.0 million associated with our preferred interest, bringing our total preferred equity investment in Founders to $45.0 million.</w:t>
      </w:r>
    </w:p>
    <w:p>
      <w:pPr>
        <w:spacing w:after="0" w:line="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an interest in Founders, a variable interest entity, but because the Company is not the primary beneficiary, we do not consolidate Founders. Further, as we are not the appointed manager, we do not have the ability to direct the activities of the investment entity that most significantly impact its economic performance. Consequently, our preferred equity investment in Founders is accounted for utilizing the measurement alternative within ASC 321, Investments — Equity Securities. As of December 31, 2024, our $45.0 million carrying value of the preferred equity investment and $15.0 million Demand Promissory Note are included in “Other investments” and “Prepaid expenses and other current assets” in our condensed consolidated balance sheets, respectively. As of December 31, 2024, our maximum exposure for losses related to our investment in Founders was our $45.0 million preferred equity investment and $15.0 million Demand Promissory Note plus accrued and unpaid interest.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212529"/>
        </w:rPr>
        <w:t>See Note 6: Fair Value Measurements for the fair value and carrying value of our loan to Founders.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6: FAIR VALUE MEASUREMENTS</w:t>
      </w:r>
    </w:p>
    <w:p>
      <w:pPr>
        <w:spacing w:after="0" w:line="17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fair value of a financial instrument is the amount that could be received upon the sale of an asset or paid to transfer a liability in an orderly transaction between market participants at the measurement date. The fair value hierarchy prioritizes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w:t>
      </w:r>
    </w:p>
    <w:p>
      <w:pPr>
        <w:spacing w:after="0" w:line="12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 or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Other observable market-based inputs or unobservable inputs that are corroborated by market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not to measure at fair value any eligible items for which fair value measurement is optional.</w:t>
      </w:r>
    </w:p>
    <w:p>
      <w:pPr>
        <w:spacing w:after="0" w:line="17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There were no transfers in or out of Level 1, Level 2 or Level 3 for financial assets or liabilities measured at fair value on a recurring basis during the periods presented.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 Not Measured at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estimates of fair value of financial assets and liabilities that were not measured at fair value: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Carrying Value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9"/>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December 31,</w:t>
            </w: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10"/>
        </w:trPr>
        <w:tc>
          <w:tcPr>
            <w:tcW w:w="46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200" w:type="dxa"/>
            <w:vAlign w:val="bottom"/>
          </w:tcPr>
          <w:p>
            <w:pPr>
              <w:jc w:val="center"/>
              <w:ind w:right="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250"/>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Financial assets:</w:t>
            </w: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Promissory note receivable from Founders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16,317</w:t>
            </w:r>
          </w:p>
        </w:tc>
      </w:tr>
      <w:tr>
        <w:trPr>
          <w:trHeight w:val="215"/>
        </w:trPr>
        <w:tc>
          <w:tcPr>
            <w:tcW w:w="460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13,555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43,328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42,478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850</w:t>
            </w:r>
          </w:p>
        </w:tc>
      </w:tr>
      <w:tr>
        <w:trPr>
          <w:trHeight w:val="217"/>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2025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600" w:type="dxa"/>
            <w:vAlign w:val="bottom"/>
          </w:tcPr>
          <w:p>
            <w:pPr>
              <w:ind w:left="220"/>
              <w:spacing w:after="0"/>
              <w:rPr>
                <w:sz w:val="20"/>
                <w:szCs w:val="20"/>
                <w:color w:val="auto"/>
              </w:rPr>
            </w:pPr>
            <w:r>
              <w:rPr>
                <w:rFonts w:ascii="Arial" w:cs="Arial" w:eastAsia="Arial" w:hAnsi="Arial"/>
                <w:sz w:val="16"/>
                <w:szCs w:val="16"/>
                <w:color w:val="auto"/>
              </w:rPr>
              <w:t>2029 Convertible Notes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224,505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289,887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289,887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20" w:type="dxa"/>
            <w:vAlign w:val="bottom"/>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Carrying Value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180" w:type="dxa"/>
            <w:vAlign w:val="bottom"/>
          </w:tcPr>
          <w:p>
            <w:pPr>
              <w:jc w:val="center"/>
              <w:ind w:right="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250"/>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Financial assets:</w:t>
            </w:r>
          </w:p>
        </w:tc>
        <w:tc>
          <w:tcPr>
            <w:tcW w:w="1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Promissory note receivable due April 2024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w:t>
            </w: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Promissory note receivable from Founders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17,073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17,073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17,073</w:t>
            </w: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2025 Convertible Notes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102,695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94,173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94,173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2029 Convertible Notes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Carrying Value</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09"/>
        </w:trPr>
        <w:tc>
          <w:tcPr>
            <w:tcW w:w="46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250"/>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Financial assets:</w:t>
            </w:r>
          </w:p>
        </w:tc>
        <w:tc>
          <w:tcPr>
            <w:tcW w:w="1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Promissory note receivable from Founders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15,722</w:t>
            </w:r>
          </w:p>
        </w:tc>
      </w:tr>
      <w:tr>
        <w:trPr>
          <w:trHeight w:val="215"/>
        </w:trPr>
        <w:tc>
          <w:tcPr>
            <w:tcW w:w="460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13,329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42,496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41,646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850</w:t>
            </w:r>
          </w:p>
        </w:tc>
      </w:tr>
      <w:tr>
        <w:trPr>
          <w:trHeight w:val="217"/>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2025 Convertible Notes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600" w:type="dxa"/>
            <w:vAlign w:val="bottom"/>
          </w:tcPr>
          <w:p>
            <w:pPr>
              <w:ind w:left="220"/>
              <w:spacing w:after="0"/>
              <w:rPr>
                <w:sz w:val="20"/>
                <w:szCs w:val="20"/>
                <w:color w:val="auto"/>
              </w:rPr>
            </w:pPr>
            <w:r>
              <w:rPr>
                <w:rFonts w:ascii="Arial" w:cs="Arial" w:eastAsia="Arial" w:hAnsi="Arial"/>
                <w:sz w:val="16"/>
                <w:szCs w:val="16"/>
                <w:color w:val="auto"/>
              </w:rPr>
              <w:t>2029 Convertible Notes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224,256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273,700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273,700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9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Based primarily on the short-term nature of cash and cash equivalents, pawn loans, pawn service charges receivable and other liabilities, we estimate that their carrying value approximates fair value. We consider our cash and cash equivalents, including money market accounts, to be measured using Level 1 inputs and our pawn loans, pawn service charges receivable and other liabilities to be measured using Level 3 inputs. Significant increases or decreases in the underlying assumptions used to value pawn loans, pawn service charges receivable, fees and interest receivable and other debt could significantly increase or decrease these fair value estimates.</w:t>
      </w:r>
    </w:p>
    <w:p>
      <w:pPr>
        <w:spacing w:after="0" w:line="12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fiscal 2023, we loaned $ 15.0 million to Founders in exchange for a Demand Promissory Note secured by the common interest in Founders held by the other member. As of December 31, 2024, the interest rate on the note was 15.00% per annum, and all principal and accrued interest is due on demand. Based primarily on the short-term nature of the note, we estimate that its carrying value approximates fair value as of December 31, 2024.</w:t>
      </w:r>
    </w:p>
    <w:p>
      <w:pPr>
        <w:spacing w:after="0" w:line="12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fiscal 2019, we received $1.1 million in previously escrowed seller funds as a result of settling certain indemnification claims with the seller of GPMX. In April 2019, we loaned the $1.1 million back to the seller of GPMX in exchange for a promissory note. The interest rate on the note was 2.89% per annum and was secured by certain marketable securities owned by the seller and held in a U.S. brokerage account. All principal and accrued interest was received in April 2024.</w:t>
      </w:r>
    </w:p>
    <w:p>
      <w:pPr>
        <w:spacing w:after="0" w:line="12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use the equity method of accounting to account for our ownership interest in Cash Converters. The inputs used to generate the fair value of the investment in Cash Converters were considered Level 1 inputs. These inputs consist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spacing w:after="0" w:line="12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measured the fair value of the 2024, 2025 and 2029 Convertible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7: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debt instruments outstanding: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6"/>
                <w:szCs w:val="16"/>
                <w:b w:val="1"/>
                <w:bCs w:val="1"/>
                <w:color w:val="auto"/>
              </w:rPr>
              <w:t>December 31, 2024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6"/>
                <w:szCs w:val="16"/>
                <w:b w:val="1"/>
                <w:bCs w:val="1"/>
                <w:color w:val="auto"/>
              </w:rPr>
              <w:t>December 31, 2023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6"/>
                <w:szCs w:val="16"/>
                <w:b w:val="1"/>
                <w:bCs w:val="1"/>
                <w:color w:val="auto"/>
              </w:rPr>
              <w:t>September 30, 2024</w:t>
            </w:r>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Debt</w:t>
            </w: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96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rPr>
              <w:t>Debt</w:t>
            </w: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Debt</w:t>
            </w:r>
          </w:p>
        </w:tc>
        <w:tc>
          <w:tcPr>
            <w:tcW w:w="88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162"/>
        </w:trPr>
        <w:tc>
          <w:tcPr>
            <w:tcW w:w="224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Issuance</w:t>
            </w: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Issuance</w:t>
            </w: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Issuance</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34"/>
        </w:trPr>
        <w:tc>
          <w:tcPr>
            <w:tcW w:w="22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224,256</w:t>
            </w:r>
          </w:p>
        </w:tc>
        <w:tc>
          <w:tcPr>
            <w:tcW w:w="0" w:type="dxa"/>
            <w:vAlign w:val="bottom"/>
          </w:tcPr>
          <w:p>
            <w:pPr>
              <w:spacing w:after="0"/>
              <w:rPr>
                <w:sz w:val="1"/>
                <w:szCs w:val="1"/>
                <w:color w:val="auto"/>
              </w:rPr>
            </w:pPr>
          </w:p>
        </w:tc>
      </w:tr>
      <w:tr>
        <w:trPr>
          <w:trHeight w:val="215"/>
        </w:trPr>
        <w:tc>
          <w:tcPr>
            <w:tcW w:w="2240" w:type="dxa"/>
            <w:vAlign w:val="bottom"/>
          </w:tcPr>
          <w:p>
            <w:pPr>
              <w:ind w:left="20"/>
              <w:spacing w:after="0"/>
              <w:rPr>
                <w:sz w:val="20"/>
                <w:szCs w:val="20"/>
                <w:color w:val="auto"/>
              </w:rPr>
            </w:pPr>
            <w:r>
              <w:rPr>
                <w:rFonts w:ascii="Arial" w:cs="Arial" w:eastAsia="Arial" w:hAnsi="Arial"/>
                <w:sz w:val="16"/>
                <w:szCs w:val="16"/>
                <w:color w:val="auto"/>
              </w:rPr>
              <w:t>2025 Convertible Notes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103,373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103,205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103,373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102,695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103,373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103,072</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34,307</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240" w:type="dxa"/>
            <w:vAlign w:val="bottom"/>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333,373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(5,663)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327,710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367,762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(7,232)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360,530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333,373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(6,045)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327,328</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103,373</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103,205</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34,307</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103,373</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103,072</w:t>
            </w:r>
          </w:p>
        </w:tc>
        <w:tc>
          <w:tcPr>
            <w:tcW w:w="0" w:type="dxa"/>
            <w:vAlign w:val="bottom"/>
          </w:tcPr>
          <w:p>
            <w:pPr>
              <w:spacing w:after="0"/>
              <w:rPr>
                <w:sz w:val="1"/>
                <w:szCs w:val="1"/>
                <w:color w:val="auto"/>
              </w:rPr>
            </w:pPr>
          </w:p>
        </w:tc>
      </w:tr>
      <w:tr>
        <w:trPr>
          <w:trHeight w:val="217"/>
        </w:trPr>
        <w:tc>
          <w:tcPr>
            <w:tcW w:w="2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long-term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224,505</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333,373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326,223</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224,256</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contractual maturities related to the debt instruments as of December 31, 2024:</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6"/>
          </w:tcPr>
          <w:p>
            <w:pPr>
              <w:jc w:val="center"/>
              <w:ind w:left="538"/>
              <w:spacing w:after="0"/>
              <w:rPr>
                <w:sz w:val="20"/>
                <w:szCs w:val="20"/>
                <w:color w:val="auto"/>
              </w:rPr>
            </w:pPr>
            <w:r>
              <w:rPr>
                <w:rFonts w:ascii="Arial" w:cs="Arial" w:eastAsia="Arial" w:hAnsi="Arial"/>
                <w:sz w:val="18"/>
                <w:szCs w:val="18"/>
                <w:b w:val="1"/>
                <w:bCs w:val="1"/>
                <w:color w:val="auto"/>
                <w:w w:val="99"/>
              </w:rPr>
              <w:t>Schedule of Contractual Maturities</w:t>
            </w:r>
          </w:p>
        </w:tc>
        <w:tc>
          <w:tcPr>
            <w:tcW w:w="1300" w:type="dxa"/>
            <w:vAlign w:val="bottom"/>
            <w:tcBorders>
              <w:bottom w:val="single" w:sz="8" w:color="auto"/>
            </w:tcBorders>
          </w:tcPr>
          <w:p>
            <w:pPr>
              <w:spacing w:after="0"/>
              <w:rPr>
                <w:sz w:val="20"/>
                <w:szCs w:val="20"/>
                <w:color w:val="auto"/>
              </w:rPr>
            </w:pPr>
          </w:p>
        </w:tc>
      </w:tr>
      <w:tr>
        <w:trPr>
          <w:trHeight w:val="209"/>
        </w:trPr>
        <w:tc>
          <w:tcPr>
            <w:tcW w:w="53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000" w:type="dxa"/>
            <w:vAlign w:val="bottom"/>
            <w:gridSpan w:val="3"/>
          </w:tcPr>
          <w:p>
            <w:pPr>
              <w:ind w:left="60"/>
              <w:spacing w:after="0"/>
              <w:rPr>
                <w:sz w:val="20"/>
                <w:szCs w:val="20"/>
                <w:color w:val="auto"/>
              </w:rPr>
            </w:pPr>
            <w:r>
              <w:rPr>
                <w:rFonts w:ascii="Arial" w:cs="Arial" w:eastAsia="Arial" w:hAnsi="Arial"/>
                <w:sz w:val="16"/>
                <w:szCs w:val="16"/>
                <w:b w:val="1"/>
                <w:bCs w:val="1"/>
                <w:color w:val="auto"/>
              </w:rPr>
              <w:t>2029 Convertible Notes</w:t>
            </w:r>
          </w:p>
        </w:tc>
        <w:tc>
          <w:tcPr>
            <w:tcW w:w="19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2025 Convertible Notes</w:t>
            </w:r>
          </w:p>
        </w:tc>
        <w:tc>
          <w:tcPr>
            <w:tcW w:w="600" w:type="dxa"/>
            <w:vAlign w:val="bottom"/>
          </w:tcPr>
          <w:p>
            <w:pPr>
              <w:spacing w:after="0"/>
              <w:rPr>
                <w:sz w:val="18"/>
                <w:szCs w:val="18"/>
                <w:color w:val="auto"/>
              </w:rPr>
            </w:pPr>
          </w:p>
        </w:tc>
        <w:tc>
          <w:tcPr>
            <w:tcW w:w="1300" w:type="dxa"/>
            <w:vAlign w:val="bottom"/>
          </w:tcPr>
          <w:p>
            <w:pPr>
              <w:jc w:val="right"/>
              <w:ind w:right="679"/>
              <w:spacing w:after="0"/>
              <w:rPr>
                <w:sz w:val="20"/>
                <w:szCs w:val="20"/>
                <w:color w:val="auto"/>
              </w:rPr>
            </w:pPr>
            <w:r>
              <w:rPr>
                <w:rFonts w:ascii="Arial" w:cs="Arial" w:eastAsia="Arial" w:hAnsi="Arial"/>
                <w:sz w:val="16"/>
                <w:szCs w:val="16"/>
                <w:b w:val="1"/>
                <w:bCs w:val="1"/>
                <w:color w:val="auto"/>
              </w:rPr>
              <w:t>Total</w:t>
            </w:r>
          </w:p>
        </w:tc>
      </w:tr>
      <w:tr>
        <w:trPr>
          <w:trHeight w:val="34"/>
        </w:trPr>
        <w:tc>
          <w:tcPr>
            <w:tcW w:w="536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Remaining 2025</w:t>
            </w: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103,373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103,373</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Fiscal 2026</w:t>
            </w:r>
          </w:p>
        </w:tc>
        <w:tc>
          <w:tcPr>
            <w:tcW w:w="6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2027</w:t>
            </w:r>
          </w:p>
        </w:tc>
        <w:tc>
          <w:tcPr>
            <w:tcW w:w="6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Fiscal 2028</w:t>
            </w:r>
          </w:p>
        </w:tc>
        <w:tc>
          <w:tcPr>
            <w:tcW w:w="6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2029</w:t>
            </w:r>
          </w:p>
        </w:tc>
        <w:tc>
          <w:tcPr>
            <w:tcW w:w="6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230,000</w:t>
            </w:r>
          </w:p>
        </w:tc>
      </w:tr>
      <w:tr>
        <w:trPr>
          <w:trHeight w:val="217"/>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long-term debt</w:t>
            </w:r>
          </w:p>
        </w:tc>
        <w:tc>
          <w:tcPr>
            <w:tcW w:w="6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103,373</w:t>
            </w: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333,373</w:t>
            </w:r>
          </w:p>
        </w:tc>
      </w:tr>
    </w:tbl>
    <w:p>
      <w:pPr>
        <w:spacing w:after="0" w:line="292"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The following table presents the Company’s interest expense related to the Convertible Notes for the three months ended December 31, 2024 and 2023:</w:t>
      </w:r>
    </w:p>
    <w:tbl>
      <w:tblPr>
        <w:tblLayout w:type="fixed"/>
        <w:tblInd w:w="0" w:type="dxa"/>
        <w:tblCellMar>
          <w:top w:w="0" w:type="dxa"/>
          <w:left w:w="0" w:type="dxa"/>
          <w:bottom w:w="0" w:type="dxa"/>
          <w:right w:w="0" w:type="dxa"/>
        </w:tblCellMar>
      </w:tblPr>
      <w:tr>
        <w:trPr>
          <w:trHeight w:val="164"/>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4"/>
          </w:tcPr>
          <w:p>
            <w:pPr>
              <w:jc w:val="right"/>
              <w:ind w:right="619"/>
              <w:spacing w:after="0" w:line="164" w:lineRule="exact"/>
              <w:rPr>
                <w:sz w:val="20"/>
                <w:szCs w:val="20"/>
                <w:color w:val="auto"/>
              </w:rPr>
            </w:pPr>
            <w:r>
              <w:rPr>
                <w:rFonts w:ascii="Arial" w:cs="Arial" w:eastAsia="Arial" w:hAnsi="Arial"/>
                <w:sz w:val="16"/>
                <w:szCs w:val="16"/>
                <w:b w:val="1"/>
                <w:bCs w:val="1"/>
                <w:color w:val="auto"/>
              </w:rPr>
              <w:t>Three Months Ended</w:t>
            </w:r>
          </w:p>
        </w:tc>
      </w:tr>
      <w:tr>
        <w:trPr>
          <w:trHeight w:val="216"/>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49"/>
        </w:trPr>
        <w:tc>
          <w:tcPr>
            <w:tcW w:w="8240" w:type="dxa"/>
            <w:vAlign w:val="bottom"/>
          </w:tcPr>
          <w:p>
            <w:pPr>
              <w:ind w:left="20"/>
              <w:spacing w:after="0"/>
              <w:rPr>
                <w:sz w:val="20"/>
                <w:szCs w:val="20"/>
                <w:color w:val="auto"/>
              </w:rPr>
            </w:pPr>
            <w:r>
              <w:rPr>
                <w:rFonts w:ascii="Arial" w:cs="Arial" w:eastAsia="Arial" w:hAnsi="Arial"/>
                <w:sz w:val="16"/>
                <w:szCs w:val="16"/>
                <w:color w:val="auto"/>
              </w:rPr>
              <w:t>2029 Convertible Notes: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Contractual interest 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w:t>
            </w:r>
          </w:p>
        </w:tc>
      </w:tr>
      <w:tr>
        <w:trPr>
          <w:trHeight w:val="215"/>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r>
      <w:tr>
        <w:trPr>
          <w:trHeight w:val="217"/>
        </w:trPr>
        <w:tc>
          <w:tcPr>
            <w:tcW w:w="8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2,405</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w:t>
            </w:r>
          </w:p>
        </w:tc>
      </w:tr>
      <w:tr>
        <w:trPr>
          <w:trHeight w:val="418"/>
        </w:trPr>
        <w:tc>
          <w:tcPr>
            <w:tcW w:w="8240" w:type="dxa"/>
            <w:vAlign w:val="bottom"/>
          </w:tcPr>
          <w:p>
            <w:pPr>
              <w:ind w:left="20"/>
              <w:spacing w:after="0"/>
              <w:rPr>
                <w:sz w:val="20"/>
                <w:szCs w:val="20"/>
                <w:color w:val="auto"/>
              </w:rPr>
            </w:pPr>
            <w:r>
              <w:rPr>
                <w:rFonts w:ascii="Arial" w:cs="Arial" w:eastAsia="Arial" w:hAnsi="Arial"/>
                <w:sz w:val="16"/>
                <w:szCs w:val="16"/>
                <w:color w:val="auto"/>
              </w:rPr>
              <w:t>2025 Convertible Notes: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Contractual interest 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r>
      <w:tr>
        <w:trPr>
          <w:trHeight w:val="215"/>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r>
      <w:tr>
        <w:trPr>
          <w:trHeight w:val="217"/>
        </w:trPr>
        <w:tc>
          <w:tcPr>
            <w:tcW w:w="8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w:t>
            </w:r>
          </w:p>
        </w:tc>
      </w:tr>
      <w:tr>
        <w:trPr>
          <w:trHeight w:val="418"/>
        </w:trPr>
        <w:tc>
          <w:tcPr>
            <w:tcW w:w="8240" w:type="dxa"/>
            <w:vAlign w:val="bottom"/>
          </w:tcPr>
          <w:p>
            <w:pPr>
              <w:ind w:left="20"/>
              <w:spacing w:after="0"/>
              <w:rPr>
                <w:sz w:val="20"/>
                <w:szCs w:val="20"/>
                <w:color w:val="auto"/>
              </w:rPr>
            </w:pPr>
            <w:r>
              <w:rPr>
                <w:rFonts w:ascii="Arial" w:cs="Arial" w:eastAsia="Arial" w:hAnsi="Arial"/>
                <w:sz w:val="16"/>
                <w:szCs w:val="16"/>
                <w:color w:val="auto"/>
              </w:rPr>
              <w:t>2024 Convertible Notes: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Contractual interest 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15"/>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17"/>
        </w:trPr>
        <w:tc>
          <w:tcPr>
            <w:tcW w:w="8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2029 Convertible Notes</w:t>
      </w:r>
    </w:p>
    <w:p>
      <w:pPr>
        <w:spacing w:after="0" w:line="17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In December 2022, we issued $230.0 million aggregate principal amount of the 2029 Convertible Notes, for which $230.0 million remains outstanding as of December 31, 2024. The 2029 Convertible Notes were issued pursuant to an indenture dated December 12, 2022 (the “2022 Indenture”) by and between the Company and Truist Bank, as trustee. The 2029 Convertible Notes were issued in a private offering under Rule 144A under the Securities Act of 1933.</w:t>
      </w:r>
    </w:p>
    <w:p>
      <w:pPr>
        <w:spacing w:after="0" w:line="12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2029 Convertible Notes pay interest semi-annually in arrears at a rate of 3.750% per annum on June 15 and December 15 of each year, commencing June 15, 2023, and mature on December 15, 2029 (the “2029 Maturity Date”), unless converted, redeemed or repurchased in accordance with the terms prior to such date. At maturity, the holders of the 2029 Convertible Notes will be entitled to receive cash equal to the principal of the 2029 Convertible Notes plus accrued interest. The effective interest rate for the three months ended December 31, 2024 was approximately 4.28%. As of December 31, 2024, the remaining unamortized debt issuance costs will be amortized using the effective interest method through the 2029 Maturity Date assuming no early conversion.</w:t>
      </w:r>
    </w:p>
    <w:p>
      <w:pPr>
        <w:spacing w:after="0" w:line="12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2029 Convertible Notes are convertible based on an initial conversion rate of 89.0313 shares of Class A Common Stock per $1,000 principal amount (equivalent to an initial conversion price of $11.23 per share). The conversion rate will not be adjusted for any accrued and unpaid interest. The 2029 Convertible Notes contain certain make-whole fundamental change premiums and customary anti-dilution adjustments. Upon conversion, we may settle in cash, shares of Class A Common Stock or any combination thereof, at our election.</w:t>
      </w:r>
    </w:p>
    <w:p>
      <w:pPr>
        <w:spacing w:after="0" w:line="1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Prior to June 15, 2029, the 2029 Convertible Notes will be convertible only under the following circumstances: (1) during any fiscal quarter commencing after the fiscal quarter ending on March 31, 2023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2022 Indenture, per $1,000 principal amount of notes for each trading day of the measurement period was less than 98% of the product of the last reported sale price of our Class A Common Stock and the conversion rate on such trading day; (3) if we call any or all of the 2029 Convertible Notes for redemption, at any time prior to the close of business on the business day immediately preceding the redemption date; or (4) upon the occurrence of specified corporate events, as defined in the 2022 Indenture. On or after June 15, 2029 until the close of business on the business day immediately preceding the 2029 Maturity Date, holders of 2029 Convertible Notes may, at their option, convert their 2029 Convertible Notes at any time, regardless of the foregoing circumstances.</w:t>
      </w:r>
    </w:p>
    <w:p>
      <w:pPr>
        <w:spacing w:after="0" w:line="12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may not redeem the 2029 Convertible Notes prior to December 21, 2026. At our option, we may redeem for cash all or any portion of the 2029 Convertible Notes on or after December 21, 2026,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2029 Convertible Notes to be redeemed, plus accrued and unpaid interest to, but excluding, the redemption date.</w:t>
      </w:r>
    </w:p>
    <w:p>
      <w:pPr>
        <w:spacing w:after="0" w:line="12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of December 31, 2024, the 2029 Convertible Notes were not convertible as no conditions of conversion had been met. Accordingly, the net balance of the 2029 Convertible Notes was classified as a non-current liability in our condensed consolidated balance sheets as of December 31, 2024. The classification of the 2029 Convertible Notes as current or non-current in the condensed consolidated balance sheets is evaluated at each balance sheet date and may change from time to time depending on whether any of the conversion conditions has been met.</w:t>
      </w:r>
    </w:p>
    <w:p>
      <w:pPr>
        <w:spacing w:after="0" w:line="20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If one of the conversion conditions is met in any future fiscal quarter, we will classify our net liability under the 2029 Convertible Notes as a current liability in the condensed consolidated balance sheets as of the end of that fiscal quarter. If none of the conversion conditions have been met in a future fiscal quarter prior to the one-year period immediately preceding the 2029 Maturity Date, we will classify our net liability under the 2029 Convertible Notes as a non-current liability in the condensed consolidated balance sheets as of the end of that fiscal quarter. If the note holders elect to convert their 2029 Convertible Notes prior to maturity, any unamortized debt issuance costs will be recognized as expense at the time of conversion. If the entire outstanding principal amount had been converted on December 31, 2024, we would have recorded an expense associated with the conversion, comprised of $5.5 million of unamortized debt issuance costs. The stock trading price condition and other triggers are measured on a quarter-by-quarter basis and were not met as of December 31, 2024. As of December 31, 2024, the if-converted value of the 2029 Convertible Notes did not exceed the principal amount.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2025 Convertible Notes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May 2018, we issued $172.5 million aggregate principal amount of the 2025 Convertible Notes. The 2025 Convertible Notes were issued pursuant to an indenture dated May 14, 2018 (the “2018 Indenture”) by and between the Company and Wells Fargo Bank, National Association, as the original trustee. Effective October 1, 2019, Truist (formerly BB&amp;T) assumed the duties and responsibilities as trustee under the 2018 Indenture. The 2025 Convertible Notes were issued in a private offering under Rule 144A under the Securities Act of 1933. In December 2022, we repurchased approximately $69.1 million aggregate principal amount of the 2025 Convertible Notes for approximately $62.9 million plus accrued interest. As of December 31, 2024, $103.4 million remains outstanding.</w:t>
      </w:r>
    </w:p>
    <w:p>
      <w:pPr>
        <w:spacing w:after="0" w:line="12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2025 Convertible Notes pay interest semi-annually in arrears at a rate of 2.375% per annum on May 1 and November 1 of each year, commencing November 1, 2018, and mature on May 1, 2025 (the “2025 Maturity Date”), unless converted, redeemed or repurchased in accordance with the terms prior to such date. The effective interest rate for the three months ended December 31, 2024 was approximately 2.88% for the 2025 Convertible Notes. As of December 31, 2024, the remaining unamortized debt issuance costs will be amortized using the effective interest method through the 2025 Maturity Date assuming no early conversion.</w:t>
      </w:r>
    </w:p>
    <w:p>
      <w:pPr>
        <w:spacing w:after="0" w:line="12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2025 Convertible Notes are convertible based on an initial conversion rate of 62.8931 shares of Class A Common Stock per $1,000 principal amount (equivalent to an initial conversion price of $15.90 per share). The conversion rate will not be adjusted for any accrued and unpaid interest. The 2025 Convertible Notes contain certain make-whole fundamental change premiums and customary anti-dilution adjustments.</w:t>
      </w:r>
    </w:p>
    <w:p>
      <w:pPr>
        <w:spacing w:after="0" w:line="12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Until the close of business on the business day immediately preceding the 2025 Maturity Date, holders of 2025 Convertible Notes may, at their option, convert their 2025 Convertible Notes at any time.</w:t>
      </w:r>
    </w:p>
    <w:p>
      <w:pPr>
        <w:spacing w:after="0" w:line="9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Pursuant to the terms of the 2018 Indenture, we have elected to settle any conversions of the 2025 Convertible Notes using shares of Class A Common Stock (physical settlement). On October 28, 2024, we provided notice of that election to the trustee.</w:t>
      </w:r>
    </w:p>
    <w:p>
      <w:pPr>
        <w:spacing w:after="0" w:line="9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 the note holders elect to convert their 2025 Convertible Notes prior to maturity, any unamortized debt issuance costs will be recognized as expense at the time of conversion. If the entire outstanding principal amount had been converted on December 31, 2024, we would have recorded an expense associated with the conversion, comprised of $0.2 million of unamortized debt issuance costs. The stock trading price condition and other triggers are measured on a quarter-by-quarter basis and were not met as of December 31, 2024. As of December 31, 2024, the if-converted value of the 2025 Convertible Notes did not exceed the principal amount and none of the note holders had elected to convert their 2025 Convertible Notes.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2024 Convertible Notes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July 2017, we issued $143.75 million aggregate principal amount of the 2024 Convertible Notes. The 2024 Convertible Notes were issued pursuant to an indenture dated July 5, 2017 (the “2017 Indenture”) by and between the Company and Wells Fargo Bank, National Association, as the original trustee. Effective October 1, 2019, Truist (formerly BB&amp;T) assumed the duties and responsibilities as trustee under the 2017 Indenture. The 2024 Convertible Notes were issued in a private offering under Rule 144A under the Securities Act of 1933. In December 2022, we repurchased approximately $109.4 million aggregate principal amount of the 2024 Convertible Notes for approximately $117.5 million plus accrued interest. On July 1, 2024, the $34.4 million aggregate principal amount outstanding plus accrued interest was repaid using cash on hand and 77,328 Class A Common Stock shares, equal to the accreted value, were issued as part of the 2024 Convertible Notes conversion.</w:t>
      </w:r>
    </w:p>
    <w:p>
      <w:pPr>
        <w:spacing w:after="0" w:line="1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2024 Convertible Notes paid interest semi-annually in arrears at a rate of 2.875% per annum on January 1 and July 1 of each year, commencing January 1, 2018, and matured on July 1, 2024 (the “2024 Maturity Date”). The 2024 Convertible Notes were convertible based on an initial conversion rate of 100 shares of Class A Common Stock per $1,000 principal amount (equivalent to an initial conversion price of $10.00 per share). Until the close of business on the business day immediately preceding the 2024 Maturity Date, holders of 2024 Convertible Notes could, at their option, convert their 2024 Convertible Notes at any time. Because we did not elect an alternative settlement method prior to January 1, 2024, conversions were settled by combination settlement, which was $1,000 cash (per the $1,000 principal value) plus stock equal to the accreted value as defined in the 2017 Indenture.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8: COMMON STOCK AND STOCK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On May 3, 2022, the Company’s Board of Directors (the “Board”) authorized the repurchase of up to $ 50 million of our Class A Common Stock over three years (the “Common Stock Repurchase Program”). Execution of the program will be responsive to fluctuating market conditions and valuations, liquidity needs and the expected return on investment compared to other opportunities.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 As of December 31, 2024, we had repurchased and retired 3,096,011 shares of our Class A Common Stock for $29.0 million under the Common Stock Repurchase Program, of which 250,463 shares were repurchased and retired for $ 3.0 million during the three months ended December 31, 2024. During the three months ended December 31, 2023, 354,882 shares were repurchased and retired for $3.0 million under the Common Stock Repurchase Program. The repurchase amount is allocated between “Additional paid-in capital” and “Retained earnings” in our condensed consolidated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maintain a Board-approved incentive plan to retain the services of our valued officers, directors and employees and to incentivize such persons to make contributions to our company and motivate excellent performance (the “Incentive Plan”). Under the Incentive Plan, we grant awards of restricted stock or restricted stock units to employees and non-employee directors. Awards granted to employees are typically subject to performance and service conditions. Awards granted to non-employee directors are time-based awards subject only to service conditions. Awards granted under the Incentive Plan are measured at the grant date fair value with compensation costs associated with the awards recognized over the requisite service period, usually the vesting period, on a straight-line basis.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stock compensation activity: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2200" w:type="dxa"/>
            <w:vAlign w:val="bottom"/>
            <w:gridSpan w:val="2"/>
            <w:vMerge w:val="restart"/>
          </w:tcPr>
          <w:p>
            <w:pPr>
              <w:ind w:left="7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6"/>
                <w:szCs w:val="16"/>
                <w:color w:val="auto"/>
              </w:rPr>
            </w:pPr>
          </w:p>
        </w:tc>
        <w:tc>
          <w:tcPr>
            <w:tcW w:w="1940" w:type="dxa"/>
            <w:vAlign w:val="bottom"/>
          </w:tcPr>
          <w:p>
            <w:pPr>
              <w:jc w:val="right"/>
              <w:ind w:right="273"/>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2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jc w:val="right"/>
              <w:ind w:right="153"/>
              <w:spacing w:after="0"/>
              <w:rPr>
                <w:sz w:val="20"/>
                <w:szCs w:val="20"/>
                <w:color w:val="auto"/>
              </w:rPr>
            </w:pPr>
            <w:r>
              <w:rPr>
                <w:rFonts w:ascii="Arial" w:cs="Arial" w:eastAsia="Arial" w:hAnsi="Arial"/>
                <w:sz w:val="16"/>
                <w:szCs w:val="16"/>
                <w:b w:val="1"/>
                <w:bCs w:val="1"/>
                <w:color w:val="auto"/>
              </w:rPr>
              <w:t>Grant Date Fair Value</w:t>
            </w:r>
          </w:p>
        </w:tc>
        <w:tc>
          <w:tcPr>
            <w:tcW w:w="0" w:type="dxa"/>
            <w:vAlign w:val="bottom"/>
          </w:tcPr>
          <w:p>
            <w:pPr>
              <w:spacing w:after="0"/>
              <w:rPr>
                <w:sz w:val="1"/>
                <w:szCs w:val="1"/>
                <w:color w:val="auto"/>
              </w:rPr>
            </w:pPr>
          </w:p>
        </w:tc>
      </w:tr>
      <w:tr>
        <w:trPr>
          <w:trHeight w:val="34"/>
        </w:trPr>
        <w:tc>
          <w:tcPr>
            <w:tcW w:w="6940" w:type="dxa"/>
            <w:vAlign w:val="bottom"/>
          </w:tcPr>
          <w:p>
            <w:pPr>
              <w:spacing w:after="0"/>
              <w:rPr>
                <w:sz w:val="2"/>
                <w:szCs w:val="2"/>
                <w:color w:val="auto"/>
              </w:rPr>
            </w:pPr>
          </w:p>
        </w:tc>
        <w:tc>
          <w:tcPr>
            <w:tcW w:w="20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2024</w:t>
            </w:r>
          </w:p>
        </w:tc>
        <w:tc>
          <w:tcPr>
            <w:tcW w:w="2080" w:type="dxa"/>
            <w:vAlign w:val="bottom"/>
            <w:shd w:val="clear" w:color="auto" w:fill="CCEEFF"/>
          </w:tcPr>
          <w:p>
            <w:pPr>
              <w:jc w:val="center"/>
              <w:ind w:left="1032"/>
              <w:spacing w:after="0"/>
              <w:rPr>
                <w:sz w:val="20"/>
                <w:szCs w:val="20"/>
                <w:color w:val="auto"/>
              </w:rPr>
            </w:pPr>
            <w:r>
              <w:rPr>
                <w:rFonts w:ascii="Arial" w:cs="Arial" w:eastAsia="Arial" w:hAnsi="Arial"/>
                <w:sz w:val="18"/>
                <w:szCs w:val="18"/>
                <w:color w:val="auto"/>
                <w:w w:val="99"/>
              </w:rPr>
              <w:t>2,699,914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30"/>
        </w:trPr>
        <w:tc>
          <w:tcPr>
            <w:tcW w:w="69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(a)</w:t>
            </w:r>
          </w:p>
        </w:tc>
        <w:tc>
          <w:tcPr>
            <w:tcW w:w="2080" w:type="dxa"/>
            <w:vAlign w:val="bottom"/>
          </w:tcPr>
          <w:p>
            <w:pPr>
              <w:jc w:val="center"/>
              <w:ind w:left="1032"/>
              <w:spacing w:after="0"/>
              <w:rPr>
                <w:sz w:val="20"/>
                <w:szCs w:val="20"/>
                <w:color w:val="auto"/>
              </w:rPr>
            </w:pPr>
            <w:r>
              <w:rPr>
                <w:rFonts w:ascii="Arial" w:cs="Arial" w:eastAsia="Arial" w:hAnsi="Arial"/>
                <w:sz w:val="18"/>
                <w:szCs w:val="18"/>
                <w:color w:val="auto"/>
                <w:w w:val="99"/>
              </w:rPr>
              <w:t>1,138,292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auto"/>
            </w:tcBorders>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Released </w:t>
            </w:r>
            <w:r>
              <w:rPr>
                <w:rFonts w:ascii="Arial" w:cs="Arial" w:eastAsia="Arial" w:hAnsi="Arial"/>
                <w:sz w:val="23"/>
                <w:szCs w:val="23"/>
                <w:color w:val="auto"/>
                <w:vertAlign w:val="superscript"/>
              </w:rPr>
              <w:t>(b)</w:t>
            </w:r>
          </w:p>
        </w:tc>
        <w:tc>
          <w:tcPr>
            <w:tcW w:w="2080" w:type="dxa"/>
            <w:vAlign w:val="bottom"/>
            <w:tcBorders>
              <w:bottom w:val="single" w:sz="8" w:color="auto"/>
            </w:tcBorders>
            <w:shd w:val="clear" w:color="auto" w:fill="CCEEFF"/>
          </w:tcPr>
          <w:p>
            <w:pPr>
              <w:jc w:val="center"/>
              <w:ind w:left="1032"/>
              <w:spacing w:after="0"/>
              <w:rPr>
                <w:sz w:val="20"/>
                <w:szCs w:val="20"/>
                <w:color w:val="auto"/>
              </w:rPr>
            </w:pPr>
            <w:r>
              <w:rPr>
                <w:rFonts w:ascii="Arial" w:cs="Arial" w:eastAsia="Arial" w:hAnsi="Arial"/>
                <w:sz w:val="18"/>
                <w:szCs w:val="18"/>
                <w:color w:val="auto"/>
                <w:w w:val="99"/>
              </w:rPr>
              <w:t>(1,055,736)</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Outstanding as of December 31, 2024</w:t>
            </w:r>
          </w:p>
        </w:tc>
        <w:tc>
          <w:tcPr>
            <w:tcW w:w="2080" w:type="dxa"/>
            <w:vAlign w:val="bottom"/>
            <w:tcBorders>
              <w:bottom w:val="single" w:sz="8" w:color="auto"/>
            </w:tcBorders>
          </w:tcPr>
          <w:p>
            <w:pPr>
              <w:jc w:val="center"/>
              <w:ind w:left="1032"/>
              <w:spacing w:after="0"/>
              <w:rPr>
                <w:sz w:val="20"/>
                <w:szCs w:val="20"/>
                <w:color w:val="auto"/>
              </w:rPr>
            </w:pPr>
            <w:r>
              <w:rPr>
                <w:rFonts w:ascii="Arial" w:cs="Arial" w:eastAsia="Arial" w:hAnsi="Arial"/>
                <w:sz w:val="18"/>
                <w:szCs w:val="18"/>
                <w:color w:val="auto"/>
                <w:w w:val="99"/>
              </w:rPr>
              <w:t>2,782,470</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performance adjustment of 320,076 shares awarded above their target grants resulting from the achievement of performance targets established at the grant date.</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337,421 shares were withheld to satisfy related income tax withholding.</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9: COMMITMENTS AND CONTINGENCIES</w:t>
      </w:r>
    </w:p>
    <w:p>
      <w:pPr>
        <w:spacing w:after="0" w:line="1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Currently, and from time to time, we are involved in various claims, disputes, lawsuits, investigations, and legal and regulatory proceedings. We accrue for contingencies if it is probable that a liability has been incurred and the amount of the loss can be reasonably estimated. Because these matters are inherently unpredictable and unfavorable developments or resolutions can occur, assessing contingencies requires judgments and is highly subjective about future events, and the amount of resulting loss may differ from these estimates. We do not believe the resolution of any particular matter will have a material adverse effect on our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10: SEGMENT INFORMATION</w:t>
      </w:r>
    </w:p>
    <w:p>
      <w:pPr>
        <w:spacing w:after="0" w:line="1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operations are primarily managed on a geographical basis and are comprised of three reportable segments. The factors for determining our reportable segments include the manner in which our chief operating decision maker evaluates performance for purposes of allocating resources and assessing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report our segments as follows:</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Pawn —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Latin America Pawn — all pawn activities in Mexico and other parts of Latin America;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Investments — primarily our equity interest in Cash Converters and our investment in and notes receivable from Founders.</w:t>
      </w:r>
    </w:p>
    <w:p>
      <w:pPr>
        <w:spacing w:after="0" w:line="17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There are no inter-segment revenues presented below, and the amounts below were determined in accordance with the same accounting principles used in our condensed consolidated financial statements.</w:t>
      </w:r>
    </w:p>
    <w:p>
      <w:pPr>
        <w:spacing w:after="0" w:line="9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following income (loss) before income taxes tables present revenues for each reportable segment, disaggregated revenues within our reportable segments and Corporate, segment profits and segment contribution.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Three Months Ended December 31, 2024</w:t>
            </w: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5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30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9"/>
              </w:rPr>
              <w:t>Total</w:t>
            </w: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Pawn</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00" w:type="dxa"/>
            <w:vAlign w:val="bottom"/>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186,343</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16,732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16,732</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117,052</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232,201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320,170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320,170</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81,556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40,268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121,824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121,824</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11,968</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12,942</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12,942</w:t>
            </w:r>
          </w:p>
        </w:tc>
        <w:tc>
          <w:tcPr>
            <w:tcW w:w="0" w:type="dxa"/>
            <w:vAlign w:val="bottom"/>
          </w:tcPr>
          <w:p>
            <w:pPr>
              <w:spacing w:after="0"/>
              <w:rPr>
                <w:sz w:val="1"/>
                <w:szCs w:val="1"/>
                <w:color w:val="auto"/>
              </w:rPr>
            </w:pPr>
          </w:p>
        </w:tc>
      </w:tr>
      <w:tr>
        <w:trPr>
          <w:trHeight w:val="210"/>
        </w:trPr>
        <w:tc>
          <w:tcPr>
            <w:tcW w:w="350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138,677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46,727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185,404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185,404</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83,089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33,362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116,451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116,451</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18,669</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8,335</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sale or disposal of assets and other</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3,147</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w:t>
            </w:r>
          </w:p>
        </w:tc>
        <w:tc>
          <w:tcPr>
            <w:tcW w:w="0" w:type="dxa"/>
            <w:vAlign w:val="bottom"/>
          </w:tcPr>
          <w:p>
            <w:pPr>
              <w:spacing w:after="0"/>
              <w:rPr>
                <w:sz w:val="1"/>
                <w:szCs w:val="1"/>
                <w:color w:val="auto"/>
              </w:rPr>
            </w:pPr>
          </w:p>
        </w:tc>
      </w:tr>
      <w:tr>
        <w:trPr>
          <w:trHeight w:val="162"/>
        </w:trPr>
        <w:tc>
          <w:tcPr>
            <w:tcW w:w="3500" w:type="dxa"/>
            <w:vAlign w:val="bottom"/>
          </w:tcPr>
          <w:p>
            <w:pPr>
              <w:ind w:left="220"/>
              <w:spacing w:after="0" w:line="162" w:lineRule="exact"/>
              <w:rPr>
                <w:sz w:val="20"/>
                <w:szCs w:val="20"/>
                <w:color w:val="auto"/>
              </w:rPr>
            </w:pPr>
            <w:r>
              <w:rPr>
                <w:rFonts w:ascii="Arial" w:cs="Arial" w:eastAsia="Arial" w:hAnsi="Arial"/>
                <w:sz w:val="16"/>
                <w:szCs w:val="16"/>
                <w:color w:val="auto"/>
              </w:rPr>
              <w:t>Equity in net (income) loss of unconsolidated</w:t>
            </w:r>
          </w:p>
        </w:tc>
        <w:tc>
          <w:tcPr>
            <w:tcW w:w="14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(1,623)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(1,623)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52,882</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2,217</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66,683</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66,683</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(25,299)</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Three Months Ended December 31, 2023</w:t>
            </w: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5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30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9"/>
              </w:rPr>
              <w:t>Total</w:t>
            </w: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Pawn</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00" w:type="dxa"/>
            <w:vAlign w:val="bottom"/>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179,403</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14,082</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106,449</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299,991</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78,709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36,501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115,210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115,210</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11,284</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12,208</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12,208</w:t>
            </w:r>
          </w:p>
        </w:tc>
        <w:tc>
          <w:tcPr>
            <w:tcW w:w="0" w:type="dxa"/>
            <w:vAlign w:val="bottom"/>
          </w:tcPr>
          <w:p>
            <w:pPr>
              <w:spacing w:after="0"/>
              <w:rPr>
                <w:sz w:val="1"/>
                <w:szCs w:val="1"/>
                <w:color w:val="auto"/>
              </w:rPr>
            </w:pPr>
          </w:p>
        </w:tc>
      </w:tr>
      <w:tr>
        <w:trPr>
          <w:trHeight w:val="209"/>
        </w:trPr>
        <w:tc>
          <w:tcPr>
            <w:tcW w:w="350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127,445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45,124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172,573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172,573</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77,255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33,300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110,555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110,555</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16,543</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8,565</w:t>
            </w:r>
          </w:p>
        </w:tc>
        <w:tc>
          <w:tcPr>
            <w:tcW w:w="0" w:type="dxa"/>
            <w:vAlign w:val="bottom"/>
          </w:tcPr>
          <w:p>
            <w:pPr>
              <w:spacing w:after="0"/>
              <w:rPr>
                <w:sz w:val="1"/>
                <w:szCs w:val="1"/>
                <w:color w:val="auto"/>
              </w:rPr>
            </w:pPr>
          </w:p>
        </w:tc>
      </w:tr>
      <w:tr>
        <w:trPr>
          <w:trHeight w:val="163"/>
        </w:trPr>
        <w:tc>
          <w:tcPr>
            <w:tcW w:w="350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Loss (gain) on sale or disposal of assets and</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3,440</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w:t>
            </w:r>
          </w:p>
        </w:tc>
        <w:tc>
          <w:tcPr>
            <w:tcW w:w="0" w:type="dxa"/>
            <w:vAlign w:val="bottom"/>
          </w:tcPr>
          <w:p>
            <w:pPr>
              <w:spacing w:after="0"/>
              <w:rPr>
                <w:sz w:val="1"/>
                <w:szCs w:val="1"/>
                <w:color w:val="auto"/>
              </w:rPr>
            </w:pPr>
          </w:p>
        </w:tc>
      </w:tr>
      <w:tr>
        <w:trPr>
          <w:trHeight w:val="162"/>
        </w:trPr>
        <w:tc>
          <w:tcPr>
            <w:tcW w:w="3500" w:type="dxa"/>
            <w:vAlign w:val="bottom"/>
          </w:tcPr>
          <w:p>
            <w:pPr>
              <w:ind w:left="220"/>
              <w:spacing w:after="0" w:line="162" w:lineRule="exact"/>
              <w:rPr>
                <w:sz w:val="20"/>
                <w:szCs w:val="20"/>
                <w:color w:val="auto"/>
              </w:rPr>
            </w:pPr>
            <w:r>
              <w:rPr>
                <w:rFonts w:ascii="Arial" w:cs="Arial" w:eastAsia="Arial" w:hAnsi="Arial"/>
                <w:sz w:val="16"/>
                <w:szCs w:val="16"/>
                <w:color w:val="auto"/>
              </w:rPr>
              <w:t>Equity in net income of unconsolidated</w:t>
            </w:r>
          </w:p>
        </w:tc>
        <w:tc>
          <w:tcPr>
            <w:tcW w:w="14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(1,153)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(1,153)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47,540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59,418</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59,418</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(21,713)</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37,705</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separately identified segment assets: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6"/>
                <w:szCs w:val="1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3"/>
          </w:tcPr>
          <w:p>
            <w:pPr>
              <w:spacing w:after="0"/>
              <w:rPr>
                <w:sz w:val="20"/>
                <w:szCs w:val="20"/>
                <w:color w:val="auto"/>
              </w:rPr>
            </w:pPr>
            <w:r>
              <w:rPr>
                <w:rFonts w:ascii="Arial" w:cs="Arial" w:eastAsia="Arial" w:hAnsi="Arial"/>
                <w:sz w:val="16"/>
                <w:szCs w:val="16"/>
                <w:b w:val="1"/>
                <w:bCs w:val="1"/>
                <w:color w:val="auto"/>
              </w:rPr>
              <w:t>Latin America</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Corporate</w:t>
            </w:r>
          </w:p>
        </w:tc>
        <w:tc>
          <w:tcPr>
            <w:tcW w:w="220" w:type="dxa"/>
            <w:vAlign w:val="bottom"/>
          </w:tcPr>
          <w:p>
            <w:pPr>
              <w:spacing w:after="0"/>
              <w:rPr>
                <w:sz w:val="16"/>
                <w:szCs w:val="16"/>
                <w:color w:val="auto"/>
              </w:rPr>
            </w:pPr>
          </w:p>
        </w:tc>
        <w:tc>
          <w:tcPr>
            <w:tcW w:w="9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Pawn</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Investments</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Items</w:t>
            </w: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0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December 31, 2024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ind w:left="220"/>
              <w:spacing w:after="0"/>
              <w:rPr>
                <w:sz w:val="20"/>
                <w:szCs w:val="20"/>
                <w:color w:val="auto"/>
              </w:rPr>
            </w:pPr>
            <w:r>
              <w:rPr>
                <w:rFonts w:ascii="Arial" w:cs="Arial" w:eastAsia="Arial" w:hAnsi="Arial"/>
                <w:sz w:val="16"/>
                <w:szCs w:val="16"/>
                <w:color w:val="auto"/>
              </w:rPr>
              <w:t>Pawn loans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220,208</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54,616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274,824</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45,198</w:t>
            </w:r>
          </w:p>
        </w:tc>
        <w:tc>
          <w:tcPr>
            <w:tcW w:w="0" w:type="dxa"/>
            <w:vAlign w:val="bottom"/>
          </w:tcPr>
          <w:p>
            <w:pPr>
              <w:spacing w:after="0"/>
              <w:rPr>
                <w:sz w:val="1"/>
                <w:szCs w:val="1"/>
                <w:color w:val="auto"/>
              </w:rPr>
            </w:pPr>
          </w:p>
        </w:tc>
      </w:tr>
      <w:tr>
        <w:trPr>
          <w:trHeight w:val="215"/>
        </w:trPr>
        <w:tc>
          <w:tcPr>
            <w:tcW w:w="5000" w:type="dxa"/>
            <w:vAlign w:val="bottom"/>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148,460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199,481</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1,029,206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305,337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1,499,133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December 31, 2023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ind w:left="220"/>
              <w:spacing w:after="0"/>
              <w:rPr>
                <w:sz w:val="20"/>
                <w:szCs w:val="20"/>
                <w:color w:val="auto"/>
              </w:rPr>
            </w:pPr>
            <w:r>
              <w:rPr>
                <w:rFonts w:ascii="Arial" w:cs="Arial" w:eastAsia="Arial" w:hAnsi="Arial"/>
                <w:sz w:val="16"/>
                <w:szCs w:val="16"/>
                <w:color w:val="auto"/>
              </w:rPr>
              <w:t>Pawn loans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190,766</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52,486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243,252</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40,002</w:t>
            </w:r>
          </w:p>
        </w:tc>
        <w:tc>
          <w:tcPr>
            <w:tcW w:w="0" w:type="dxa"/>
            <w:vAlign w:val="bottom"/>
          </w:tcPr>
          <w:p>
            <w:pPr>
              <w:spacing w:after="0"/>
              <w:rPr>
                <w:sz w:val="1"/>
                <w:szCs w:val="1"/>
                <w:color w:val="auto"/>
              </w:rPr>
            </w:pPr>
          </w:p>
        </w:tc>
      </w:tr>
      <w:tr>
        <w:trPr>
          <w:trHeight w:val="215"/>
        </w:trPr>
        <w:tc>
          <w:tcPr>
            <w:tcW w:w="5000" w:type="dxa"/>
            <w:vAlign w:val="bottom"/>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127,008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37,919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164,927</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1,004,075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1,481,193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2024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ind w:left="220"/>
              <w:spacing w:after="0"/>
              <w:rPr>
                <w:sz w:val="20"/>
                <w:szCs w:val="20"/>
                <w:color w:val="auto"/>
              </w:rPr>
            </w:pPr>
            <w:r>
              <w:rPr>
                <w:rFonts w:ascii="Arial" w:cs="Arial" w:eastAsia="Arial" w:hAnsi="Arial"/>
                <w:sz w:val="16"/>
                <w:szCs w:val="16"/>
                <w:color w:val="auto"/>
              </w:rPr>
              <w:t>Pawn loans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214,306</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59,778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274,084</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44,013</w:t>
            </w:r>
          </w:p>
        </w:tc>
        <w:tc>
          <w:tcPr>
            <w:tcW w:w="0" w:type="dxa"/>
            <w:vAlign w:val="bottom"/>
          </w:tcPr>
          <w:p>
            <w:pPr>
              <w:spacing w:after="0"/>
              <w:rPr>
                <w:sz w:val="1"/>
                <w:szCs w:val="1"/>
                <w:color w:val="auto"/>
              </w:rPr>
            </w:pPr>
          </w:p>
        </w:tc>
      </w:tr>
      <w:tr>
        <w:trPr>
          <w:trHeight w:val="215"/>
        </w:trPr>
        <w:tc>
          <w:tcPr>
            <w:tcW w:w="5000" w:type="dxa"/>
            <w:vAlign w:val="bottom"/>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138,624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53,299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191,923</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1,009,226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311,824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1,493,237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11: SUPPLEMENTAL CONSOLIDATED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information on net amounts included in our condensed consolidated balance sheets: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67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34"/>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pawn service charges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57,544</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uncollectible pawn service charges receivable</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(12,161)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(10,917)</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(13,531)</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45,198</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40,002</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44,013</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inventory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194,657</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Inventory reserves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(3,048)</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(2,734)</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199,481</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164,927</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191,923</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Accounts receivable and other</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13,945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15,699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16,482</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16,332</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taxes prepaid and receivable</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3,007</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36,562</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44,001</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39,171</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gross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280,953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280,714</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Accumulated depreciation</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(217,722)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(283,293)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(214,741)</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63,231</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68,998</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65,973</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20,850</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Accrued payroll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9,694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7,682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13,541</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Incentive accrual</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19,883</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Other payroll related expenses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3,999</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sales and VAT taxes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3,954</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Accrued income taxes payable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13,600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5,934</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14,120</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13,639</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17,576</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Accounts payable, accrued expenses and other current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68,682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69,386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85,737</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 of condensed consolidated statements of cash flows information: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49"/>
        </w:trPr>
        <w:tc>
          <w:tcPr>
            <w:tcW w:w="8240" w:type="dxa"/>
            <w:vAlign w:val="bottom"/>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7"/>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 at beginning of period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170,513</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220,595</w:t>
            </w:r>
          </w:p>
        </w:tc>
      </w:tr>
      <w:tr>
        <w:trPr>
          <w:trHeight w:val="215"/>
        </w:trPr>
        <w:tc>
          <w:tcPr>
            <w:tcW w:w="8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Restricted cash at beginning of period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9,294</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8,373</w:t>
            </w:r>
          </w:p>
        </w:tc>
      </w:tr>
      <w:tr>
        <w:trPr>
          <w:trHeight w:val="217"/>
        </w:trPr>
        <w:tc>
          <w:tcPr>
            <w:tcW w:w="8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Total cash and cash equivalents and restricted cash at beginning of period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179,807</w:t>
            </w:r>
          </w:p>
        </w:tc>
        <w:tc>
          <w:tcPr>
            <w:tcW w:w="5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228,968</w:t>
            </w:r>
          </w:p>
        </w:tc>
      </w:tr>
      <w:tr>
        <w:trPr>
          <w:trHeight w:val="203"/>
        </w:trPr>
        <w:tc>
          <w:tcPr>
            <w:tcW w:w="8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 at end of period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174,506</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218,516</w:t>
            </w:r>
          </w:p>
        </w:tc>
      </w:tr>
      <w:tr>
        <w:trPr>
          <w:trHeight w:val="215"/>
        </w:trPr>
        <w:tc>
          <w:tcPr>
            <w:tcW w:w="8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Restricted cash at end of period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9,386</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8,470</w:t>
            </w:r>
          </w:p>
        </w:tc>
      </w:tr>
      <w:tr>
        <w:trPr>
          <w:trHeight w:val="217"/>
        </w:trPr>
        <w:tc>
          <w:tcPr>
            <w:tcW w:w="8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Total cash and cash equivalents and restricted cash at end of period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183,892</w:t>
            </w:r>
          </w:p>
        </w:tc>
        <w:tc>
          <w:tcPr>
            <w:tcW w:w="5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226,986</w:t>
            </w:r>
          </w:p>
        </w:tc>
      </w:tr>
      <w:tr>
        <w:trPr>
          <w:trHeight w:val="255"/>
        </w:trPr>
        <w:tc>
          <w:tcPr>
            <w:tcW w:w="824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loans forfeited and transferred to inventory</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109,219</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96,472</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Accrued acquisition consideration</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680"/>
        <w:spacing w:after="0" w:line="298" w:lineRule="auto"/>
        <w:rPr>
          <w:sz w:val="20"/>
          <w:szCs w:val="20"/>
          <w:color w:val="auto"/>
        </w:rPr>
      </w:pPr>
      <w:r>
        <w:rPr>
          <w:rFonts w:ascii="Arial" w:cs="Arial" w:eastAsia="Arial" w:hAnsi="Arial"/>
          <w:sz w:val="25"/>
          <w:szCs w:val="25"/>
          <w:b w:val="1"/>
          <w:bCs w:val="1"/>
          <w:color w:val="00497F"/>
        </w:rPr>
        <w:t>ITEM 2. MANAGEMENT’S DISCUSSION AND ANALYSIS OF FINANCIAL CONDITION AND RESULTS OF OPERATIONS</w:t>
      </w:r>
    </w:p>
    <w:p>
      <w:pPr>
        <w:spacing w:after="0" w:line="61" w:lineRule="exact"/>
        <w:rPr>
          <w:sz w:val="20"/>
          <w:szCs w:val="20"/>
          <w:color w:val="auto"/>
        </w:rPr>
      </w:pPr>
    </w:p>
    <w:p>
      <w:pPr>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Financial Condition and Results of Operations is intended to inform the reader about matters affecting the financial condition and results of operations of EZCORP, Inc. and its subsidiaries (collectively, “we,” “us”, “our”, “EZCORP” or the “Company”). The following discussion should be read together with our condensed consolidated financial statements and related notes included elsewhere within this report. This discussion contains forward-looking statements. Our actual results could differ materially from </w:t>
      </w:r>
      <w:hyperlink r:id="rId21">
        <w:r>
          <w:rPr>
            <w:rFonts w:ascii="Arial" w:cs="Arial" w:eastAsia="Arial" w:hAnsi="Arial"/>
            <w:sz w:val="18"/>
            <w:szCs w:val="18"/>
            <w:color w:val="auto"/>
          </w:rPr>
          <w:t>those anticipated in these forward-looking statements. See “Part I, Item 1A — Risk Factors” of our Annual Report on Form 10-K for the year</w:t>
        </w:r>
      </w:hyperlink>
      <w:r>
        <w:rPr>
          <w:rFonts w:ascii="Arial" w:cs="Arial" w:eastAsia="Arial" w:hAnsi="Arial"/>
          <w:sz w:val="18"/>
          <w:szCs w:val="18"/>
          <w:color w:val="auto"/>
        </w:rPr>
        <w:t xml:space="preserve"> </w:t>
      </w:r>
      <w:hyperlink r:id="rId21">
        <w:r>
          <w:rPr>
            <w:rFonts w:ascii="Arial" w:cs="Arial" w:eastAsia="Arial" w:hAnsi="Arial"/>
            <w:sz w:val="18"/>
            <w:szCs w:val="18"/>
            <w:color w:val="auto"/>
          </w:rPr>
          <w:t>ended September 30, 2024, as supplemented by the information set forth in “Part I, Item 3 — Quantitative and Qualitative Disclosures about</w:t>
        </w:r>
      </w:hyperlink>
      <w:r>
        <w:rPr>
          <w:rFonts w:ascii="Arial" w:cs="Arial" w:eastAsia="Arial" w:hAnsi="Arial"/>
          <w:sz w:val="18"/>
          <w:szCs w:val="18"/>
          <w:color w:val="auto"/>
        </w:rPr>
        <w:t xml:space="preserve"> Market Risk” and “Part II, Item 1A — Risk Factors” of this Report, for a discussion of certain risks, uncertainties and assumptions associated with these statements.</w:t>
      </w:r>
    </w:p>
    <w:p>
      <w:pPr>
        <w:spacing w:after="0" w:line="12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Business Development</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September 11, 2024, the Company announced entry into an acquisition agreement with Presta Dinero, S.A. de C.V. for the purchase of 53 pawn stores in Mexico. While at the time we expected to complete the transaction by October 31, 2024, the transaction has not yet closed and the parties remain in discussion.</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Business Overview</w:t>
      </w:r>
    </w:p>
    <w:p>
      <w:pPr>
        <w:spacing w:after="0" w:line="19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EZCORP is a Delaware corporation headquartered in Austin, Texas. We are a leading provider of pawn services in the United States and Latin America. Pawn loans are nonrecourse loans collateralized by personal property. We also sell merchandise, primarily collateral forfeited from unpaid loans and pre-owned merchandise purchased from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exist to serve our customers’ short-term cash needs, helping them to live and enjoy their lives. We are focused on three strategic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206375</wp:posOffset>
            </wp:positionV>
            <wp:extent cx="4732020" cy="11398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4732020" cy="1139825"/>
                    </a:xfrm>
                    <a:prstGeom prst="rect">
                      <a:avLst/>
                    </a:prstGeom>
                    <a:noFill/>
                  </pic:spPr>
                </pic:pic>
              </a:graphicData>
            </a:graphic>
          </wp:anchor>
        </w:drawing>
      </w:r>
    </w:p>
    <w:p>
      <w:pPr>
        <w:spacing w:after="0" w:line="305" w:lineRule="exact"/>
        <w:rPr>
          <w:sz w:val="20"/>
          <w:szCs w:val="20"/>
          <w:color w:val="auto"/>
        </w:rPr>
      </w:pPr>
    </w:p>
    <w:tbl>
      <w:tblPr>
        <w:tblLayout w:type="fixed"/>
        <w:tblInd w:w="1920" w:type="dxa"/>
        <w:tblCellMar>
          <w:top w:w="0" w:type="dxa"/>
          <w:left w:w="0" w:type="dxa"/>
          <w:bottom w:w="0" w:type="dxa"/>
          <w:right w:w="0" w:type="dxa"/>
        </w:tblCellMar>
      </w:tblPr>
      <w:tr>
        <w:trPr>
          <w:trHeight w:val="270"/>
        </w:trPr>
        <w:tc>
          <w:tcPr>
            <w:tcW w:w="2080" w:type="dxa"/>
            <w:vAlign w:val="bottom"/>
            <w:vMerge w:val="restart"/>
            <w:shd w:val="clear" w:color="auto" w:fill="026DCE"/>
          </w:tcPr>
          <w:p>
            <w:pPr>
              <w:ind w:left="20"/>
              <w:spacing w:after="0"/>
              <w:rPr>
                <w:sz w:val="20"/>
                <w:szCs w:val="20"/>
                <w:color w:val="auto"/>
              </w:rPr>
            </w:pPr>
            <w:r>
              <w:rPr>
                <w:rFonts w:ascii="Arial" w:cs="Arial" w:eastAsia="Arial" w:hAnsi="Arial"/>
                <w:sz w:val="18"/>
                <w:szCs w:val="18"/>
                <w:b w:val="1"/>
                <w:bCs w:val="1"/>
                <w:color w:val="FFFFFF"/>
              </w:rPr>
              <w:t>Strengthen the Core</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Relentless focus on superior execution and operational</w:t>
            </w:r>
          </w:p>
        </w:tc>
        <w:tc>
          <w:tcPr>
            <w:tcW w:w="0" w:type="dxa"/>
            <w:vAlign w:val="bottom"/>
          </w:tcPr>
          <w:p>
            <w:pPr>
              <w:spacing w:after="0"/>
              <w:rPr>
                <w:sz w:val="1"/>
                <w:szCs w:val="1"/>
                <w:color w:val="auto"/>
              </w:rPr>
            </w:pPr>
          </w:p>
        </w:tc>
      </w:tr>
      <w:tr>
        <w:trPr>
          <w:trHeight w:val="160"/>
        </w:trPr>
        <w:tc>
          <w:tcPr>
            <w:tcW w:w="2080" w:type="dxa"/>
            <w:vAlign w:val="bottom"/>
            <w:vMerge w:val="continue"/>
            <w:shd w:val="clear" w:color="auto" w:fill="026DCE"/>
          </w:tcPr>
          <w:p>
            <w:pPr>
              <w:spacing w:after="0"/>
              <w:rPr>
                <w:sz w:val="13"/>
                <w:szCs w:val="13"/>
                <w:color w:val="auto"/>
              </w:rPr>
            </w:pPr>
          </w:p>
        </w:tc>
        <w:tc>
          <w:tcPr>
            <w:tcW w:w="5340" w:type="dxa"/>
            <w:vAlign w:val="bottom"/>
            <w:vMerge w:val="restart"/>
            <w:shd w:val="clear" w:color="auto" w:fill="80C9FF"/>
          </w:tcPr>
          <w:p>
            <w:pPr>
              <w:ind w:left="20"/>
              <w:spacing w:after="0"/>
              <w:rPr>
                <w:sz w:val="20"/>
                <w:szCs w:val="20"/>
                <w:color w:val="auto"/>
              </w:rPr>
            </w:pPr>
            <w:r>
              <w:rPr>
                <w:rFonts w:ascii="Arial" w:cs="Arial" w:eastAsia="Arial" w:hAnsi="Arial"/>
                <w:sz w:val="18"/>
                <w:szCs w:val="18"/>
                <w:b w:val="1"/>
                <w:bCs w:val="1"/>
                <w:color w:val="FFFFFF"/>
              </w:rPr>
              <w:t>excellence in our pawn business</w:t>
            </w:r>
          </w:p>
        </w:tc>
        <w:tc>
          <w:tcPr>
            <w:tcW w:w="0" w:type="dxa"/>
            <w:vAlign w:val="bottom"/>
          </w:tcPr>
          <w:p>
            <w:pPr>
              <w:spacing w:after="0"/>
              <w:rPr>
                <w:sz w:val="1"/>
                <w:szCs w:val="1"/>
                <w:color w:val="auto"/>
              </w:rPr>
            </w:pPr>
          </w:p>
        </w:tc>
      </w:tr>
      <w:tr>
        <w:trPr>
          <w:trHeight w:val="86"/>
        </w:trPr>
        <w:tc>
          <w:tcPr>
            <w:tcW w:w="2080" w:type="dxa"/>
            <w:vAlign w:val="bottom"/>
            <w:shd w:val="clear" w:color="auto" w:fill="026DCE"/>
          </w:tcPr>
          <w:p>
            <w:pPr>
              <w:spacing w:after="0"/>
              <w:rPr>
                <w:sz w:val="7"/>
                <w:szCs w:val="7"/>
                <w:color w:val="auto"/>
              </w:rPr>
            </w:pPr>
          </w:p>
        </w:tc>
        <w:tc>
          <w:tcPr>
            <w:tcW w:w="5340" w:type="dxa"/>
            <w:vAlign w:val="bottom"/>
            <w:vMerge w:val="continue"/>
            <w:shd w:val="clear" w:color="auto" w:fill="80C9FF"/>
          </w:tcPr>
          <w:p>
            <w:pPr>
              <w:spacing w:after="0"/>
              <w:rPr>
                <w:sz w:val="7"/>
                <w:szCs w:val="7"/>
                <w:color w:val="auto"/>
              </w:rPr>
            </w:pPr>
          </w:p>
        </w:tc>
        <w:tc>
          <w:tcPr>
            <w:tcW w:w="0" w:type="dxa"/>
            <w:vAlign w:val="bottom"/>
          </w:tcPr>
          <w:p>
            <w:pPr>
              <w:spacing w:after="0"/>
              <w:rPr>
                <w:sz w:val="1"/>
                <w:szCs w:val="1"/>
                <w:color w:val="auto"/>
              </w:rPr>
            </w:pPr>
          </w:p>
        </w:tc>
      </w:tr>
      <w:tr>
        <w:trPr>
          <w:trHeight w:val="347"/>
        </w:trPr>
        <w:tc>
          <w:tcPr>
            <w:tcW w:w="2080" w:type="dxa"/>
            <w:vAlign w:val="bottom"/>
            <w:shd w:val="clear" w:color="auto" w:fill="026DCE"/>
          </w:tcPr>
          <w:p>
            <w:pPr>
              <w:ind w:left="20"/>
              <w:spacing w:after="0"/>
              <w:rPr>
                <w:sz w:val="20"/>
                <w:szCs w:val="20"/>
                <w:color w:val="auto"/>
              </w:rPr>
            </w:pPr>
            <w:r>
              <w:rPr>
                <w:rFonts w:ascii="Arial" w:cs="Arial" w:eastAsia="Arial" w:hAnsi="Arial"/>
                <w:sz w:val="18"/>
                <w:szCs w:val="18"/>
                <w:b w:val="1"/>
                <w:bCs w:val="1"/>
                <w:color w:val="FFFFFF"/>
              </w:rPr>
              <w:t>Cost Efficiency and</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Shape a culture of cost efficiency through ongoing focus on</w:t>
            </w:r>
          </w:p>
        </w:tc>
        <w:tc>
          <w:tcPr>
            <w:tcW w:w="0" w:type="dxa"/>
            <w:vAlign w:val="bottom"/>
          </w:tcPr>
          <w:p>
            <w:pPr>
              <w:spacing w:after="0"/>
              <w:rPr>
                <w:sz w:val="1"/>
                <w:szCs w:val="1"/>
                <w:color w:val="auto"/>
              </w:rPr>
            </w:pPr>
          </w:p>
        </w:tc>
      </w:tr>
      <w:tr>
        <w:trPr>
          <w:trHeight w:val="247"/>
        </w:trPr>
        <w:tc>
          <w:tcPr>
            <w:tcW w:w="2080" w:type="dxa"/>
            <w:vAlign w:val="bottom"/>
            <w:shd w:val="clear" w:color="auto" w:fill="026DCE"/>
          </w:tcPr>
          <w:p>
            <w:pPr>
              <w:ind w:left="20"/>
              <w:spacing w:after="0"/>
              <w:rPr>
                <w:sz w:val="20"/>
                <w:szCs w:val="20"/>
                <w:color w:val="auto"/>
              </w:rPr>
            </w:pPr>
            <w:r>
              <w:rPr>
                <w:rFonts w:ascii="Arial" w:cs="Arial" w:eastAsia="Arial" w:hAnsi="Arial"/>
                <w:sz w:val="18"/>
                <w:szCs w:val="18"/>
                <w:b w:val="1"/>
                <w:bCs w:val="1"/>
                <w:color w:val="FFFFFF"/>
              </w:rPr>
              <w:t>Simplification</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simplification and optimization</w:t>
            </w:r>
          </w:p>
        </w:tc>
        <w:tc>
          <w:tcPr>
            <w:tcW w:w="0" w:type="dxa"/>
            <w:vAlign w:val="bottom"/>
          </w:tcPr>
          <w:p>
            <w:pPr>
              <w:spacing w:after="0"/>
              <w:rPr>
                <w:sz w:val="1"/>
                <w:szCs w:val="1"/>
                <w:color w:val="auto"/>
              </w:rPr>
            </w:pPr>
          </w:p>
        </w:tc>
      </w:tr>
      <w:tr>
        <w:trPr>
          <w:trHeight w:val="347"/>
        </w:trPr>
        <w:tc>
          <w:tcPr>
            <w:tcW w:w="2080" w:type="dxa"/>
            <w:vAlign w:val="bottom"/>
            <w:vMerge w:val="restart"/>
            <w:shd w:val="clear" w:color="auto" w:fill="026DCE"/>
          </w:tcPr>
          <w:p>
            <w:pPr>
              <w:ind w:left="20"/>
              <w:spacing w:after="0"/>
              <w:rPr>
                <w:sz w:val="20"/>
                <w:szCs w:val="20"/>
                <w:color w:val="auto"/>
              </w:rPr>
            </w:pPr>
            <w:r>
              <w:rPr>
                <w:rFonts w:ascii="Arial" w:cs="Arial" w:eastAsia="Arial" w:hAnsi="Arial"/>
                <w:sz w:val="18"/>
                <w:szCs w:val="18"/>
                <w:b w:val="1"/>
                <w:bCs w:val="1"/>
                <w:color w:val="FFFFFF"/>
              </w:rPr>
              <w:t>Innovate and Grow</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Broaden customer engagement to service more customers</w:t>
            </w:r>
          </w:p>
        </w:tc>
        <w:tc>
          <w:tcPr>
            <w:tcW w:w="0" w:type="dxa"/>
            <w:vAlign w:val="bottom"/>
          </w:tcPr>
          <w:p>
            <w:pPr>
              <w:spacing w:after="0"/>
              <w:rPr>
                <w:sz w:val="1"/>
                <w:szCs w:val="1"/>
                <w:color w:val="auto"/>
              </w:rPr>
            </w:pPr>
          </w:p>
        </w:tc>
      </w:tr>
      <w:tr>
        <w:trPr>
          <w:trHeight w:val="160"/>
        </w:trPr>
        <w:tc>
          <w:tcPr>
            <w:tcW w:w="2080" w:type="dxa"/>
            <w:vAlign w:val="bottom"/>
            <w:vMerge w:val="continue"/>
            <w:shd w:val="clear" w:color="auto" w:fill="026DCE"/>
          </w:tcPr>
          <w:p>
            <w:pPr>
              <w:spacing w:after="0"/>
              <w:rPr>
                <w:sz w:val="13"/>
                <w:szCs w:val="13"/>
                <w:color w:val="auto"/>
              </w:rPr>
            </w:pPr>
          </w:p>
        </w:tc>
        <w:tc>
          <w:tcPr>
            <w:tcW w:w="5340" w:type="dxa"/>
            <w:vAlign w:val="bottom"/>
            <w:vMerge w:val="restart"/>
            <w:shd w:val="clear" w:color="auto" w:fill="80C9FF"/>
          </w:tcPr>
          <w:p>
            <w:pPr>
              <w:ind w:left="20"/>
              <w:spacing w:after="0"/>
              <w:rPr>
                <w:sz w:val="20"/>
                <w:szCs w:val="20"/>
                <w:color w:val="auto"/>
              </w:rPr>
            </w:pPr>
            <w:r>
              <w:rPr>
                <w:rFonts w:ascii="Arial" w:cs="Arial" w:eastAsia="Arial" w:hAnsi="Arial"/>
                <w:sz w:val="18"/>
                <w:szCs w:val="18"/>
                <w:b w:val="1"/>
                <w:bCs w:val="1"/>
                <w:color w:val="FFFFFF"/>
              </w:rPr>
              <w:t>more frequently in more locations</w:t>
            </w:r>
          </w:p>
        </w:tc>
        <w:tc>
          <w:tcPr>
            <w:tcW w:w="0" w:type="dxa"/>
            <w:vAlign w:val="bottom"/>
          </w:tcPr>
          <w:p>
            <w:pPr>
              <w:spacing w:after="0"/>
              <w:rPr>
                <w:sz w:val="1"/>
                <w:szCs w:val="1"/>
                <w:color w:val="auto"/>
              </w:rPr>
            </w:pPr>
          </w:p>
        </w:tc>
      </w:tr>
      <w:tr>
        <w:trPr>
          <w:trHeight w:val="86"/>
        </w:trPr>
        <w:tc>
          <w:tcPr>
            <w:tcW w:w="2080" w:type="dxa"/>
            <w:vAlign w:val="bottom"/>
            <w:shd w:val="clear" w:color="auto" w:fill="026DCE"/>
          </w:tcPr>
          <w:p>
            <w:pPr>
              <w:spacing w:after="0"/>
              <w:rPr>
                <w:sz w:val="7"/>
                <w:szCs w:val="7"/>
                <w:color w:val="auto"/>
              </w:rPr>
            </w:pPr>
          </w:p>
        </w:tc>
        <w:tc>
          <w:tcPr>
            <w:tcW w:w="5340" w:type="dxa"/>
            <w:vAlign w:val="bottom"/>
            <w:vMerge w:val="continue"/>
            <w:shd w:val="clear" w:color="auto" w:fill="80C9FF"/>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80" w:type="dxa"/>
            <w:vAlign w:val="bottom"/>
            <w:shd w:val="clear" w:color="auto" w:fill="026DCE"/>
          </w:tcPr>
          <w:p>
            <w:pPr>
              <w:spacing w:after="0"/>
              <w:rPr>
                <w:sz w:val="6"/>
                <w:szCs w:val="6"/>
                <w:color w:val="auto"/>
              </w:rPr>
            </w:pPr>
          </w:p>
        </w:tc>
        <w:tc>
          <w:tcPr>
            <w:tcW w:w="5340" w:type="dxa"/>
            <w:vAlign w:val="bottom"/>
            <w:shd w:val="clear" w:color="auto" w:fill="80C9FF"/>
          </w:tcPr>
          <w:p>
            <w:pPr>
              <w:spacing w:after="0"/>
              <w:rPr>
                <w:sz w:val="6"/>
                <w:szCs w:val="6"/>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Pawn Activities</w:t>
      </w:r>
    </w:p>
    <w:p>
      <w:pPr>
        <w:spacing w:after="0" w:line="1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our pawn stores, we advance cash against the value of collateralized tangible personal property. We earn pawn service charges (“PSC”) for those cash advances, and the PSC rate varies by state and transaction size. At the time of the transaction, we take possession of the pawned collateral, which consists of tangible personal property, generally jewelry, consumer electronics, tools, sporting goods and musical instruments. If the customer chooses to redeem their pawn, they will repay the amount advanced plus any accrued PSC. If the customer chooses not to redeem their pawn, the pawned collateral becomes our inventory, which we sell in our retail merchandise sales activities or, in some cases, scrap for its inherent gold or precious stone content. Consequently, the success of our pawn business is largely dependent on our ability to accurately assess the probability of pawn redemption and the estimated resale or scrap value of the collateralized personal property.</w:t>
      </w:r>
    </w:p>
    <w:p>
      <w:pPr>
        <w:spacing w:after="0" w:line="13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Our ability to offer quality pre-owned goods at prices significantly lower than original retail prices attracts value-conscious customers. The gross profit on sales of inventory depends primarily on our assessment of the estimated resale or scrap value at the time the property is either accepted as pawn collateral or purchased and our ability to sell that merchandise in a timely manner. As a significant portion of our inventory and sales involve gold and jewelry, our results can be influenced by the market price of gold and diamonds.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Growth and Expansion</w:t>
      </w:r>
    </w:p>
    <w:p>
      <w:pPr>
        <w:spacing w:after="0" w:line="1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strategy is to expand the number of locations we operate through opening new (“de novo”) locations and through acquisitions and investments in both Latin America, the United States and potential new markets. Our ability to open de novo stores, acquire new stores and make other related investments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the availability of qualified personnel.</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 and Quarterly Results</w:t>
      </w:r>
    </w:p>
    <w:p>
      <w:pPr>
        <w:spacing w:after="0" w:line="1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United States, PSC is historically highest in our fourth fiscal quarter (July through September) due to a higher average loan balance during the summer lending season. PSC is historically lowest in our third fiscal quarter (April through June) following the tax refund season and merchandise sales are highest in our first and second fiscal quarters (October through March) due to the holiday season, jewelry sales surrounding Valentine’s Day and the availability of tax refunds. In Latin America, most of our customers receive additional compensation from their employers in December, and many receive additional compensation in June or July, applying downward pressure on loan balances and fueling some merchandise sales in those periods. In Mexico, we saw similar downward pressure in loan balances during the third quarter of fiscal 2023 due to a change in law related to company profit sharing payments to employees. We anticipated this change would impact pawn loan redemptions annually in May and June; however, in fiscal 2024, the demand for pawn loans in Mexico exceeded any downward pressure related to profit sharing payments. As a net effect of these and other factors and excluding discrete charges, our consolidated income before tax is generally highest in our first fiscal quarter (October through December) and lowest in our third fiscal quarter (April through June).</w:t>
      </w:r>
    </w:p>
    <w:p>
      <w:pPr>
        <w:spacing w:after="0" w:line="231"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Financial Highlights</w:t>
      </w:r>
    </w:p>
    <w:p>
      <w:pPr>
        <w:spacing w:after="0" w:line="191"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We remain focused on optimizing our balance of pawn loans outstanding (“PLO”) and the resulting higher PSC. The following chart presents sources of gross profit, including PSC, merchandise sales gross profit (“Merchandise sales GP”) and jewelry scrapping gross profit (“Jewelry Scrapping GP”) for the three months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51435</wp:posOffset>
            </wp:positionV>
            <wp:extent cx="5743575" cy="27857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74357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presents sources of gross profit by geographic disbursement for the three months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86360</wp:posOffset>
            </wp:positionV>
            <wp:extent cx="5743575" cy="27863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743575"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Constant Currency and Same-Store Financial Information</w:t>
      </w:r>
    </w:p>
    <w:p>
      <w:pPr>
        <w:spacing w:after="0" w:line="16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To supplement our condensed consolidated financial statements, which are prepared and presented in accordance with GAAP, we provide certain other non-GAAP financial information on a constant currency basis (“constant currency”) and “same-store” basis. We use constant currency results to evaluate our Latin America Pawn operations, which are denominated primarily in Mexican pesos, Guatemalan quetzales and other Latin American currencies. We analyze results on a same-store basis (which is defined as stores open during the entirety of the comparable periods) to better understand existing store performance without the influence of increases or decreases resulting solely from changes in store count. We believe presentation of constant currency and same-store results is meaningful and useful in understanding the activities and business metrics of our Latin America Pawn operations and reflects an additional way of viewing aspects of our business that, when viewed with GAAP results, provides a better understanding and evaluation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rather than or superior to, our financial statements prepared in accordance with GAAP. This non-GAAP financial information may be determined or calculated differently by other companies, limiting the usefulness of those measures for comparative purposes.</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are not directly calculable from the rates below. Constant currency results, where presented, also exclude the foreign currency gain or loss. The end-of-period and approximate average exchange rates for each applicable currency as compared to U.S. dollars as of and for the three months ended December 31, 2024 and 2023 were as follows:</w:t>
      </w:r>
    </w:p>
    <w:p>
      <w:pPr>
        <w:sectPr>
          <w:pgSz w:w="11900" w:h="16838" w:orient="portrait"/>
          <w:cols w:equalWidth="0" w:num="1">
            <w:col w:w="11240"/>
          </w:cols>
          <w:pgMar w:left="320" w:top="130" w:right="339" w:bottom="1440" w:gutter="0" w:footer="0" w:header="0"/>
        </w:sectPr>
      </w:pPr>
    </w:p>
    <w:p>
      <w:pPr>
        <w:spacing w:after="0" w:line="334" w:lineRule="exact"/>
        <w:rPr>
          <w:sz w:val="20"/>
          <w:szCs w:val="20"/>
          <w:color w:val="auto"/>
        </w:rPr>
      </w:pPr>
    </w:p>
    <w:p>
      <w:pPr>
        <w:jc w:val="center"/>
        <w:ind w:left="70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20955</wp:posOffset>
            </wp:positionV>
            <wp:extent cx="13887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6" w:lineRule="exact"/>
        <w:rPr>
          <w:sz w:val="20"/>
          <w:szCs w:val="20"/>
          <w:color w:val="auto"/>
        </w:rPr>
      </w:pPr>
    </w:p>
    <w:p>
      <w:pPr>
        <w:ind w:left="7100"/>
        <w:spacing w:after="0"/>
        <w:tabs>
          <w:tab w:leader="none" w:pos="8220" w:val="left"/>
        </w:tabs>
        <w:rPr>
          <w:sz w:val="20"/>
          <w:szCs w:val="20"/>
          <w:color w:val="auto"/>
        </w:rPr>
      </w:pPr>
      <w:r>
        <w:rPr>
          <w:rFonts w:ascii="Arial" w:cs="Arial" w:eastAsia="Arial" w:hAnsi="Arial"/>
          <w:sz w:val="16"/>
          <w:szCs w:val="16"/>
          <w:b w:val="1"/>
          <w:bCs w:val="1"/>
          <w:color w:val="auto"/>
        </w:rPr>
        <w:t>2024</w:t>
      </w:r>
      <w:r>
        <w:rPr>
          <w:sz w:val="20"/>
          <w:szCs w:val="20"/>
          <w:color w:val="auto"/>
        </w:rPr>
        <w:tab/>
      </w: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20955</wp:posOffset>
            </wp:positionV>
            <wp:extent cx="13887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Three Months Ended</w:t>
      </w:r>
    </w:p>
    <w:p>
      <w:pPr>
        <w:jc w:val="center"/>
        <w:ind w:right="3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10795</wp:posOffset>
            </wp:positionV>
            <wp:extent cx="13887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10"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6"/>
          <w:szCs w:val="16"/>
          <w:b w:val="1"/>
          <w:bCs w:val="1"/>
          <w:color w:val="auto"/>
        </w:rPr>
        <w:t>2024</w:t>
      </w:r>
      <w:r>
        <w:rPr>
          <w:sz w:val="20"/>
          <w:szCs w:val="20"/>
          <w:color w:val="auto"/>
        </w:rPr>
        <w:tab/>
      </w: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20955</wp:posOffset>
            </wp:positionV>
            <wp:extent cx="13887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8620" w:space="720"/>
            <w:col w:w="190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Mexican peso</w:t>
            </w:r>
          </w:p>
        </w:tc>
        <w:tc>
          <w:tcPr>
            <w:tcW w:w="37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20.8</w:t>
            </w:r>
          </w:p>
        </w:tc>
        <w:tc>
          <w:tcPr>
            <w:tcW w:w="11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17.0</w:t>
            </w:r>
          </w:p>
        </w:tc>
        <w:tc>
          <w:tcPr>
            <w:tcW w:w="11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20.1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15"/>
        </w:trPr>
        <w:tc>
          <w:tcPr>
            <w:tcW w:w="4440" w:type="dxa"/>
            <w:vAlign w:val="bottom"/>
          </w:tcPr>
          <w:p>
            <w:pPr>
              <w:ind w:left="20"/>
              <w:spacing w:after="0"/>
              <w:rPr>
                <w:sz w:val="20"/>
                <w:szCs w:val="20"/>
                <w:color w:val="auto"/>
              </w:rPr>
            </w:pPr>
            <w:r>
              <w:rPr>
                <w:rFonts w:ascii="Arial" w:cs="Arial" w:eastAsia="Arial" w:hAnsi="Arial"/>
                <w:sz w:val="16"/>
                <w:szCs w:val="16"/>
                <w:color w:val="auto"/>
              </w:rPr>
              <w:t>Guatemalan quetzal</w:t>
            </w:r>
          </w:p>
        </w:tc>
        <w:tc>
          <w:tcPr>
            <w:tcW w:w="3700" w:type="dxa"/>
            <w:vAlign w:val="bottom"/>
          </w:tcPr>
          <w:p>
            <w:pPr>
              <w:jc w:val="right"/>
              <w:ind w:right="339"/>
              <w:spacing w:after="0"/>
              <w:rPr>
                <w:sz w:val="20"/>
                <w:szCs w:val="20"/>
                <w:color w:val="auto"/>
              </w:rPr>
            </w:pPr>
            <w:r>
              <w:rPr>
                <w:rFonts w:ascii="Arial" w:cs="Arial" w:eastAsia="Arial" w:hAnsi="Arial"/>
                <w:sz w:val="16"/>
                <w:szCs w:val="16"/>
                <w:color w:val="auto"/>
              </w:rPr>
              <w:t>7.5</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7.7</w:t>
            </w:r>
          </w:p>
        </w:tc>
        <w:tc>
          <w:tcPr>
            <w:tcW w:w="1160" w:type="dxa"/>
            <w:vAlign w:val="bottom"/>
          </w:tcPr>
          <w:p>
            <w:pPr>
              <w:jc w:val="right"/>
              <w:ind w:right="339"/>
              <w:spacing w:after="0"/>
              <w:rPr>
                <w:sz w:val="20"/>
                <w:szCs w:val="20"/>
                <w:color w:val="auto"/>
              </w:rPr>
            </w:pPr>
            <w:r>
              <w:rPr>
                <w:rFonts w:ascii="Arial" w:cs="Arial" w:eastAsia="Arial" w:hAnsi="Arial"/>
                <w:sz w:val="16"/>
                <w:szCs w:val="16"/>
                <w:color w:val="auto"/>
              </w:rPr>
              <w:t>7.5</w:t>
            </w:r>
          </w:p>
        </w:tc>
        <w:tc>
          <w:tcPr>
            <w:tcW w:w="8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7"/>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Honduran lempira</w:t>
            </w:r>
          </w:p>
        </w:tc>
        <w:tc>
          <w:tcPr>
            <w:tcW w:w="37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25.0</w:t>
            </w:r>
          </w:p>
        </w:tc>
        <w:tc>
          <w:tcPr>
            <w:tcW w:w="11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24.3</w:t>
            </w:r>
          </w:p>
        </w:tc>
        <w:tc>
          <w:tcPr>
            <w:tcW w:w="11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24.8</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15"/>
        </w:trPr>
        <w:tc>
          <w:tcPr>
            <w:tcW w:w="4440" w:type="dxa"/>
            <w:vAlign w:val="bottom"/>
          </w:tcPr>
          <w:p>
            <w:pPr>
              <w:ind w:left="20"/>
              <w:spacing w:after="0"/>
              <w:rPr>
                <w:sz w:val="20"/>
                <w:szCs w:val="20"/>
                <w:color w:val="auto"/>
              </w:rPr>
            </w:pPr>
            <w:r>
              <w:rPr>
                <w:rFonts w:ascii="Arial" w:cs="Arial" w:eastAsia="Arial" w:hAnsi="Arial"/>
                <w:sz w:val="16"/>
                <w:szCs w:val="16"/>
                <w:color w:val="auto"/>
              </w:rPr>
              <w:t>Australian dollar</w:t>
            </w:r>
          </w:p>
        </w:tc>
        <w:tc>
          <w:tcPr>
            <w:tcW w:w="3700" w:type="dxa"/>
            <w:vAlign w:val="bottom"/>
          </w:tcPr>
          <w:p>
            <w:pPr>
              <w:jc w:val="right"/>
              <w:ind w:right="339"/>
              <w:spacing w:after="0"/>
              <w:rPr>
                <w:sz w:val="20"/>
                <w:szCs w:val="20"/>
                <w:color w:val="auto"/>
              </w:rPr>
            </w:pPr>
            <w:r>
              <w:rPr>
                <w:rFonts w:ascii="Arial" w:cs="Arial" w:eastAsia="Arial" w:hAnsi="Arial"/>
                <w:sz w:val="16"/>
                <w:szCs w:val="16"/>
                <w:color w:val="auto"/>
              </w:rPr>
              <w:t>1.6</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1.5</w:t>
            </w:r>
          </w:p>
        </w:tc>
        <w:tc>
          <w:tcPr>
            <w:tcW w:w="1160" w:type="dxa"/>
            <w:vAlign w:val="bottom"/>
          </w:tcPr>
          <w:p>
            <w:pPr>
              <w:jc w:val="right"/>
              <w:ind w:right="339"/>
              <w:spacing w:after="0"/>
              <w:rPr>
                <w:sz w:val="20"/>
                <w:szCs w:val="20"/>
                <w:color w:val="auto"/>
              </w:rPr>
            </w:pPr>
            <w:r>
              <w:rPr>
                <w:rFonts w:ascii="Arial" w:cs="Arial" w:eastAsia="Arial" w:hAnsi="Arial"/>
                <w:sz w:val="16"/>
                <w:szCs w:val="16"/>
                <w:color w:val="auto"/>
              </w:rPr>
              <w:t>1.5</w:t>
            </w:r>
          </w:p>
        </w:tc>
        <w:tc>
          <w:tcPr>
            <w:tcW w:w="800" w:type="dxa"/>
            <w:vAlign w:val="bottom"/>
          </w:tcPr>
          <w:p>
            <w:pPr>
              <w:jc w:val="right"/>
              <w:spacing w:after="0"/>
              <w:rPr>
                <w:sz w:val="20"/>
                <w:szCs w:val="20"/>
                <w:color w:val="auto"/>
              </w:rPr>
            </w:pPr>
            <w:r>
              <w:rPr>
                <w:rFonts w:ascii="Arial" w:cs="Arial" w:eastAsia="Arial" w:hAnsi="Arial"/>
                <w:sz w:val="16"/>
                <w:szCs w:val="16"/>
                <w:color w:val="auto"/>
              </w:rPr>
              <w:t>1.5</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manage our business and report our financial results in three reportable segments:</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Pawn — Represents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Latin America Pawn — Represents all pawn activities in Mexico and other parts of Latin America;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Investments — Represents our equity interest in Cash Converters and our investment in and notes receivable from Founders.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Count by Segment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December 31, 2024</w:t>
            </w:r>
          </w:p>
        </w:tc>
        <w:tc>
          <w:tcPr>
            <w:tcW w:w="0" w:type="dxa"/>
            <w:vAlign w:val="bottom"/>
          </w:tcPr>
          <w:p>
            <w:pPr>
              <w:spacing w:after="0"/>
              <w:rPr>
                <w:sz w:val="1"/>
                <w:szCs w:val="1"/>
                <w:color w:val="auto"/>
              </w:rPr>
            </w:pPr>
          </w:p>
        </w:tc>
      </w:tr>
      <w:tr>
        <w:trPr>
          <w:trHeight w:val="156"/>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7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2024</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0" w:type="dxa"/>
            <w:vAlign w:val="bottom"/>
          </w:tcPr>
          <w:p>
            <w:pPr>
              <w:spacing w:after="0"/>
              <w:rPr>
                <w:sz w:val="1"/>
                <w:szCs w:val="1"/>
                <w:color w:val="auto"/>
              </w:rPr>
            </w:pPr>
          </w:p>
        </w:tc>
      </w:tr>
      <w:tr>
        <w:trPr>
          <w:trHeight w:val="215"/>
        </w:trPr>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New locations opened</w:t>
            </w: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December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w:t>
            </w:r>
          </w:p>
        </w:tc>
        <w:tc>
          <w:tcPr>
            <w:tcW w:w="0" w:type="dxa"/>
            <w:vAlign w:val="bottom"/>
          </w:tcPr>
          <w:p>
            <w:pPr>
              <w:spacing w:after="0"/>
              <w:rPr>
                <w:sz w:val="1"/>
                <w:szCs w:val="1"/>
                <w:color w:val="auto"/>
              </w:rPr>
            </w:pPr>
          </w:p>
        </w:tc>
      </w:tr>
    </w:tbl>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December 31, 2023</w:t>
            </w:r>
          </w:p>
        </w:tc>
        <w:tc>
          <w:tcPr>
            <w:tcW w:w="0" w:type="dxa"/>
            <w:vAlign w:val="bottom"/>
          </w:tcPr>
          <w:p>
            <w:pPr>
              <w:spacing w:after="0"/>
              <w:rPr>
                <w:sz w:val="1"/>
                <w:szCs w:val="1"/>
                <w:color w:val="auto"/>
              </w:rPr>
            </w:pPr>
          </w:p>
        </w:tc>
      </w:tr>
      <w:tr>
        <w:trPr>
          <w:trHeight w:val="155"/>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7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2023</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0" w:type="dxa"/>
            <w:vAlign w:val="bottom"/>
          </w:tcPr>
          <w:p>
            <w:pPr>
              <w:spacing w:after="0"/>
              <w:rPr>
                <w:sz w:val="1"/>
                <w:szCs w:val="1"/>
                <w:color w:val="auto"/>
              </w:rPr>
            </w:pPr>
          </w:p>
        </w:tc>
      </w:tr>
      <w:tr>
        <w:trPr>
          <w:trHeight w:val="215"/>
        </w:trPr>
        <w:tc>
          <w:tcPr>
            <w:tcW w:w="674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Locations acquired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December 31, 2023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2024 vs. Three Months Ended December 31, 2023</w:t>
      </w:r>
    </w:p>
    <w:p>
      <w:pPr>
        <w:spacing w:after="0" w:line="19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These tables, as well as the discussion that follows, should be read in conjunction with the accompanying Condensed Consolidated Financial Statements and related notes.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Pawn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for our U.S. Pawn segment: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 December 31,</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4"/>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87,876</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79,073</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11%</w:t>
            </w:r>
          </w:p>
        </w:tc>
      </w:tr>
      <w:tr>
        <w:trPr>
          <w:trHeight w:val="217"/>
        </w:trPr>
        <w:tc>
          <w:tcPr>
            <w:tcW w:w="6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128,800</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125,513</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3%</w:t>
            </w:r>
          </w:p>
        </w:tc>
      </w:tr>
      <w:tr>
        <w:trPr>
          <w:trHeight w:val="210"/>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47,244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46,804</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w:t>
            </w:r>
          </w:p>
        </w:tc>
      </w:tr>
      <w:tr>
        <w:trPr>
          <w:trHeight w:val="215"/>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merchandise sales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—bps</w:t>
            </w:r>
          </w:p>
        </w:tc>
      </w:tr>
      <w:tr>
        <w:trPr>
          <w:trHeight w:val="217"/>
        </w:trPr>
        <w:tc>
          <w:tcPr>
            <w:tcW w:w="6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15,498</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12,815</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9"/>
              </w:rPr>
              <w:t>21%</w:t>
            </w:r>
          </w:p>
        </w:tc>
      </w:tr>
      <w:tr>
        <w:trPr>
          <w:trHeight w:val="210"/>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3,530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1,531</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7"/>
              </w:rPr>
              <w:t>131%</w:t>
            </w:r>
          </w:p>
        </w:tc>
      </w:tr>
      <w:tr>
        <w:trPr>
          <w:trHeight w:val="215"/>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jewelry scrapping sales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12 %</w:t>
            </w:r>
          </w:p>
        </w:tc>
        <w:tc>
          <w:tcPr>
            <w:tcW w:w="1520" w:type="dxa"/>
            <w:vAlign w:val="bottom"/>
            <w:gridSpan w:val="2"/>
          </w:tcPr>
          <w:p>
            <w:pPr>
              <w:jc w:val="center"/>
              <w:ind w:left="19"/>
              <w:spacing w:after="0"/>
              <w:rPr>
                <w:sz w:val="20"/>
                <w:szCs w:val="20"/>
                <w:color w:val="auto"/>
              </w:rPr>
            </w:pPr>
            <w:r>
              <w:rPr>
                <w:rFonts w:ascii="Arial" w:cs="Arial" w:eastAsia="Arial" w:hAnsi="Arial"/>
                <w:sz w:val="16"/>
                <w:szCs w:val="16"/>
                <w:color w:val="auto"/>
                <w:w w:val="95"/>
              </w:rPr>
              <w:t>*</w:t>
            </w:r>
          </w:p>
        </w:tc>
      </w:tr>
      <w:tr>
        <w:trPr>
          <w:trHeight w:val="217"/>
        </w:trPr>
        <w:tc>
          <w:tcPr>
            <w:tcW w:w="6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37</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(27)%</w:t>
            </w:r>
          </w:p>
        </w:tc>
      </w:tr>
      <w:tr>
        <w:trPr>
          <w:trHeight w:val="210"/>
        </w:trPr>
        <w:tc>
          <w:tcPr>
            <w:tcW w:w="6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138,677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127,445</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9%</w:t>
            </w:r>
          </w:p>
        </w:tc>
      </w:tr>
      <w:tr>
        <w:trPr>
          <w:trHeight w:val="216"/>
        </w:trPr>
        <w:tc>
          <w:tcPr>
            <w:tcW w:w="6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83,089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77,255</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rPr>
              <w:t>8%</w:t>
            </w:r>
          </w:p>
        </w:tc>
      </w:tr>
      <w:tr>
        <w:trPr>
          <w:trHeight w:val="217"/>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2,624</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4%</w:t>
            </w:r>
          </w:p>
        </w:tc>
      </w:tr>
      <w:tr>
        <w:trPr>
          <w:trHeight w:val="215"/>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Loss on sale or disposal of assets and other</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(100)%</w:t>
            </w:r>
          </w:p>
        </w:tc>
      </w:tr>
      <w:tr>
        <w:trPr>
          <w:trHeight w:val="217"/>
        </w:trPr>
        <w:tc>
          <w:tcPr>
            <w:tcW w:w="65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Segment operating contribution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52,871</w:t>
            </w: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47,540</w:t>
            </w:r>
          </w:p>
        </w:tc>
        <w:tc>
          <w:tcPr>
            <w:tcW w:w="152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11%</w:t>
            </w:r>
          </w:p>
        </w:tc>
      </w:tr>
      <w:tr>
        <w:trPr>
          <w:trHeight w:val="203"/>
        </w:trPr>
        <w:tc>
          <w:tcPr>
            <w:tcW w:w="6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5"/>
        </w:trPr>
        <w:tc>
          <w:tcPr>
            <w:tcW w:w="6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segment income</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7"/>
              </w:rPr>
              <w:t>100%</w:t>
            </w:r>
          </w:p>
        </w:tc>
      </w:tr>
      <w:tr>
        <w:trPr>
          <w:trHeight w:val="217"/>
        </w:trPr>
        <w:tc>
          <w:tcPr>
            <w:tcW w:w="65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52,882</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47,540</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9"/>
              </w:rPr>
              <w:t>11%</w:t>
            </w:r>
          </w:p>
        </w:tc>
      </w:tr>
      <w:tr>
        <w:trPr>
          <w:trHeight w:val="203"/>
        </w:trPr>
        <w:tc>
          <w:tcPr>
            <w:tcW w:w="6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Other data:</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7"/>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earning assets (a)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368,668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317,774</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16%</w:t>
            </w: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Inventory turnover</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2.7</w:t>
            </w:r>
          </w:p>
        </w:tc>
        <w:tc>
          <w:tcPr>
            <w:tcW w:w="1520" w:type="dxa"/>
            <w:vAlign w:val="bottom"/>
            <w:gridSpan w:val="2"/>
          </w:tcPr>
          <w:p>
            <w:pPr>
              <w:jc w:val="center"/>
              <w:ind w:left="19"/>
              <w:spacing w:after="0"/>
              <w:rPr>
                <w:sz w:val="20"/>
                <w:szCs w:val="20"/>
                <w:color w:val="auto"/>
              </w:rPr>
            </w:pPr>
            <w:r>
              <w:rPr>
                <w:rFonts w:ascii="Arial" w:cs="Arial" w:eastAsia="Arial" w:hAnsi="Arial"/>
                <w:sz w:val="16"/>
                <w:szCs w:val="16"/>
                <w:color w:val="auto"/>
              </w:rPr>
              <w:t>(7)%</w:t>
            </w:r>
          </w:p>
        </w:tc>
      </w:tr>
      <w:tr>
        <w:trPr>
          <w:trHeight w:val="217"/>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Average monthly ending pawn loan balance per store (b)</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359</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10%</w:t>
            </w: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—bps</w:t>
            </w:r>
          </w:p>
        </w:tc>
      </w:tr>
      <w:tr>
        <w:trPr>
          <w:trHeight w:val="217"/>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merchandise as a % of PLO</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(100)bps</w:t>
            </w: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Jewelry as a % of PLO</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100bps</w:t>
            </w:r>
          </w:p>
        </w:tc>
      </w:tr>
    </w:tbl>
    <w:p>
      <w:pPr>
        <w:spacing w:after="0" w:line="127" w:lineRule="exact"/>
        <w:rPr>
          <w:sz w:val="20"/>
          <w:szCs w:val="20"/>
          <w:color w:val="auto"/>
        </w:rPr>
      </w:pPr>
    </w:p>
    <w:p>
      <w:pPr>
        <w:ind w:left="360" w:hanging="334"/>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42" w:lineRule="exact"/>
        <w:rPr>
          <w:sz w:val="20"/>
          <w:szCs w:val="20"/>
          <w:color w:val="auto"/>
        </w:rPr>
      </w:pPr>
    </w:p>
    <w:p>
      <w:pPr>
        <w:ind w:left="360" w:hanging="334"/>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60" w:hanging="334"/>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329"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PLO ended the quarter at $220.2 million, up 15% on a total and same-store basis due to increase in average loan size, increased loan demand and improved operational performance.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Total revenues increased 7% and gross profit increased 9%, reflecting higher PSC and merchandise sales.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PSC increased 11% as a result of higher average PLO.</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Merchandise sales increased 3%, and gross margin was flat at 37%. Aged general merchandise, which is inventory over one year old, increased to 2.6%, or $1.2 million of total general merchandise inventory. Excluding our three Max Pawn luxury stores in Las Vegas, aged general merchandise was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inventory increased 17%, in line with the growth in PLO. Inventory turnover decreased to 2.5x, from 2.7x .</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Store expenses increased 8% (5% on a same-store basis), primarily due to labor costs (including higher health benefits) supporting more store activity, offset by a decrease in expenses related to our loyalty program.</w:t>
      </w:r>
    </w:p>
    <w:p>
      <w:pPr>
        <w:spacing w:after="0" w:line="99" w:lineRule="exact"/>
        <w:rPr>
          <w:sz w:val="20"/>
          <w:szCs w:val="20"/>
          <w:color w:val="auto"/>
        </w:rPr>
      </w:pPr>
    </w:p>
    <w:p>
      <w:pPr>
        <w:ind w:right="4320"/>
        <w:spacing w:after="0" w:line="438" w:lineRule="auto"/>
        <w:rPr>
          <w:sz w:val="20"/>
          <w:szCs w:val="20"/>
          <w:color w:val="auto"/>
        </w:rPr>
      </w:pPr>
      <w:r>
        <w:rPr>
          <w:rFonts w:ascii="Arial" w:cs="Arial" w:eastAsia="Arial" w:hAnsi="Arial"/>
          <w:sz w:val="18"/>
          <w:szCs w:val="18"/>
          <w:color w:val="auto"/>
        </w:rPr>
        <w:t xml:space="preserve">Segment contribution increased 11% to $52.9 million, due to the changes noted above. During the quarter, segment store count remained at 542. </w:t>
      </w:r>
      <w:r>
        <w:rPr>
          <w:rFonts w:ascii="Arial" w:cs="Arial" w:eastAsia="Arial" w:hAnsi="Arial"/>
          <w:sz w:val="18"/>
          <w:szCs w:val="18"/>
          <w:b w:val="1"/>
          <w:bCs w:val="1"/>
          <w:color w:val="auto"/>
        </w:rPr>
        <w:t>Latin America Pawn</w:t>
      </w:r>
    </w:p>
    <w:p>
      <w:pPr>
        <w:spacing w:after="0" w:line="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presents selected summary financial data for the Latin America Pawn segment, including constant currency results, after translation to U.S. dollars from its functional currencies noted above under “Results of Operations — Non-GAAP Constant Currency and Same-Store Financial Information.”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7"/>
          </w:tcPr>
          <w:p>
            <w:pPr>
              <w:ind w:left="480"/>
              <w:spacing w:after="0"/>
              <w:rPr>
                <w:sz w:val="20"/>
                <w:szCs w:val="20"/>
                <w:color w:val="auto"/>
              </w:rPr>
            </w:pPr>
            <w:r>
              <w:rPr>
                <w:rFonts w:ascii="Arial" w:cs="Arial" w:eastAsia="Arial" w:hAnsi="Arial"/>
                <w:sz w:val="16"/>
                <w:szCs w:val="16"/>
                <w:b w:val="1"/>
                <w:bCs w:val="1"/>
                <w:color w:val="auto"/>
              </w:rPr>
              <w:t>Three Months Ended December 31,</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2024 (Constant</w:t>
            </w:r>
          </w:p>
        </w:tc>
        <w:tc>
          <w:tcPr>
            <w:tcW w:w="12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4"/>
        </w:trPr>
        <w:tc>
          <w:tcPr>
            <w:tcW w:w="43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2"/>
                <w:szCs w:val="12"/>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2024 (GAAP)</w:t>
            </w:r>
          </w:p>
        </w:tc>
        <w:tc>
          <w:tcPr>
            <w:tcW w:w="160" w:type="dxa"/>
            <w:vAlign w:val="bottom"/>
          </w:tcPr>
          <w:p>
            <w:pPr>
              <w:spacing w:after="0"/>
              <w:rPr>
                <w:sz w:val="12"/>
                <w:szCs w:val="12"/>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2023 (GAAP)</w:t>
            </w:r>
          </w:p>
        </w:tc>
        <w:tc>
          <w:tcPr>
            <w:tcW w:w="13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Change (GAAP)</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89"/>
        </w:trPr>
        <w:tc>
          <w:tcPr>
            <w:tcW w:w="43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Currency)</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34"/>
        </w:trPr>
        <w:tc>
          <w:tcPr>
            <w:tcW w:w="43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29,176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27,376</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31,979</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17%</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57,543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53,890</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64,082</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19%</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17,275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17,389</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19,251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11%</w:t>
            </w:r>
          </w:p>
        </w:tc>
        <w:tc>
          <w:tcPr>
            <w:tcW w:w="0" w:type="dxa"/>
            <w:vAlign w:val="bottom"/>
          </w:tcPr>
          <w:p>
            <w:pPr>
              <w:spacing w:after="0"/>
              <w:rPr>
                <w:sz w:val="1"/>
                <w:szCs w:val="1"/>
                <w:color w:val="auto"/>
              </w:rPr>
            </w:pPr>
          </w:p>
        </w:tc>
      </w:tr>
      <w:tr>
        <w:trPr>
          <w:trHeight w:val="215"/>
        </w:trPr>
        <w:tc>
          <w:tcPr>
            <w:tcW w:w="4320" w:type="dxa"/>
            <w:vAlign w:val="bottom"/>
          </w:tcPr>
          <w:p>
            <w:pPr>
              <w:ind w:left="480"/>
              <w:spacing w:after="0"/>
              <w:rPr>
                <w:sz w:val="20"/>
                <w:szCs w:val="20"/>
                <w:color w:val="auto"/>
              </w:rPr>
            </w:pPr>
            <w:r>
              <w:rPr>
                <w:rFonts w:ascii="Arial" w:cs="Arial" w:eastAsia="Arial" w:hAnsi="Arial"/>
                <w:sz w:val="16"/>
                <w:szCs w:val="16"/>
                <w:color w:val="auto"/>
              </w:rPr>
              <w:t>Gross margin on merchandise sales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color w:val="auto"/>
              </w:rPr>
              <w:t>(200)bps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(200)bps</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1,234</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1,267</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1,388</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10%</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(13)%</w:t>
            </w:r>
          </w:p>
        </w:tc>
        <w:tc>
          <w:tcPr>
            <w:tcW w:w="0" w:type="dxa"/>
            <w:vAlign w:val="bottom"/>
          </w:tcPr>
          <w:p>
            <w:pPr>
              <w:spacing w:after="0"/>
              <w:rPr>
                <w:sz w:val="1"/>
                <w:szCs w:val="1"/>
                <w:color w:val="auto"/>
              </w:rPr>
            </w:pPr>
          </w:p>
        </w:tc>
      </w:tr>
      <w:tr>
        <w:trPr>
          <w:trHeight w:val="215"/>
        </w:trPr>
        <w:tc>
          <w:tcPr>
            <w:tcW w:w="4320" w:type="dxa"/>
            <w:vAlign w:val="bottom"/>
          </w:tcPr>
          <w:p>
            <w:pPr>
              <w:ind w:left="480"/>
              <w:spacing w:after="0"/>
              <w:rPr>
                <w:sz w:val="20"/>
                <w:szCs w:val="20"/>
                <w:color w:val="auto"/>
              </w:rPr>
            </w:pPr>
            <w:r>
              <w:rPr>
                <w:rFonts w:ascii="Arial" w:cs="Arial" w:eastAsia="Arial" w:hAnsi="Arial"/>
                <w:sz w:val="16"/>
                <w:szCs w:val="16"/>
                <w:color w:val="auto"/>
              </w:rPr>
              <w:t>Gross margin on jewelry scrapping sales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27 %</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color w:val="auto"/>
              </w:rPr>
              <w:t>(600)bps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(600)bps</w:t>
            </w:r>
          </w:p>
        </w:tc>
        <w:tc>
          <w:tcPr>
            <w:tcW w:w="0" w:type="dxa"/>
            <w:vAlign w:val="bottom"/>
          </w:tcPr>
          <w:p>
            <w:pPr>
              <w:spacing w:after="0"/>
              <w:rPr>
                <w:sz w:val="1"/>
                <w:szCs w:val="1"/>
                <w:color w:val="auto"/>
              </w:rPr>
            </w:pPr>
          </w:p>
        </w:tc>
      </w:tr>
      <w:tr>
        <w:trPr>
          <w:trHeight w:val="271"/>
        </w:trPr>
        <w:tc>
          <w:tcPr>
            <w:tcW w:w="4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3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 net</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19%</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46,727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45,124</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51,547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14%</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33,362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33,300</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37,031</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11%</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2,339</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2,270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43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Loss (gain) on sale or disposal of assets and other</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Segment operating contribution</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9,681</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12,237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26%</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segment income</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(34)%</w:t>
            </w:r>
          </w:p>
        </w:tc>
        <w:tc>
          <w:tcPr>
            <w:tcW w:w="0" w:type="dxa"/>
            <w:vAlign w:val="bottom"/>
          </w:tcPr>
          <w:p>
            <w:pPr>
              <w:spacing w:after="0"/>
              <w:rPr>
                <w:sz w:val="1"/>
                <w:szCs w:val="1"/>
                <w:color w:val="auto"/>
              </w:rPr>
            </w:pPr>
          </w:p>
        </w:tc>
      </w:tr>
      <w:tr>
        <w:trPr>
          <w:trHeight w:val="217"/>
        </w:trPr>
        <w:tc>
          <w:tcPr>
            <w:tcW w:w="43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11,584</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10,149</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14%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12,547</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24%</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Other data:</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earning assets (a)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105,637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90,405</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122,159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35%</w:t>
            </w:r>
          </w:p>
        </w:tc>
        <w:tc>
          <w:tcPr>
            <w:tcW w:w="0" w:type="dxa"/>
            <w:vAlign w:val="bottom"/>
          </w:tcPr>
          <w:p>
            <w:pPr>
              <w:spacing w:after="0"/>
              <w:rPr>
                <w:sz w:val="1"/>
                <w:szCs w:val="1"/>
                <w:color w:val="auto"/>
              </w:rPr>
            </w:pPr>
          </w:p>
        </w:tc>
      </w:tr>
      <w:tr>
        <w:trPr>
          <w:trHeight w:val="215"/>
        </w:trPr>
        <w:tc>
          <w:tcPr>
            <w:tcW w:w="4320" w:type="dxa"/>
            <w:vAlign w:val="bottom"/>
          </w:tcPr>
          <w:p>
            <w:pPr>
              <w:ind w:left="220"/>
              <w:spacing w:after="0"/>
              <w:rPr>
                <w:sz w:val="20"/>
                <w:szCs w:val="20"/>
                <w:color w:val="auto"/>
              </w:rPr>
            </w:pPr>
            <w:r>
              <w:rPr>
                <w:rFonts w:ascii="Arial" w:cs="Arial" w:eastAsia="Arial" w:hAnsi="Arial"/>
                <w:sz w:val="16"/>
                <w:szCs w:val="16"/>
                <w:color w:val="auto"/>
              </w:rPr>
              <w:t>Inventory turnover</w:t>
            </w:r>
          </w:p>
        </w:tc>
        <w:tc>
          <w:tcPr>
            <w:tcW w:w="1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8"/>
              </w:rPr>
              <w:t>(21)%</w:t>
            </w:r>
          </w:p>
        </w:tc>
        <w:tc>
          <w:tcPr>
            <w:tcW w:w="0" w:type="dxa"/>
            <w:vAlign w:val="bottom"/>
          </w:tcPr>
          <w:p>
            <w:pPr>
              <w:spacing w:after="0"/>
              <w:rPr>
                <w:sz w:val="1"/>
                <w:szCs w:val="1"/>
                <w:color w:val="auto"/>
              </w:rPr>
            </w:pPr>
          </w:p>
        </w:tc>
      </w:tr>
      <w:tr>
        <w:trPr>
          <w:trHeight w:val="217"/>
        </w:trPr>
        <w:tc>
          <w:tcPr>
            <w:tcW w:w="4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Average monthly ending pawn loan balance per store (b) $</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14%</w:t>
            </w:r>
          </w:p>
        </w:tc>
        <w:tc>
          <w:tcPr>
            <w:tcW w:w="0" w:type="dxa"/>
            <w:vAlign w:val="bottom"/>
          </w:tcPr>
          <w:p>
            <w:pPr>
              <w:spacing w:after="0"/>
              <w:rPr>
                <w:sz w:val="1"/>
                <w:szCs w:val="1"/>
                <w:color w:val="auto"/>
              </w:rPr>
            </w:pPr>
          </w:p>
        </w:tc>
      </w:tr>
      <w:tr>
        <w:trPr>
          <w:trHeight w:val="215"/>
        </w:trPr>
        <w:tc>
          <w:tcPr>
            <w:tcW w:w="4320" w:type="dxa"/>
            <w:vAlign w:val="bottom"/>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color w:val="auto"/>
              </w:rPr>
              <w:t>(100)bps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(100)bps</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merchandise as a % of PLO</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(500)bps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(300)bps</w:t>
            </w:r>
          </w:p>
        </w:tc>
        <w:tc>
          <w:tcPr>
            <w:tcW w:w="0" w:type="dxa"/>
            <w:vAlign w:val="bottom"/>
          </w:tcPr>
          <w:p>
            <w:pPr>
              <w:spacing w:after="0"/>
              <w:rPr>
                <w:sz w:val="1"/>
                <w:szCs w:val="1"/>
                <w:color w:val="auto"/>
              </w:rPr>
            </w:pPr>
          </w:p>
        </w:tc>
      </w:tr>
      <w:tr>
        <w:trPr>
          <w:trHeight w:val="215"/>
        </w:trPr>
        <w:tc>
          <w:tcPr>
            <w:tcW w:w="4320" w:type="dxa"/>
            <w:vAlign w:val="bottom"/>
          </w:tcPr>
          <w:p>
            <w:pPr>
              <w:ind w:left="220"/>
              <w:spacing w:after="0"/>
              <w:rPr>
                <w:sz w:val="20"/>
                <w:szCs w:val="20"/>
                <w:color w:val="auto"/>
              </w:rPr>
            </w:pPr>
            <w:r>
              <w:rPr>
                <w:rFonts w:ascii="Arial" w:cs="Arial" w:eastAsia="Arial" w:hAnsi="Arial"/>
                <w:sz w:val="16"/>
                <w:szCs w:val="16"/>
                <w:color w:val="auto"/>
              </w:rPr>
              <w:t>Jewelry as a % of PLO</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500bps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300bps</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360" w:hanging="334"/>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60" w:hanging="334"/>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2024 Change</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2024 Change</w:t>
            </w:r>
          </w:p>
        </w:tc>
      </w:tr>
      <w:tr>
        <w:trPr>
          <w:trHeight w:val="216"/>
        </w:trPr>
        <w:tc>
          <w:tcPr>
            <w:tcW w:w="7100" w:type="dxa"/>
            <w:vAlign w:val="bottom"/>
          </w:tcPr>
          <w:p>
            <w:pPr>
              <w:spacing w:after="0"/>
              <w:rPr>
                <w:sz w:val="18"/>
                <w:szCs w:val="18"/>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(GAAP)</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(Constant Currency)</w:t>
            </w:r>
          </w:p>
        </w:tc>
      </w:tr>
      <w:tr>
        <w:trPr>
          <w:trHeight w:val="19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Same-store data:</w:t>
            </w:r>
          </w:p>
        </w:tc>
        <w:tc>
          <w:tcPr>
            <w:tcW w:w="2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r>
      <w:tr>
        <w:trPr>
          <w:trHeight w:val="229"/>
        </w:trPr>
        <w:tc>
          <w:tcPr>
            <w:tcW w:w="7100" w:type="dxa"/>
            <w:vAlign w:val="bottom"/>
          </w:tcPr>
          <w:p>
            <w:pPr>
              <w:ind w:left="220"/>
              <w:spacing w:after="0"/>
              <w:rPr>
                <w:sz w:val="20"/>
                <w:szCs w:val="20"/>
                <w:color w:val="auto"/>
              </w:rPr>
            </w:pPr>
            <w:r>
              <w:rPr>
                <w:rFonts w:ascii="Arial" w:cs="Arial" w:eastAsia="Arial" w:hAnsi="Arial"/>
                <w:sz w:val="16"/>
                <w:szCs w:val="16"/>
                <w:color w:val="auto"/>
              </w:rPr>
              <w:t>PLO</w:t>
            </w:r>
          </w:p>
        </w:tc>
        <w:tc>
          <w:tcPr>
            <w:tcW w:w="2000" w:type="dxa"/>
            <w:vAlign w:val="bottom"/>
          </w:tcPr>
          <w:p>
            <w:pPr>
              <w:jc w:val="right"/>
              <w:ind w:right="773"/>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17%</w:t>
            </w: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PSC</w:t>
            </w:r>
          </w:p>
        </w:tc>
        <w:tc>
          <w:tcPr>
            <w:tcW w:w="200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r>
      <w:tr>
        <w:trPr>
          <w:trHeight w:val="229"/>
        </w:trPr>
        <w:tc>
          <w:tcPr>
            <w:tcW w:w="71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2000" w:type="dxa"/>
            <w:vAlign w:val="bottom"/>
          </w:tcPr>
          <w:p>
            <w:pPr>
              <w:jc w:val="right"/>
              <w:ind w:right="773"/>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16%</w:t>
            </w:r>
          </w:p>
        </w:tc>
      </w:tr>
      <w:tr>
        <w:trPr>
          <w:trHeight w:val="229"/>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200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r>
      <w:tr>
        <w:trPr>
          <w:trHeight w:val="239"/>
        </w:trPr>
        <w:tc>
          <w:tcPr>
            <w:tcW w:w="71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2000" w:type="dxa"/>
            <w:vAlign w:val="bottom"/>
          </w:tcPr>
          <w:p>
            <w:pPr>
              <w:jc w:val="right"/>
              <w:ind w:right="713"/>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9%</w:t>
            </w:r>
          </w:p>
        </w:tc>
      </w:tr>
    </w:tbl>
    <w:p>
      <w:pPr>
        <w:spacing w:after="0" w:line="215"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PLO improved to $54.6 million, up 4% (19% on constant currency basis). On a same-store basis, PLO increased 2% (17% on a constant currency basis) due to improved operational performance and increased loan demand.</w:t>
      </w:r>
    </w:p>
    <w:p>
      <w:pPr>
        <w:spacing w:after="0" w:line="10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Total revenues were up 7% (18% on constant currency basis), and gross profit increased 4% (14% on a constant currency basis), mainly due to increased PSC and higher merchandise sales.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PSC increased to $29.2 million, up 7% (17% on a constant currency basis) as a result of higher average PLO.</w:t>
      </w:r>
    </w:p>
    <w:p>
      <w:pPr>
        <w:spacing w:after="0" w:line="15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Merchandise sales increased 7% (19% on constant currency basis) and merchandise sales gross margin decreased to 30% from 32%. Aged general merchandise decreased to 1.4% from 1.6% of total general merchandise inventory.</w:t>
      </w:r>
    </w:p>
    <w:p>
      <w:pPr>
        <w:spacing w:after="0" w:line="10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Net inventory increased 35% (57% on a constant currency basis) due to increase in PLO and decrease in inventory turnover to 3.1x, from 3.8x.</w:t>
      </w:r>
    </w:p>
    <w:p>
      <w:pPr>
        <w:spacing w:after="0" w:line="11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Store expenses were flat (11% increase on a constant currency basis) and on a same-store basis decreased 2% (9% increase on a constant currency basis), primarily due to labor and rent.</w:t>
      </w:r>
    </w:p>
    <w:p>
      <w:pPr>
        <w:spacing w:after="0" w:line="99" w:lineRule="exact"/>
        <w:rPr>
          <w:sz w:val="20"/>
          <w:szCs w:val="20"/>
          <w:color w:val="auto"/>
        </w:rPr>
      </w:pPr>
    </w:p>
    <w:p>
      <w:pPr>
        <w:ind w:right="1460"/>
        <w:spacing w:after="0" w:line="535" w:lineRule="auto"/>
        <w:rPr>
          <w:sz w:val="20"/>
          <w:szCs w:val="20"/>
          <w:color w:val="auto"/>
        </w:rPr>
      </w:pPr>
      <w:r>
        <w:rPr>
          <w:rFonts w:ascii="Arial" w:cs="Arial" w:eastAsia="Arial" w:hAnsi="Arial"/>
          <w:sz w:val="18"/>
          <w:szCs w:val="18"/>
          <w:color w:val="auto"/>
        </w:rPr>
        <w:t xml:space="preserve">Segment contribution increased 14% to $11.6 million (24% on a constant currency basis), due to the changes noted above. During the quarter, segment store count increased by four de novo stores to 741. </w:t>
      </w:r>
      <w:r>
        <w:rPr>
          <w:rFonts w:ascii="Arial" w:cs="Arial" w:eastAsia="Arial" w:hAnsi="Arial"/>
          <w:sz w:val="18"/>
          <w:szCs w:val="18"/>
          <w:b w:val="1"/>
          <w:bCs w:val="1"/>
          <w:color w:val="auto"/>
        </w:rPr>
        <w:t>Other Investments</w:t>
      </w:r>
    </w:p>
    <w:p>
      <w:pPr>
        <w:spacing w:after="0" w:line="21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following table presents selected financial data for our Other Investments segment after translation to U.S. dollars from its functional currency of primarily Australian dollars: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December 31,</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Change</w:t>
            </w:r>
          </w:p>
        </w:tc>
      </w:tr>
      <w:tr>
        <w:trPr>
          <w:trHeight w:val="34"/>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Consumer loan fees, interest and other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(100)%</w:t>
            </w:r>
          </w:p>
        </w:tc>
      </w:tr>
      <w:tr>
        <w:trPr>
          <w:trHeight w:val="210"/>
        </w:trPr>
        <w:tc>
          <w:tcPr>
            <w:tcW w:w="6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(100)%</w:t>
            </w:r>
          </w:p>
        </w:tc>
      </w:tr>
      <w:tr>
        <w:trPr>
          <w:trHeight w:val="216"/>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(573)</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4%</w:t>
            </w:r>
          </w:p>
        </w:tc>
      </w:tr>
      <w:tr>
        <w:trPr>
          <w:trHeight w:val="216"/>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Equity in net income of unconsolidated affiliates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(1,623)</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15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41%</w:t>
            </w:r>
          </w:p>
        </w:tc>
      </w:tr>
      <w:tr>
        <w:trPr>
          <w:trHeight w:val="210"/>
        </w:trPr>
        <w:tc>
          <w:tcPr>
            <w:tcW w:w="6700" w:type="dxa"/>
            <w:vAlign w:val="bottom"/>
          </w:tcPr>
          <w:p>
            <w:pPr>
              <w:ind w:left="460"/>
              <w:spacing w:after="0"/>
              <w:rPr>
                <w:sz w:val="20"/>
                <w:szCs w:val="20"/>
                <w:color w:val="auto"/>
              </w:rPr>
            </w:pPr>
            <w:r>
              <w:rPr>
                <w:rFonts w:ascii="Arial" w:cs="Arial" w:eastAsia="Arial" w:hAnsi="Arial"/>
                <w:sz w:val="16"/>
                <w:szCs w:val="16"/>
                <w:color w:val="auto"/>
              </w:rPr>
              <w:t>Segment operating contribution</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1,730</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28%</w:t>
            </w:r>
          </w:p>
        </w:tc>
      </w:tr>
      <w:tr>
        <w:trPr>
          <w:trHeight w:val="217"/>
        </w:trPr>
        <w:tc>
          <w:tcPr>
            <w:tcW w:w="6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segment loss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(100)%</w:t>
            </w:r>
          </w:p>
        </w:tc>
      </w:tr>
      <w:tr>
        <w:trPr>
          <w:trHeight w:val="217"/>
        </w:trPr>
        <w:tc>
          <w:tcPr>
            <w:tcW w:w="6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2,217</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1,729</w:t>
            </w:r>
          </w:p>
        </w:tc>
        <w:tc>
          <w:tcPr>
            <w:tcW w:w="15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28%</w:t>
            </w:r>
          </w:p>
        </w:tc>
      </w:tr>
    </w:tbl>
    <w:p>
      <w:pPr>
        <w:spacing w:after="0" w:line="19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Segment contribution was $2.2 million, an increase of $0.5 million primarily due to the increase in our share of equity in net income of Cash Converters.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December 31,</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4"/>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66,683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59,418</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12%</w:t>
            </w: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Corporate expenses (income):</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16,543</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13%</w:t>
            </w: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3,602</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rPr>
              <w:t>(1)%</w:t>
            </w: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Gain on sale or disposal of assets and other</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(100)%</w:t>
            </w: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3,440</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rPr>
              <w:t>(9)%</w:t>
            </w: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(21)%</w:t>
            </w: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Equity in net loss of unconsolidated affiliates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rPr>
              <w:t>100%</w:t>
            </w:r>
          </w:p>
        </w:tc>
      </w:tr>
      <w:tr>
        <w:trPr>
          <w:trHeight w:val="216"/>
        </w:trPr>
        <w:tc>
          <w:tcPr>
            <w:tcW w:w="6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Other expense (income)</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5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5"/>
              </w:rPr>
              <w:t>*</w:t>
            </w:r>
          </w:p>
        </w:tc>
      </w:tr>
      <w:tr>
        <w:trPr>
          <w:trHeight w:val="209"/>
        </w:trPr>
        <w:tc>
          <w:tcPr>
            <w:tcW w:w="6700" w:type="dxa"/>
            <w:vAlign w:val="bottom"/>
          </w:tcPr>
          <w:p>
            <w:pPr>
              <w:ind w:left="680"/>
              <w:spacing w:after="0"/>
              <w:rPr>
                <w:sz w:val="20"/>
                <w:szCs w:val="20"/>
                <w:color w:val="auto"/>
              </w:rPr>
            </w:pPr>
            <w:r>
              <w:rPr>
                <w:rFonts w:ascii="Arial" w:cs="Arial" w:eastAsia="Arial" w:hAnsi="Arial"/>
                <w:sz w:val="16"/>
                <w:szCs w:val="16"/>
                <w:color w:val="auto"/>
              </w:rPr>
              <w:t>Income before income taxes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41,384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37,705</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10%</w:t>
            </w:r>
          </w:p>
        </w:tc>
      </w:tr>
      <w:tr>
        <w:trPr>
          <w:trHeight w:val="216"/>
        </w:trPr>
        <w:tc>
          <w:tcPr>
            <w:tcW w:w="6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10,368</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9,235</w:t>
            </w:r>
          </w:p>
        </w:tc>
        <w:tc>
          <w:tcPr>
            <w:tcW w:w="15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12%</w:t>
            </w:r>
          </w:p>
        </w:tc>
      </w:tr>
      <w:tr>
        <w:trPr>
          <w:trHeight w:val="21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31,016</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28,470</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9%</w:t>
            </w:r>
          </w:p>
        </w:tc>
      </w:tr>
    </w:tbl>
    <w:p>
      <w:pPr>
        <w:spacing w:after="0" w:line="126" w:lineRule="exact"/>
        <w:rPr>
          <w:sz w:val="20"/>
          <w:szCs w:val="20"/>
          <w:color w:val="auto"/>
        </w:rPr>
      </w:pPr>
    </w:p>
    <w:p>
      <w:pPr>
        <w:ind w:left="360" w:hanging="334"/>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4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Segment contribution increased $7.3 million or 12% over the prior year quarter, primarily due to improved operating results of the U.S. Pawn and Latin America Pawn segments above.</w:t>
      </w:r>
    </w:p>
    <w:p>
      <w:pPr>
        <w:spacing w:after="0" w:line="10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General and administrative expense increased $2.1 million or 13%, primarily due to labor (including incentive compensation) and, to a lesser extent, ongoing support costs related to Workday.</w:t>
      </w:r>
    </w:p>
    <w:p>
      <w:pPr>
        <w:spacing w:after="0" w:line="100"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Income tax expense increased $1.1 million primarily due to an increase in income before taxes of $3.7 million, partially offset by an increase in the benefit for stock compensation for tax purposes in excess of the book expense. The increase in the effective tax rate is due primarily to an increase in non-deductible items.</w:t>
      </w:r>
    </w:p>
    <w:p>
      <w:pPr>
        <w:spacing w:after="0" w:line="128"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Income tax expense includes other items that do not necessarily correspond to pre-tax earnings and create volatility in our effective tax rate. These items include the net effect of state taxes, non-deductible items and the foreign rate differential. See our Annual Report on Form 10-K for the year ended September 30, 2024, Note 9: Income Taxes of Notes to Consolidated Financial Statements included in “Part II, Item 8 — Financial Statements and Supplemental Data” for quantification of these items.</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Liquidity and 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16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cash and cash equivalents balance was $174.5 million at December 31, 2024 compared to $170.5 million at September 30, 2024. At December 31, 2024, our cash and equivalents were held in cash depository accounts with major banks or invested in high quality, short-term liquid investments.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discussion below presents a summary of the selected sources and uses of our cash:</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7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9"/>
              </w:rPr>
              <w:t>Percentage</w:t>
            </w:r>
          </w:p>
        </w:tc>
      </w:tr>
      <w:tr>
        <w:trPr>
          <w:trHeight w:val="209"/>
        </w:trPr>
        <w:tc>
          <w:tcPr>
            <w:tcW w:w="70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25,991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21,481</w:t>
            </w:r>
          </w:p>
        </w:tc>
        <w:tc>
          <w:tcPr>
            <w:tcW w:w="12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21%</w:t>
            </w:r>
          </w:p>
        </w:tc>
      </w:tr>
      <w:tr>
        <w:trPr>
          <w:trHeight w:val="215"/>
        </w:trPr>
        <w:tc>
          <w:tcPr>
            <w:tcW w:w="70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(14,040)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(16,864)</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(17)%</w:t>
            </w:r>
          </w:p>
        </w:tc>
      </w:tr>
      <w:tr>
        <w:trPr>
          <w:trHeight w:val="217"/>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(6,392)</w:t>
            </w:r>
          </w:p>
        </w:tc>
        <w:tc>
          <w:tcPr>
            <w:tcW w:w="12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11%</w:t>
            </w:r>
          </w:p>
        </w:tc>
      </w:tr>
      <w:tr>
        <w:trPr>
          <w:trHeight w:val="215"/>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2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269%</w:t>
            </w:r>
          </w:p>
        </w:tc>
      </w:tr>
      <w:tr>
        <w:trPr>
          <w:trHeight w:val="217"/>
        </w:trPr>
        <w:tc>
          <w:tcPr>
            <w:tcW w:w="7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4,085</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(1,982)</w:t>
            </w:r>
          </w:p>
        </w:tc>
        <w:tc>
          <w:tcPr>
            <w:tcW w:w="12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306%</w:t>
            </w:r>
          </w:p>
        </w:tc>
      </w:tr>
    </w:tbl>
    <w:p>
      <w:pPr>
        <w:spacing w:after="0" w:line="292"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The increase in cash flows provided by operating activities year-over-year was primarily due an increase in net income as well as changes in working capital primarily related to the timing of payments of prepaid expenses, accounts payable, inventory, customer layaway deposits and income taxes.</w:t>
      </w:r>
    </w:p>
    <w:p>
      <w:pPr>
        <w:spacing w:after="0" w:line="117"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The $2.8 million decrease in cash flows used in investing activities year-over-year was primarily due to a $ 17.3 million decrease in net cash flows used related to strategic investments, capital expenditures and other, a $3.6 million increase in cash inflows from the sale of forfeited collateral, partially offset by an $18.1 million increase in net pawn lending outflows.</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$0.7 million increase in cash flows used in financing activities was primarily related to taxes paid related to net share settlement of equity awards.</w:t>
      </w:r>
    </w:p>
    <w:p>
      <w:pPr>
        <w:spacing w:after="0" w:line="99" w:lineRule="exact"/>
        <w:rPr>
          <w:sz w:val="20"/>
          <w:szCs w:val="20"/>
          <w:color w:val="auto"/>
        </w:rPr>
      </w:pPr>
    </w:p>
    <w:p>
      <w:pPr>
        <w:ind w:right="1060"/>
        <w:spacing w:after="0" w:line="287" w:lineRule="auto"/>
        <w:rPr>
          <w:sz w:val="20"/>
          <w:szCs w:val="20"/>
          <w:color w:val="auto"/>
        </w:rPr>
      </w:pPr>
      <w:r>
        <w:rPr>
          <w:rFonts w:ascii="Arial" w:cs="Arial" w:eastAsia="Arial" w:hAnsi="Arial"/>
          <w:sz w:val="18"/>
          <w:szCs w:val="18"/>
          <w:color w:val="auto"/>
        </w:rPr>
        <w:t>The net effect of these changes was a $4.1 million increase in cash on hand during the current year to date period, resulting in a $183.9 million ending cash and restricted cash balance.</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Sources and Uses of Cash</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On May 3, 2022, our Board authorized the repurchase of up to $50 million of our Class A Common Stock over three years. As of</w:t>
      </w:r>
    </w:p>
    <w:p>
      <w:pPr>
        <w:spacing w:after="0" w:line="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December 31, 2024, we have repurchased 3,096,011 shares of our Class A Common Stock under the program for $29.0 million. Execution of the program will be responsive to fluctuating market conditions and valuations, liquidity needs and the expected return on investment compared to other opportunities.</w:t>
      </w:r>
    </w:p>
    <w:p>
      <w:pPr>
        <w:spacing w:after="0" w:line="12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Under the stock repurchase program, we may purchase Class A Non-Voting common stock from time to time at management’s discretion in accordance with applicable securities laws, including through open market transactions, block or privately negotiated transactions, or any combination thereof. In addition, we may purchase shares pursuant to a trading plan meeting the requirements of Rule 10b5-1 under the Securities Exchange Act of 1934.</w:t>
      </w:r>
    </w:p>
    <w:p>
      <w:pPr>
        <w:spacing w:after="0" w:line="12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 See Note 8 of Notes to Condensed Consolidated Financial Statements included in “Part I, Item 1 — Financial Statements.”</w:t>
      </w:r>
    </w:p>
    <w:p>
      <w:pPr>
        <w:spacing w:after="0" w:line="1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We anticipate that cash flows from operations and cash on hand will be adequate to fund ongoing operations, current debt service requirements, tax payments, any future stock repurchases, strategic investments, our contractual obligations, planned de novo store growth, capital expenditures and working capital requirements through the next twelve months. We continue to explore acquisition opportunities, both large and small, and may choose to pursue additional debt, equity or equity-linked financings in the future should the need arise. </w:t>
      </w:r>
      <w:r>
        <w:rPr>
          <w:rFonts w:ascii="Arial" w:cs="Arial" w:eastAsia="Arial" w:hAnsi="Arial"/>
          <w:sz w:val="18"/>
          <w:szCs w:val="18"/>
          <w:color w:val="212529"/>
        </w:rPr>
        <w:t>Depending</w:t>
      </w:r>
      <w:r>
        <w:rPr>
          <w:rFonts w:ascii="Arial" w:cs="Arial" w:eastAsia="Arial" w:hAnsi="Arial"/>
          <w:sz w:val="18"/>
          <w:szCs w:val="18"/>
          <w:color w:val="auto"/>
        </w:rPr>
        <w:t xml:space="preserve"> </w:t>
      </w:r>
      <w:r>
        <w:rPr>
          <w:rFonts w:ascii="Arial" w:cs="Arial" w:eastAsia="Arial" w:hAnsi="Arial"/>
          <w:sz w:val="18"/>
          <w:szCs w:val="18"/>
          <w:color w:val="212529"/>
        </w:rPr>
        <w:t>on the level of acquisition activity and other factors, our ability to repay our longer-term debt obligations, including the convertible debt maturing in May 2025 and 2029, may require us to refinance these obligations through the issuance of new debt securities, equity securities, convertible securities or through new credit facilities.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6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“Part II, Item 7 — Management’s Discussion and Analysis of Financial Condition and Results of Operations” of our Annual Report on Form 10-K for the year ended September 30, 2024, we reported that we had $ 673.5 million in total contractual obligations as of September 30, 2024. There have been no material changes to this total obligation since September 30, 2024.</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are responsible for the maintenance, property taxes and insurance at most of our locations. In the fiscal year ended September 30, 2024, these collectively amounted to $17.7 million.</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Recently Adopted Accounting Policies and Recently Issued Accounting Pronouncements</w:t>
      </w:r>
    </w:p>
    <w:p>
      <w:pPr>
        <w:spacing w:after="0" w:line="1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See Note 1 of the Notes to Condensed Consolidated Financial Statements included in “Part I, Item 1 — Financial Statements” of this Quarterly Report for recently issued accounting pronouncements including the expected dates of adoption and estimated effects, if any, on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Cautionary Statement Regarding Risks and Uncertainties that May Affect Future Results</w:t>
      </w:r>
    </w:p>
    <w:p>
      <w:pPr>
        <w:spacing w:after="0" w:line="191" w:lineRule="exact"/>
        <w:rPr>
          <w:sz w:val="20"/>
          <w:szCs w:val="20"/>
          <w:color w:val="auto"/>
        </w:rPr>
      </w:pPr>
    </w:p>
    <w:p>
      <w:pPr>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 -looking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w:t>
      </w:r>
      <w:hyperlink r:id="rId21">
        <w:r>
          <w:rPr>
            <w:rFonts w:ascii="Arial" w:cs="Arial" w:eastAsia="Arial" w:hAnsi="Arial"/>
            <w:sz w:val="18"/>
            <w:szCs w:val="18"/>
            <w:color w:val="auto"/>
          </w:rPr>
          <w:t>achieved. Important risk factors that could cause results or events to differ from current expectations are identified and described in “Part I,</w:t>
        </w:r>
      </w:hyperlink>
      <w:r>
        <w:rPr>
          <w:rFonts w:ascii="Arial" w:cs="Arial" w:eastAsia="Arial" w:hAnsi="Arial"/>
          <w:sz w:val="18"/>
          <w:szCs w:val="18"/>
          <w:color w:val="auto"/>
        </w:rPr>
        <w:t xml:space="preserve"> </w:t>
      </w:r>
      <w:hyperlink r:id="rId21">
        <w:r>
          <w:rPr>
            <w:rFonts w:ascii="Arial" w:cs="Arial" w:eastAsia="Arial" w:hAnsi="Arial"/>
            <w:sz w:val="18"/>
            <w:szCs w:val="18"/>
            <w:color w:val="auto"/>
          </w:rPr>
          <w:t xml:space="preserve">Item 1A — Risk Factors” of our Annual Report on Form 10-K for the year ended September 30, 2024 and “Part II, Item 1A — Risk Factors” </w:t>
        </w:r>
      </w:hyperlink>
      <w:r>
        <w:rPr>
          <w:rFonts w:ascii="Arial" w:cs="Arial" w:eastAsia="Arial" w:hAnsi="Arial"/>
          <w:sz w:val="18"/>
          <w:szCs w:val="18"/>
          <w:color w:val="auto"/>
        </w:rPr>
        <w:t>of this Report.</w:t>
      </w:r>
    </w:p>
    <w:p>
      <w:pPr>
        <w:spacing w:after="0" w:line="13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3. QUANTITATIVE AND QUALITATIVE DISCLOSURES ABOUT MARKET RISK</w:t>
      </w:r>
    </w:p>
    <w:p>
      <w:pPr>
        <w:spacing w:after="0" w:line="17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2024. There have been no material changes in our reported market risks or risk management policies since the filing of our Annual Report on Form 10-K for the year ended September 30, 2024.</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4. CONTROLS AND PROCEDURES</w:t>
      </w:r>
    </w:p>
    <w:p>
      <w:pPr>
        <w:spacing w:after="0" w:line="19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our management evaluated the effectiveness of the design and operation of our disclosure controls and procedures as of December 31, 2024. Our principal executive officer and principal financial officer have concluded that as of December 31, 2024, our disclosure controls and procedures were effective to provide reasonable assurance that information required to be disclosed in our reports under the Exchange Act is recorded, processed, summarized, and reported within the time periods specified in the SEC rules and forms and that such information is accumulated and communicated to management as appropriate to allow timely decisions regarding required disclosure.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1"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2024 that have materially affected, or are reasonably likely to materially affect, our internal control over financial reporting.</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Internal Controls</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or our internal controls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all control issues and instances of fraud, if any, within the Company have been detected.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associated policies or procedures. Because of the inherent limitations in a cost-effective control system, misstatements due to error or fraud may occur and not be detected.</w:t>
      </w:r>
    </w:p>
    <w:p>
      <w:pPr>
        <w:spacing w:after="0" w:line="121" w:lineRule="exact"/>
        <w:rPr>
          <w:sz w:val="20"/>
          <w:szCs w:val="20"/>
          <w:color w:val="auto"/>
        </w:rPr>
      </w:pPr>
    </w:p>
    <w:p>
      <w:pPr>
        <w:ind w:right="3580" w:firstLine="3627"/>
        <w:spacing w:after="0" w:line="391" w:lineRule="auto"/>
        <w:rPr>
          <w:sz w:val="20"/>
          <w:szCs w:val="20"/>
          <w:color w:val="auto"/>
        </w:rPr>
      </w:pPr>
      <w:r>
        <w:rPr>
          <w:rFonts w:ascii="Arial" w:cs="Arial" w:eastAsia="Arial" w:hAnsi="Arial"/>
          <w:sz w:val="25"/>
          <w:szCs w:val="25"/>
          <w:b w:val="1"/>
          <w:bCs w:val="1"/>
          <w:color w:val="00497F"/>
        </w:rPr>
        <w:t>PART II — OTHER INFORMATION ITEM 1. LEGAL PROCEEDINGS</w:t>
      </w:r>
    </w:p>
    <w:p>
      <w:pPr>
        <w:ind w:right="520"/>
        <w:spacing w:after="0" w:line="287" w:lineRule="auto"/>
        <w:rPr>
          <w:sz w:val="20"/>
          <w:szCs w:val="20"/>
          <w:color w:val="auto"/>
        </w:rPr>
      </w:pPr>
      <w:r>
        <w:rPr>
          <w:rFonts w:ascii="Arial" w:cs="Arial" w:eastAsia="Arial" w:hAnsi="Arial"/>
          <w:sz w:val="18"/>
          <w:szCs w:val="18"/>
          <w:color w:val="auto"/>
        </w:rPr>
        <w:t>See Note 9: Commitments And Contingencies of Notes to Condensed Consolidated Financial Statements included in “Part I, Item 1 —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1A. RISK FACTORS</w:t>
      </w:r>
    </w:p>
    <w:p>
      <w:pPr>
        <w:spacing w:after="0" w:line="17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Important risk factors that could affect our operations and financial performance, or that could cause results or events to differ from current expectations, are described in “Part I, Item 1A — Risk Factors” of our Annual Report on Form 10-K for the year ended September 30, 2024.</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2. Unregistered Sale of Equity Security and Use of Proceeds</w:t>
      </w:r>
    </w:p>
    <w:p>
      <w:pPr>
        <w:spacing w:after="0" w:line="19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table below provides certain information about our repurchase of shares of Class A Non-voting Common Stock during the quarter ended December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0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2"/>
          </w:tcPr>
          <w:p>
            <w:pPr>
              <w:jc w:val="right"/>
              <w:ind w:right="995"/>
              <w:spacing w:after="0"/>
              <w:rPr>
                <w:sz w:val="20"/>
                <w:szCs w:val="20"/>
                <w:color w:val="auto"/>
              </w:rPr>
            </w:pPr>
            <w:r>
              <w:rPr>
                <w:rFonts w:ascii="Arial" w:cs="Arial" w:eastAsia="Arial" w:hAnsi="Arial"/>
                <w:sz w:val="16"/>
                <w:szCs w:val="16"/>
                <w:b w:val="1"/>
                <w:bCs w:val="1"/>
                <w:color w:val="auto"/>
              </w:rPr>
              <w:t>Share Repurchases</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9"/>
              </w:rPr>
              <w:t>Total Number of</w:t>
            </w:r>
          </w:p>
        </w:tc>
        <w:tc>
          <w:tcPr>
            <w:tcW w:w="160" w:type="dxa"/>
            <w:vAlign w:val="bottom"/>
          </w:tcPr>
          <w:p>
            <w:pPr>
              <w:spacing w:after="0"/>
              <w:rPr>
                <w:sz w:val="13"/>
                <w:szCs w:val="13"/>
                <w:color w:val="auto"/>
              </w:rPr>
            </w:pPr>
          </w:p>
        </w:tc>
        <w:tc>
          <w:tcPr>
            <w:tcW w:w="1640" w:type="dxa"/>
            <w:vAlign w:val="bottom"/>
          </w:tcPr>
          <w:p>
            <w:pPr>
              <w:jc w:val="right"/>
              <w:ind w:right="52"/>
              <w:spacing w:after="0" w:line="155" w:lineRule="exact"/>
              <w:rPr>
                <w:sz w:val="20"/>
                <w:szCs w:val="20"/>
                <w:color w:val="auto"/>
              </w:rPr>
            </w:pPr>
            <w:r>
              <w:rPr>
                <w:rFonts w:ascii="Arial" w:cs="Arial" w:eastAsia="Arial" w:hAnsi="Arial"/>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760" w:type="dxa"/>
            <w:vAlign w:val="bottom"/>
            <w:vMerge w:val="restart"/>
          </w:tcPr>
          <w:p>
            <w:pPr>
              <w:jc w:val="right"/>
              <w:ind w:right="176"/>
              <w:spacing w:after="0"/>
              <w:rPr>
                <w:sz w:val="20"/>
                <w:szCs w:val="20"/>
                <w:color w:val="auto"/>
              </w:rPr>
            </w:pPr>
            <w:r>
              <w:rPr>
                <w:rFonts w:ascii="Arial" w:cs="Arial" w:eastAsia="Arial" w:hAnsi="Arial"/>
                <w:sz w:val="16"/>
                <w:szCs w:val="16"/>
                <w:b w:val="1"/>
                <w:bCs w:val="1"/>
                <w:color w:val="auto"/>
              </w:rPr>
              <w:t>Total Number of</w:t>
            </w:r>
          </w:p>
        </w:tc>
        <w:tc>
          <w:tcPr>
            <w:tcW w:w="220" w:type="dxa"/>
            <w:vAlign w:val="bottom"/>
          </w:tcPr>
          <w:p>
            <w:pPr>
              <w:spacing w:after="0"/>
              <w:rPr>
                <w:sz w:val="14"/>
                <w:szCs w:val="14"/>
                <w:color w:val="auto"/>
              </w:rPr>
            </w:pPr>
          </w:p>
        </w:tc>
        <w:tc>
          <w:tcPr>
            <w:tcW w:w="1620" w:type="dxa"/>
            <w:vAlign w:val="bottom"/>
            <w:vMerge w:val="restart"/>
          </w:tcPr>
          <w:p>
            <w:pPr>
              <w:jc w:val="right"/>
              <w:ind w:right="74"/>
              <w:spacing w:after="0"/>
              <w:rPr>
                <w:sz w:val="20"/>
                <w:szCs w:val="20"/>
                <w:color w:val="auto"/>
              </w:rPr>
            </w:pPr>
            <w:r>
              <w:rPr>
                <w:rFonts w:ascii="Arial" w:cs="Arial" w:eastAsia="Arial" w:hAnsi="Arial"/>
                <w:sz w:val="16"/>
                <w:szCs w:val="16"/>
                <w:b w:val="1"/>
                <w:bCs w:val="1"/>
                <w:color w:val="auto"/>
                <w:w w:val="99"/>
              </w:rPr>
              <w:t>Average Price Paid</w:t>
            </w: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Purchased as</w:t>
            </w:r>
          </w:p>
        </w:tc>
        <w:tc>
          <w:tcPr>
            <w:tcW w:w="1800" w:type="dxa"/>
            <w:vAlign w:val="bottom"/>
            <w:gridSpan w:val="2"/>
          </w:tcPr>
          <w:p>
            <w:pPr>
              <w:ind w:left="120"/>
              <w:spacing w:after="0" w:line="162" w:lineRule="exact"/>
              <w:rPr>
                <w:sz w:val="20"/>
                <w:szCs w:val="20"/>
                <w:color w:val="auto"/>
              </w:rPr>
            </w:pPr>
            <w:r>
              <w:rPr>
                <w:rFonts w:ascii="Arial" w:cs="Arial" w:eastAsia="Arial" w:hAnsi="Arial"/>
                <w:sz w:val="16"/>
                <w:szCs w:val="16"/>
                <w:b w:val="1"/>
                <w:bCs w:val="1"/>
                <w:color w:val="auto"/>
              </w:rPr>
              <w:t>Value of Shares That</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Part of Publicly</w:t>
            </w:r>
          </w:p>
        </w:tc>
        <w:tc>
          <w:tcPr>
            <w:tcW w:w="180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May Yet Be Purchased</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7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21"/>
                <w:szCs w:val="21"/>
                <w:b w:val="1"/>
                <w:bCs w:val="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Per Share</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Announced Programs</w:t>
            </w:r>
          </w:p>
        </w:tc>
        <w:tc>
          <w:tcPr>
            <w:tcW w:w="1800" w:type="dxa"/>
            <w:vAlign w:val="bottom"/>
            <w:tcBorders>
              <w:bottom w:val="single" w:sz="8" w:color="auto"/>
            </w:tcBorders>
            <w:gridSpan w:val="2"/>
          </w:tcPr>
          <w:p>
            <w:pPr>
              <w:ind w:left="60"/>
              <w:spacing w:after="0" w:line="216" w:lineRule="exact"/>
              <w:rPr>
                <w:sz w:val="20"/>
                <w:szCs w:val="20"/>
                <w:color w:val="auto"/>
              </w:rPr>
            </w:pPr>
            <w:r>
              <w:rPr>
                <w:rFonts w:ascii="Arial" w:cs="Arial" w:eastAsia="Arial" w:hAnsi="Arial"/>
                <w:sz w:val="16"/>
                <w:szCs w:val="16"/>
                <w:b w:val="1"/>
                <w:bCs w:val="1"/>
                <w:color w:val="auto"/>
                <w:w w:val="98"/>
              </w:rPr>
              <w:t xml:space="preserve">Under the Programs </w:t>
            </w:r>
            <w:r>
              <w:rPr>
                <w:rFonts w:ascii="Arial" w:cs="Arial" w:eastAsia="Arial" w:hAnsi="Arial"/>
                <w:sz w:val="21"/>
                <w:szCs w:val="21"/>
                <w:b w:val="1"/>
                <w:bCs w:val="1"/>
                <w:color w:val="auto"/>
                <w:w w:val="98"/>
                <w:vertAlign w:val="superscript"/>
              </w:rPr>
              <w:t>(1)</w:t>
            </w:r>
          </w:p>
        </w:tc>
        <w:tc>
          <w:tcPr>
            <w:tcW w:w="0" w:type="dxa"/>
            <w:vAlign w:val="bottom"/>
          </w:tcPr>
          <w:p>
            <w:pPr>
              <w:spacing w:after="0"/>
              <w:rPr>
                <w:sz w:val="1"/>
                <w:szCs w:val="1"/>
                <w:color w:val="auto"/>
              </w:rPr>
            </w:pPr>
          </w:p>
        </w:tc>
      </w:tr>
      <w:tr>
        <w:trPr>
          <w:trHeight w:val="164"/>
        </w:trPr>
        <w:tc>
          <w:tcPr>
            <w:tcW w:w="3900" w:type="dxa"/>
            <w:vAlign w:val="bottom"/>
          </w:tcPr>
          <w:p>
            <w:pPr>
              <w:spacing w:after="0"/>
              <w:rPr>
                <w:sz w:val="14"/>
                <w:szCs w:val="14"/>
                <w:color w:val="auto"/>
              </w:rPr>
            </w:pPr>
          </w:p>
        </w:tc>
        <w:tc>
          <w:tcPr>
            <w:tcW w:w="5640" w:type="dxa"/>
            <w:vAlign w:val="bottom"/>
            <w:gridSpan w:val="5"/>
          </w:tcPr>
          <w:p>
            <w:pPr>
              <w:ind w:left="1680"/>
              <w:spacing w:after="0"/>
              <w:rPr>
                <w:sz w:val="20"/>
                <w:szCs w:val="20"/>
                <w:color w:val="auto"/>
              </w:rPr>
            </w:pPr>
            <w:r>
              <w:rPr>
                <w:rFonts w:ascii="Arial" w:cs="Arial" w:eastAsia="Arial" w:hAnsi="Arial"/>
                <w:sz w:val="13"/>
                <w:szCs w:val="13"/>
                <w:color w:val="auto"/>
                <w:w w:val="96"/>
              </w:rPr>
              <w:t>(in thousands, except number of shares and average price information)</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2024 through October 31, 2024</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8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87,421</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23,021</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November 1, 2024 through November 30, 2024</w:t>
            </w:r>
          </w:p>
        </w:tc>
        <w:tc>
          <w:tcPr>
            <w:tcW w:w="1760" w:type="dxa"/>
            <w:vAlign w:val="bottom"/>
          </w:tcPr>
          <w:p>
            <w:pPr>
              <w:jc w:val="right"/>
              <w:spacing w:after="0"/>
              <w:rPr>
                <w:sz w:val="20"/>
                <w:szCs w:val="20"/>
                <w:color w:val="auto"/>
              </w:rPr>
            </w:pPr>
            <w:r>
              <w:rPr>
                <w:rFonts w:ascii="Arial" w:cs="Arial" w:eastAsia="Arial" w:hAnsi="Arial"/>
                <w:sz w:val="18"/>
                <w:szCs w:val="18"/>
                <w:color w:val="auto"/>
              </w:rPr>
              <w:t>40,200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12.50</w:t>
            </w:r>
          </w:p>
        </w:tc>
        <w:tc>
          <w:tcPr>
            <w:tcW w:w="1880" w:type="dxa"/>
            <w:vAlign w:val="bottom"/>
          </w:tcPr>
          <w:p>
            <w:pPr>
              <w:jc w:val="right"/>
              <w:ind w:right="55"/>
              <w:spacing w:after="0"/>
              <w:rPr>
                <w:sz w:val="20"/>
                <w:szCs w:val="20"/>
                <w:color w:val="auto"/>
              </w:rPr>
            </w:pPr>
            <w:r>
              <w:rPr>
                <w:rFonts w:ascii="Arial" w:cs="Arial" w:eastAsia="Arial" w:hAnsi="Arial"/>
                <w:sz w:val="18"/>
                <w:szCs w:val="18"/>
                <w:color w:val="auto"/>
              </w:rPr>
              <w:t>40,200</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22,518</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1, 2024 through December 31, 2024</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122,842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8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122,842</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21,024</w:t>
            </w:r>
          </w:p>
        </w:tc>
        <w:tc>
          <w:tcPr>
            <w:tcW w:w="0" w:type="dxa"/>
            <w:vAlign w:val="bottom"/>
          </w:tcPr>
          <w:p>
            <w:pPr>
              <w:spacing w:after="0"/>
              <w:rPr>
                <w:sz w:val="1"/>
                <w:szCs w:val="1"/>
                <w:color w:val="auto"/>
              </w:rPr>
            </w:pPr>
          </w:p>
        </w:tc>
      </w:tr>
      <w:tr>
        <w:trPr>
          <w:trHeight w:val="232"/>
        </w:trPr>
        <w:tc>
          <w:tcPr>
            <w:tcW w:w="3900" w:type="dxa"/>
            <w:vAlign w:val="bottom"/>
          </w:tcPr>
          <w:p>
            <w:pPr>
              <w:ind w:left="20"/>
              <w:spacing w:after="0"/>
              <w:rPr>
                <w:sz w:val="20"/>
                <w:szCs w:val="20"/>
                <w:color w:val="auto"/>
              </w:rPr>
            </w:pPr>
            <w:r>
              <w:rPr>
                <w:rFonts w:ascii="Arial" w:cs="Arial" w:eastAsia="Arial" w:hAnsi="Arial"/>
                <w:sz w:val="18"/>
                <w:szCs w:val="18"/>
                <w:color w:val="auto"/>
              </w:rPr>
              <w:t>Quarter ended December 31, 2024</w:t>
            </w:r>
          </w:p>
        </w:tc>
        <w:tc>
          <w:tcPr>
            <w:tcW w:w="1760" w:type="dxa"/>
            <w:vAlign w:val="bottom"/>
          </w:tcPr>
          <w:p>
            <w:pPr>
              <w:jc w:val="right"/>
              <w:spacing w:after="0"/>
              <w:rPr>
                <w:sz w:val="20"/>
                <w:szCs w:val="20"/>
                <w:color w:val="auto"/>
              </w:rPr>
            </w:pPr>
            <w:r>
              <w:rPr>
                <w:rFonts w:ascii="Arial" w:cs="Arial" w:eastAsia="Arial" w:hAnsi="Arial"/>
                <w:sz w:val="18"/>
                <w:szCs w:val="18"/>
                <w:color w:val="auto"/>
              </w:rPr>
              <w:t>250,463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11.96</w:t>
            </w:r>
          </w:p>
        </w:tc>
        <w:tc>
          <w:tcPr>
            <w:tcW w:w="1880" w:type="dxa"/>
            <w:vAlign w:val="bottom"/>
          </w:tcPr>
          <w:p>
            <w:pPr>
              <w:jc w:val="right"/>
              <w:spacing w:after="0"/>
              <w:rPr>
                <w:sz w:val="20"/>
                <w:szCs w:val="20"/>
                <w:color w:val="auto"/>
              </w:rPr>
            </w:pPr>
            <w:r>
              <w:rPr>
                <w:rFonts w:ascii="Arial" w:cs="Arial" w:eastAsia="Arial" w:hAnsi="Arial"/>
                <w:sz w:val="18"/>
                <w:szCs w:val="18"/>
                <w:color w:val="auto"/>
              </w:rPr>
              <w:t>250,463</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21,024</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40" w:right="20" w:hanging="230"/>
        <w:spacing w:after="0" w:line="231" w:lineRule="auto"/>
        <w:tabs>
          <w:tab w:leader="none" w:pos="4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On May 3, 2022, the Board of Directors approved a share repurchase program, under which we are authorized to repurchase up to $50 million of our Class A Non-Voting common shares over a three-year period. All repurchases under this program were in open market transactions at prevailing market prices and were executed pursuant to a trading plan under Rule 10b5-1 under the Securities Exchange Act of 1934. Execution of the program will be responsive to fluctuating market conditions and valuations, liquidity needs and the expected return on investment compared to other opportunities.</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5. 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w:t>
      </w:r>
    </w:p>
    <w:p>
      <w:pPr>
        <w:spacing w:after="0" w:line="15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On December 11, 2024, Keith Robertson, then Chief Information Officer, terminated a prearranged trading plan entered into on May 23, 2024 to sell up to 89,830 shares of the Company’s Class A Non-Voting Common Stock between September 1, 2024 and December 31, 2024, and on December 12, 2024, Mr. Robertson entered into a prearranged trading plan to sell up to 89,830 shares of the Company’s Class A Non-Voting Common Stock between March 14, 2025 and June 30, 2025 pursuant to the terms of the plan. The plan is designed to satisfy the affirmative defense conditions of Rule 10b5-1(c) under the Exchange Act and comply with the Company’s policies regarding stock transactions.</w:t>
      </w:r>
    </w:p>
    <w:p>
      <w:pPr>
        <w:spacing w:after="0" w:line="13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Other than as described above, no Director or Executive Officer adopted, modified or terminated any contract, instruction, written plan or other trading arrangement relating to the purchase or sale of Company securities during the fiscal quarter ended December 31, 2024.</w:t>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6. EXHIBITS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216"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20955</wp:posOffset>
            </wp:positionV>
            <wp:extent cx="27260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6" w:lineRule="exact"/>
        <w:rPr>
          <w:sz w:val="20"/>
          <w:szCs w:val="20"/>
          <w:color w:val="auto"/>
        </w:rPr>
      </w:pPr>
    </w:p>
    <w:p>
      <w:pPr>
        <w:ind w:left="120"/>
        <w:spacing w:after="0"/>
        <w:tabs>
          <w:tab w:leader="none" w:pos="6000" w:val="left"/>
          <w:tab w:leader="none" w:pos="6780" w:val="left"/>
          <w:tab w:leader="none" w:pos="7780" w:val="left"/>
          <w:tab w:leader="none" w:pos="8900" w:val="left"/>
        </w:tabs>
        <w:rPr>
          <w:sz w:val="20"/>
          <w:szCs w:val="20"/>
          <w:color w:val="auto"/>
        </w:rPr>
      </w:pPr>
      <w:r>
        <w:rPr>
          <w:rFonts w:ascii="Arial" w:cs="Arial" w:eastAsia="Arial" w:hAnsi="Arial"/>
          <w:sz w:val="16"/>
          <w:szCs w:val="16"/>
          <w:b w:val="1"/>
          <w:bCs w:val="1"/>
          <w:color w:val="auto"/>
        </w:rPr>
        <w:t>Exhibit  Description of Exhibit</w:t>
      </w:r>
      <w:r>
        <w:rPr>
          <w:sz w:val="20"/>
          <w:szCs w:val="20"/>
          <w:color w:val="auto"/>
        </w:rPr>
        <w:tab/>
      </w:r>
      <w:r>
        <w:rPr>
          <w:rFonts w:ascii="Arial" w:cs="Arial" w:eastAsia="Arial" w:hAnsi="Arial"/>
          <w:sz w:val="16"/>
          <w:szCs w:val="16"/>
          <w:b w:val="1"/>
          <w:bCs w:val="1"/>
          <w:color w:val="auto"/>
        </w:rPr>
        <w:t>Form</w:t>
      </w:r>
      <w:r>
        <w:rPr>
          <w:sz w:val="20"/>
          <w:szCs w:val="20"/>
          <w:color w:val="auto"/>
        </w:rPr>
        <w:tab/>
      </w:r>
      <w:r>
        <w:rPr>
          <w:rFonts w:ascii="Arial" w:cs="Arial" w:eastAsia="Arial" w:hAnsi="Arial"/>
          <w:sz w:val="16"/>
          <w:szCs w:val="16"/>
          <w:b w:val="1"/>
          <w:bCs w:val="1"/>
          <w:color w:val="auto"/>
        </w:rPr>
        <w:t>File No.</w:t>
      </w:r>
      <w:r>
        <w:rPr>
          <w:sz w:val="20"/>
          <w:szCs w:val="20"/>
          <w:color w:val="auto"/>
        </w:rPr>
        <w:tab/>
      </w: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6"/>
          <w:szCs w:val="16"/>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4719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471920" cy="8255"/>
                    </a:xfrm>
                    <a:prstGeom prst="rect">
                      <a:avLst/>
                    </a:prstGeom>
                    <a:noFill/>
                  </pic:spPr>
                </pic:pic>
              </a:graphicData>
            </a:graphic>
          </wp:anchor>
        </w:drawing>
      </w:r>
    </w:p>
    <w:p>
      <w:pPr>
        <w:spacing w:after="0" w:line="60"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u w:val="single" w:color="auto"/>
          <w:color w:val="0000FF"/>
        </w:rPr>
        <w:t>Certification of Principal Executive Officer, pursuant to Rule 13a-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u w:val="single" w:color="auto"/>
          <w:color w:val="0000FF"/>
        </w:rPr>
        <w:t>14(a) under the Securities Exchange Act of 1934</w:t>
      </w:r>
    </w:p>
    <w:p>
      <w:pPr>
        <w:spacing w:after="0" w:line="10"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u w:val="single" w:color="auto"/>
          <w:color w:val="0000FF"/>
        </w:rPr>
        <w:t>Certification of Principal Financial Officer, pursuant to Rule 13a-14(a)</w:t>
      </w:r>
    </w:p>
    <w:p>
      <w:pPr>
        <w:ind w:left="800"/>
        <w:spacing w:after="0"/>
        <w:rPr>
          <w:sz w:val="20"/>
          <w:szCs w:val="20"/>
          <w:color w:val="auto"/>
        </w:rPr>
      </w:pPr>
      <w:r>
        <w:rPr>
          <w:rFonts w:ascii="Arial" w:cs="Arial" w:eastAsia="Arial" w:hAnsi="Arial"/>
          <w:sz w:val="16"/>
          <w:szCs w:val="16"/>
          <w:u w:val="single" w:color="auto"/>
          <w:color w:val="0000FF"/>
        </w:rPr>
        <w:t>under the Securities Exchange Act of 1934</w:t>
      </w:r>
    </w:p>
    <w:p>
      <w:pPr>
        <w:spacing w:after="0" w:line="16" w:lineRule="exact"/>
        <w:rPr>
          <w:sz w:val="20"/>
          <w:szCs w:val="20"/>
          <w:color w:val="auto"/>
        </w:rPr>
      </w:pPr>
    </w:p>
    <w:p>
      <w:pPr>
        <w:ind w:left="800" w:right="4240" w:hanging="604"/>
        <w:spacing w:after="0" w:line="246" w:lineRule="auto"/>
        <w:tabs>
          <w:tab w:leader="none" w:pos="78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u w:val="single" w:color="auto"/>
          <w:color w:val="0000FF"/>
        </w:rPr>
        <w:t>Certifications of Principal Executive Officer and Principal Financial Officer,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800" w:right="4280" w:hanging="694"/>
        <w:spacing w:after="0" w:line="234" w:lineRule="auto"/>
        <w:rPr>
          <w:sz w:val="20"/>
          <w:szCs w:val="20"/>
          <w:color w:val="auto"/>
        </w:rPr>
      </w:pPr>
      <w:r>
        <w:rPr>
          <w:rFonts w:ascii="Arial" w:cs="Arial" w:eastAsia="Arial" w:hAnsi="Arial"/>
          <w:sz w:val="16"/>
          <w:szCs w:val="16"/>
          <w:color w:val="auto"/>
        </w:rPr>
        <w:t>101.INS Inline XBRL Instance Document (the instance document does not appear in the interactive data files because the XBRL tags are embedded within the Inline XBRL document)</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101.SCH 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101.CAL Inline XBRL Taxonomy Extension Calculation Linkbase Document</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101.DEF 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101.LAB Inline XBRL Taxonomy Extension Labels Linkbase Document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101.PRE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Filed</w:t>
      </w:r>
    </w:p>
    <w:p>
      <w:pPr>
        <w:jc w:val="center"/>
        <w:spacing w:after="0"/>
        <w:rPr>
          <w:sz w:val="20"/>
          <w:szCs w:val="20"/>
          <w:color w:val="auto"/>
        </w:rPr>
      </w:pPr>
      <w:r>
        <w:rPr>
          <w:rFonts w:ascii="Arial" w:cs="Arial" w:eastAsia="Arial" w:hAnsi="Arial"/>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10795</wp:posOffset>
            </wp:positionV>
            <wp:extent cx="5740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sectPr>
          <w:pgSz w:w="11900" w:h="16838" w:orient="portrait"/>
          <w:cols w:equalWidth="0" w:num="2">
            <w:col w:w="9760" w:space="680"/>
            <w:col w:w="680"/>
          </w:cols>
          <w:pgMar w:left="320" w:top="130" w:right="459" w:bottom="1440" w:gutter="0" w:footer="0" w:header="0"/>
        </w:sectPr>
      </w:pPr>
    </w:p>
    <w:p>
      <w:pPr>
        <w:ind w:left="800" w:right="5440" w:hanging="542"/>
        <w:spacing w:after="0" w:line="251"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Cover Page Interactive Data File in Inline XBRL format (contained in Exhibit 101)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13" w:lineRule="exact"/>
        <w:rPr>
          <w:sz w:val="20"/>
          <w:szCs w:val="20"/>
          <w:color w:val="auto"/>
        </w:rPr>
      </w:pPr>
    </w:p>
    <w:p>
      <w:pPr>
        <w:ind w:left="800" w:right="240" w:hanging="774"/>
        <w:spacing w:after="0" w:line="264" w:lineRule="auto"/>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EZCORP, INC.</w:t>
      </w:r>
    </w:p>
    <w:p>
      <w:pPr>
        <w:spacing w:after="0" w:line="293" w:lineRule="exact"/>
        <w:rPr>
          <w:sz w:val="20"/>
          <w:szCs w:val="20"/>
          <w:color w:val="auto"/>
        </w:rPr>
      </w:pPr>
    </w:p>
    <w:p>
      <w:pPr>
        <w:ind w:left="160"/>
        <w:spacing w:after="0"/>
        <w:tabs>
          <w:tab w:leader="none" w:pos="5940" w:val="left"/>
        </w:tabs>
        <w:rPr>
          <w:sz w:val="20"/>
          <w:szCs w:val="20"/>
          <w:color w:val="auto"/>
        </w:rPr>
      </w:pPr>
      <w:r>
        <w:rPr>
          <w:rFonts w:ascii="Arial" w:cs="Arial" w:eastAsia="Arial" w:hAnsi="Arial"/>
          <w:sz w:val="18"/>
          <w:szCs w:val="18"/>
          <w:color w:val="auto"/>
        </w:rPr>
        <w:t>Date: February 5, 2025</w:t>
      </w:r>
      <w:r>
        <w:rPr>
          <w:sz w:val="20"/>
          <w:szCs w:val="20"/>
          <w:color w:val="auto"/>
        </w:rPr>
        <w:tab/>
      </w:r>
      <w:r>
        <w:rPr>
          <w:rFonts w:ascii="Arial" w:cs="Arial" w:eastAsia="Arial" w:hAnsi="Arial"/>
          <w:sz w:val="17"/>
          <w:szCs w:val="17"/>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17780</wp:posOffset>
            </wp:positionV>
            <wp:extent cx="33343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Timothy K. Jugmans,</w:t>
      </w:r>
    </w:p>
    <w:p>
      <w:pPr>
        <w:ind w:left="59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130" w:right="45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Lachlan P. Given, Chief Executive Officer,</w:t>
      </w:r>
    </w:p>
    <w:p>
      <w:pPr>
        <w:spacing w:after="0" w:line="6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Lachlan P. Given, certify that:</w:t>
      </w:r>
    </w:p>
    <w:p>
      <w:pPr>
        <w:spacing w:after="0" w:line="6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EZCORP,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00" w:hanging="320"/>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5, 2025</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17145</wp:posOffset>
            </wp:positionV>
            <wp:extent cx="36004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Lachlan P. Given</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Timothy K. Jugmans, Chief Financial Officer,</w:t>
      </w:r>
    </w:p>
    <w:p>
      <w:pPr>
        <w:spacing w:after="0" w:line="6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K. Jugmans, certify that:</w:t>
      </w:r>
    </w:p>
    <w:p>
      <w:pPr>
        <w:spacing w:after="0" w:line="6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EZCORP,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00" w:hanging="320"/>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5, 2025</w:t>
      </w:r>
    </w:p>
    <w:p>
      <w:pPr>
        <w:spacing w:after="0" w:line="200" w:lineRule="exact"/>
        <w:rPr>
          <w:sz w:val="20"/>
          <w:szCs w:val="20"/>
          <w:color w:val="auto"/>
        </w:rPr>
      </w:pPr>
    </w:p>
    <w:p>
      <w:pPr>
        <w:spacing w:after="0" w:line="2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17145</wp:posOffset>
            </wp:positionV>
            <wp:extent cx="36258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Timothy K. Jugmans</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Lachlan P. Given, Chief Executive Officer, and Timothy K. Jugmans, Chief Financial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undersigned officers of EZCORP, Inc. hereby certify that (a) EZCORP’s Quarterly Report on Form 10-Q for the quarter ended December 31, 2024,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2025</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Lachlan P. Given</w:t>
            </w:r>
          </w:p>
        </w:tc>
      </w:tr>
      <w:tr>
        <w:trPr>
          <w:trHeight w:val="218"/>
        </w:trPr>
        <w:tc>
          <w:tcPr>
            <w:tcW w:w="55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Lachlan P. Given</w:t>
            </w:r>
          </w:p>
        </w:tc>
      </w:tr>
      <w:tr>
        <w:trPr>
          <w:trHeight w:val="234"/>
        </w:trPr>
        <w:tc>
          <w:tcPr>
            <w:tcW w:w="550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69"/>
        </w:trPr>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February 5, 2025</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K. Jugmans</w:t>
            </w:r>
          </w:p>
        </w:tc>
      </w:tr>
      <w:tr>
        <w:trPr>
          <w:trHeight w:val="218"/>
        </w:trPr>
        <w:tc>
          <w:tcPr>
            <w:tcW w:w="55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K. Jugmans</w:t>
            </w:r>
          </w:p>
        </w:tc>
      </w:tr>
      <w:tr>
        <w:trPr>
          <w:trHeight w:val="234"/>
        </w:trPr>
        <w:tc>
          <w:tcPr>
            <w:tcW w:w="550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04"/>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jpeg"/><Relationship Id="rId39" Type="http://schemas.openxmlformats.org/officeDocument/2006/relationships/image" Target="media/image31.png"/><Relationship Id="rId40" Type="http://schemas.openxmlformats.org/officeDocument/2006/relationships/image" Target="media/image32.jpe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21" Type="http://schemas.openxmlformats.org/officeDocument/2006/relationships/hyperlink" Target="https://www.sec.gov/ix?doc=/Archives/edgar/data/876523/000087652323000045/ezpw-2023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2025-02-05T15:56:04Z</dcterms:created>
  <dcterms:modified xsi:type="dcterms:W3CDTF">2025-02-05T15:56:04Z</dcterms:modified>
</cp:coreProperties>
</file>