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Ashby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these shares vested on February 1, 2016, one-third of these shares will vest on September 30, 2016 and one-third of these shares will vest on September 30,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28,000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68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2020-01-19T05:51:46Z</dcterms:created>
  <dcterms:modified xsi:type="dcterms:W3CDTF">2020-01-19T05:51:46Z</dcterms:modified>
</cp:coreProperties>
</file>