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24,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March 24, 2014, the Company held its Annual Meeting of Stockholders. The following proposals were presented for voting at the meeting:</w:t>
      </w:r>
    </w:p>
    <w:p>
      <w:pPr>
        <w:spacing w:after="0" w:line="185"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To approve an amendment to Article Fourth of the Company's Amended and Restated Certificate of Incorporation to increase the number of authorized shares of Class A Non-voting Common Stock from 55,550,000 shares to 100,000,000 shares.</w:t>
      </w:r>
    </w:p>
    <w:p>
      <w:pPr>
        <w:spacing w:after="0" w:line="130" w:lineRule="exact"/>
        <w:rPr>
          <w:sz w:val="20"/>
          <w:szCs w:val="20"/>
          <w:color w:val="auto"/>
        </w:rPr>
      </w:pPr>
    </w:p>
    <w:p>
      <w:pPr>
        <w:ind w:left="1300" w:right="50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To approve an adjournment of the Annual Meeting, if necessary of appropriate, to permit solicitation of additional proxies in favor of Proposal 1.</w:t>
      </w:r>
    </w:p>
    <w:p>
      <w:pPr>
        <w:spacing w:after="0" w:line="13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the record date for the Annual Meeting (February 5, 2014), the following shares of capital stock were outstanding and entitled to vote on the proposals presented: 51,402,557 shares of the Company's Class A Non-Voting Common Stock ("Class A Shares"), and 2,970,171 shares of the Company's Class B Voting Common Stock ("Class B Shares"). Of the shares outstanding and entitled to vote, 45,344,879 Class A Shares and all of the Class B Shares were represented and voted at the meeting, either in person or by proxy. The final voting results with respect to each of the proposals presented are as follows:</w:t>
      </w:r>
    </w:p>
    <w:p>
      <w:pPr>
        <w:spacing w:after="0" w:line="272"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Class A Shares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Class B Shares</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Proposal 1</w:t>
            </w:r>
          </w:p>
        </w:tc>
        <w:tc>
          <w:tcPr>
            <w:tcW w:w="22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340" w:type="dxa"/>
            <w:vAlign w:val="bottom"/>
            <w:vMerge w:val="continue"/>
          </w:tcPr>
          <w:p>
            <w:pPr>
              <w:spacing w:after="0"/>
              <w:rPr>
                <w:sz w:val="24"/>
                <w:szCs w:val="24"/>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FOR:</w:t>
            </w:r>
          </w:p>
        </w:tc>
        <w:tc>
          <w:tcPr>
            <w:tcW w:w="1760" w:type="dxa"/>
            <w:vAlign w:val="bottom"/>
          </w:tcPr>
          <w:p>
            <w:pPr>
              <w:jc w:val="right"/>
              <w:spacing w:after="0"/>
              <w:rPr>
                <w:sz w:val="20"/>
                <w:szCs w:val="20"/>
                <w:color w:val="auto"/>
              </w:rPr>
            </w:pPr>
            <w:r>
              <w:rPr>
                <w:rFonts w:ascii="Arial" w:cs="Arial" w:eastAsia="Arial" w:hAnsi="Arial"/>
                <w:sz w:val="18"/>
                <w:szCs w:val="18"/>
                <w:color w:val="auto"/>
              </w:rPr>
              <w:t>29,298,880</w:t>
            </w: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2,970,171</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AGAINST:</w:t>
            </w:r>
          </w:p>
        </w:tc>
        <w:tc>
          <w:tcPr>
            <w:tcW w:w="1760" w:type="dxa"/>
            <w:vAlign w:val="bottom"/>
          </w:tcPr>
          <w:p>
            <w:pPr>
              <w:jc w:val="right"/>
              <w:spacing w:after="0"/>
              <w:rPr>
                <w:sz w:val="20"/>
                <w:szCs w:val="20"/>
                <w:color w:val="auto"/>
              </w:rPr>
            </w:pPr>
            <w:r>
              <w:rPr>
                <w:rFonts w:ascii="Arial" w:cs="Arial" w:eastAsia="Arial" w:hAnsi="Arial"/>
                <w:sz w:val="18"/>
                <w:szCs w:val="18"/>
                <w:color w:val="auto"/>
              </w:rPr>
              <w:t>15,965,634</w:t>
            </w: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ABSTAIN:</w:t>
            </w:r>
          </w:p>
        </w:tc>
        <w:tc>
          <w:tcPr>
            <w:tcW w:w="1760" w:type="dxa"/>
            <w:vAlign w:val="bottom"/>
          </w:tcPr>
          <w:p>
            <w:pPr>
              <w:jc w:val="right"/>
              <w:spacing w:after="0"/>
              <w:rPr>
                <w:sz w:val="20"/>
                <w:szCs w:val="20"/>
                <w:color w:val="auto"/>
              </w:rPr>
            </w:pPr>
            <w:r>
              <w:rPr>
                <w:rFonts w:ascii="Arial" w:cs="Arial" w:eastAsia="Arial" w:hAnsi="Arial"/>
                <w:sz w:val="18"/>
                <w:szCs w:val="18"/>
                <w:color w:val="auto"/>
              </w:rPr>
              <w:t>80,365</w:t>
            </w: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134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2260" w:type="dxa"/>
            <w:vAlign w:val="bottom"/>
          </w:tcPr>
          <w:p>
            <w:pPr>
              <w:ind w:left="520"/>
              <w:spacing w:after="0"/>
              <w:rPr>
                <w:sz w:val="20"/>
                <w:szCs w:val="20"/>
                <w:color w:val="auto"/>
              </w:rPr>
            </w:pPr>
            <w:r>
              <w:rPr>
                <w:rFonts w:ascii="Arial" w:cs="Arial" w:eastAsia="Arial" w:hAnsi="Arial"/>
                <w:sz w:val="18"/>
                <w:szCs w:val="18"/>
                <w:color w:val="auto"/>
              </w:rPr>
              <w:t>FOR:</w:t>
            </w:r>
          </w:p>
        </w:tc>
        <w:tc>
          <w:tcPr>
            <w:tcW w:w="1760" w:type="dxa"/>
            <w:vAlign w:val="bottom"/>
          </w:tcPr>
          <w:p>
            <w:pPr>
              <w:jc w:val="right"/>
              <w:spacing w:after="0"/>
              <w:rPr>
                <w:sz w:val="20"/>
                <w:szCs w:val="20"/>
                <w:color w:val="auto"/>
              </w:rPr>
            </w:pPr>
            <w:r>
              <w:rPr>
                <w:rFonts w:ascii="Arial" w:cs="Arial" w:eastAsia="Arial" w:hAnsi="Arial"/>
                <w:sz w:val="18"/>
                <w:szCs w:val="18"/>
                <w:color w:val="auto"/>
              </w:rPr>
              <w:t>29,963,346</w:t>
            </w: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2,970,171</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AGAINST:</w:t>
            </w:r>
          </w:p>
        </w:tc>
        <w:tc>
          <w:tcPr>
            <w:tcW w:w="1760" w:type="dxa"/>
            <w:vAlign w:val="bottom"/>
          </w:tcPr>
          <w:p>
            <w:pPr>
              <w:jc w:val="right"/>
              <w:spacing w:after="0"/>
              <w:rPr>
                <w:sz w:val="20"/>
                <w:szCs w:val="20"/>
                <w:color w:val="auto"/>
              </w:rPr>
            </w:pPr>
            <w:r>
              <w:rPr>
                <w:rFonts w:ascii="Arial" w:cs="Arial" w:eastAsia="Arial" w:hAnsi="Arial"/>
                <w:sz w:val="18"/>
                <w:szCs w:val="18"/>
                <w:color w:val="auto"/>
              </w:rPr>
              <w:t>15,331,077</w:t>
            </w: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ABSTAIN:</w:t>
            </w:r>
          </w:p>
        </w:tc>
        <w:tc>
          <w:tcPr>
            <w:tcW w:w="1760" w:type="dxa"/>
            <w:vAlign w:val="bottom"/>
          </w:tcPr>
          <w:p>
            <w:pPr>
              <w:jc w:val="right"/>
              <w:spacing w:after="0"/>
              <w:rPr>
                <w:sz w:val="20"/>
                <w:szCs w:val="20"/>
                <w:color w:val="auto"/>
              </w:rPr>
            </w:pPr>
            <w:r>
              <w:rPr>
                <w:rFonts w:ascii="Arial" w:cs="Arial" w:eastAsia="Arial" w:hAnsi="Arial"/>
                <w:sz w:val="18"/>
                <w:szCs w:val="18"/>
                <w:color w:val="auto"/>
              </w:rPr>
              <w:t>50,456</w:t>
            </w: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number of Class A Shares voted in favor of Proposal 1 constituted approximately 57% of the total number of Class A Shares outstanding as of the record date, and the number of Class A Shares voted in favor of Proposal 2 constituted approximately 66% of the total number of Class A Shares represented and voted at the meeting. This vote, combined with the vote of the Class B Shares, was sufficient to constitute approval of both Proposal 1 and Proposal 2.</w:t>
      </w:r>
    </w:p>
    <w:p>
      <w:pPr>
        <w:spacing w:after="0" w:line="10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Following the approval of Proposal 1, the Company, on March 25, 2014, filed with the Secretary of State of the State of Delaware a Certificate of Amendment to its Amended and Restated Certificate of Incorporation to increase the number of authorized Class A Shares from 55,550,000 to 100,000,000. A copy of such Certificate of Amendment is filed as Exhibit 3.1 to this report.</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as of the date of the Annual Meeting, the sole holder of the Company's Class B Shares (MS Pawn Limited Partnership) re-elected the following persons to serve on the Company's Board of Directors: Joseph J. Beal, Sterling B. Brinkley, Santiago Creel Miranda, Pablo Lagos Espinosa, William C. Love and Paul E. Rothamel. Each of such persons was previously serving on the Board of Directors, and as a result of his re-election, each shall serve an additional one-year term until the next annual meeting of stockholders (or, if earlier, until his death, removal or resignation). As previously announced, John Farrell declined to stand for re-election, and the size of the Board has been reduced to six members. The Class B Shares constitute the only class of the Company's capital stock entitled to vote on the election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Annual Meeting of Stockholders held on March 24, 2014, management discussed the Company's business and plans and initiatives for the future. A copy of the presentation materials is posted in the Investor Relations section of the Company's website at www.ezcorp.com.</w:t>
      </w:r>
    </w:p>
    <w:p>
      <w:pPr>
        <w:spacing w:after="0" w:line="13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set forth, or referred to, in this Item 7.01 shall not be deemed to be "filed" for purposes of Section 18 of the Securities Exchange Act of 1934, as amended, or otherwise subject to the liabilities of that section and shall not be incorporated by reference into any registration statement or other document pursuant to the Securities Act of 1933, as amended, unless such subsequent filing specifically references this Item 7.01 of this Current Report on Form 8-K.</w:t>
      </w:r>
    </w:p>
    <w:p>
      <w:pPr>
        <w:sectPr>
          <w:pgSz w:w="11900" w:h="16838" w:orient="portrait"/>
          <w:cols w:equalWidth="0" w:num="1">
            <w:col w:w="11400"/>
          </w:cols>
          <w:pgMar w:left="240" w:top="5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8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Certificate of Amendment, dated March 25, 2014, to the Company's Amended and Restated Certificate of Incorporation</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EZCORP, INC.</w:t>
            </w: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March 25, 2014</w:t>
            </w:r>
          </w:p>
        </w:tc>
        <w:tc>
          <w:tcPr>
            <w:tcW w:w="2280" w:type="dxa"/>
            <w:vAlign w:val="bottom"/>
          </w:tcPr>
          <w:p>
            <w:pPr>
              <w:ind w:left="1940"/>
              <w:spacing w:after="0"/>
              <w:rPr>
                <w:sz w:val="20"/>
                <w:szCs w:val="20"/>
                <w:color w:val="auto"/>
              </w:rPr>
            </w:pPr>
            <w:r>
              <w:rPr>
                <w:rFonts w:ascii="Arial" w:cs="Arial" w:eastAsia="Arial" w:hAnsi="Arial"/>
                <w:sz w:val="18"/>
                <w:szCs w:val="18"/>
                <w:color w:val="auto"/>
              </w:rPr>
              <w:t>By:</w:t>
            </w:r>
          </w:p>
        </w:tc>
        <w:tc>
          <w:tcPr>
            <w:tcW w:w="5600" w:type="dxa"/>
            <w:vAlign w:val="bottom"/>
          </w:tcPr>
          <w:p>
            <w:pPr>
              <w:ind w:left="280"/>
              <w:spacing w:after="0"/>
              <w:rPr>
                <w:sz w:val="20"/>
                <w:szCs w:val="20"/>
                <w:color w:val="auto"/>
              </w:rPr>
            </w:pPr>
            <w:r>
              <w:rPr>
                <w:rFonts w:ascii="Arial" w:cs="Arial" w:eastAsia="Arial" w:hAnsi="Arial"/>
                <w:sz w:val="18"/>
                <w:szCs w:val="18"/>
                <w:color w:val="auto"/>
              </w:rPr>
              <w:t>/s/ THOMAS H. WELCH, JR.</w:t>
            </w:r>
          </w:p>
        </w:tc>
      </w:tr>
      <w:tr>
        <w:trPr>
          <w:trHeight w:val="27"/>
        </w:trPr>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Thomas H. Welch, Jr.</w:t>
            </w:r>
          </w:p>
        </w:tc>
      </w:tr>
      <w:tr>
        <w:trPr>
          <w:trHeight w:val="270"/>
        </w:trPr>
        <w:tc>
          <w:tcPr>
            <w:tcW w:w="35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Senior Vice President,</w:t>
            </w:r>
          </w:p>
        </w:tc>
      </w:tr>
      <w:tr>
        <w:trPr>
          <w:trHeight w:val="270"/>
        </w:trPr>
        <w:tc>
          <w:tcPr>
            <w:tcW w:w="35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5"/>
          <w:szCs w:val="25"/>
          <w:b w:val="1"/>
          <w:bCs w:val="1"/>
          <w:color w:val="auto"/>
        </w:rPr>
        <w:t>CERTIFICATE OF AMENDMENT</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the</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EZCORP, INC.</w:t>
      </w:r>
    </w:p>
    <w:p>
      <w:pPr>
        <w:spacing w:after="0" w:line="3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EZCORP, Inc., a corporation organized and existing under and by virtue of the provisions of the General Corporation Law of the State of Delaware (the “Corporation”), does hereby certify as follows: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FIRST: The first paragraph of Article FOURTH of the Amended and Restated Certificate of Incorporation of the Company is hereby amended and restated in its entirety, as follows:</w:t>
      </w:r>
    </w:p>
    <w:p>
      <w:pPr>
        <w:spacing w:after="0" w:line="13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FOURTH: The total number of shares of stock which the Corporation shall have authority to issue is one hundred three million (103,000,000) shares of capital stock, classified as (i) one hundred million (100,000,000) shares of Class A Non-Voting Common Stock, par value $0.01 per share (“Class A Non-Voting Common Stock”), and (ii) three million (3,000,000) shares of Class B Voting Common Stock, par value $0.01 per share (“Class B Voting Common Stock”).</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SECOND: This Certificate of Amendment was adopted in accordance with the provisions of Section 242 of the General Corporation Law of the State of Delaware.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Corporation has caused this Certificate of Amendment to be duly executed this 25th day of March, 2014.</w:t>
      </w:r>
    </w:p>
    <w:p>
      <w:pPr>
        <w:spacing w:after="0" w:line="200" w:lineRule="exact"/>
        <w:rPr>
          <w:sz w:val="20"/>
          <w:szCs w:val="20"/>
          <w:color w:val="auto"/>
        </w:rPr>
      </w:pPr>
    </w:p>
    <w:p>
      <w:pPr>
        <w:spacing w:after="0" w:line="291"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EZCORP, INC.</w:t>
      </w:r>
    </w:p>
    <w:p>
      <w:pPr>
        <w:spacing w:after="0" w:line="391" w:lineRule="exact"/>
        <w:rPr>
          <w:sz w:val="20"/>
          <w:szCs w:val="20"/>
          <w:color w:val="auto"/>
        </w:rPr>
      </w:pPr>
    </w:p>
    <w:p>
      <w:pPr>
        <w:ind w:left="700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360"/>
      </w:cols>
      <w:pgMar w:left="240" w:top="79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2020-01-26T15:37:27Z</dcterms:created>
  <dcterms:modified xsi:type="dcterms:W3CDTF">2020-01-26T15:37:27Z</dcterms:modified>
</cp:coreProperties>
</file>