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 </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 </w:t>
      </w:r>
    </w:p>
    <w:p>
      <w:pPr>
        <w:pStyle w:val="TextBody"/>
        <w:bidi w:val="0"/>
        <w:spacing w:lineRule="auto" w:line="288" w:before="100" w:after="283"/>
        <w:jc w:val="center"/>
        <w:rPr>
          <w:rFonts w:ascii="Times New Roman;sans-serif" w:hAnsi="Times New Roman;sans-serif"/>
          <w:b/>
          <w:color w:val="000000"/>
          <w:sz w:val="28"/>
        </w:rPr>
      </w:pPr>
      <w:r>
        <w:rPr>
          <w:rFonts w:ascii="Times New Roman;sans-serif" w:hAnsi="Times New Roman;sans-serif"/>
          <w:b/>
          <w:color w:val="000000"/>
          <w:sz w:val="28"/>
        </w:rPr>
        <w:t>CURRENT REPORT</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 xml:space="preserve">Date of Report (Date of earliest event reported): November 13, 2024 </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 </w:t>
      </w:r>
    </w:p>
    <w:p>
      <w:pPr>
        <w:pStyle w:val="TextBody"/>
        <w:bidi w:val="0"/>
        <w:spacing w:lineRule="auto" w:line="288" w:before="100" w:after="283"/>
        <w:jc w:val="center"/>
        <w:rPr>
          <w:rFonts w:ascii="Times New Roman;sans-serif" w:hAnsi="Times New Roman;sans-serif"/>
          <w:b/>
          <w:color w:val="000000"/>
          <w:sz w:val="48"/>
        </w:rPr>
      </w:pPr>
      <w:r>
        <w:rPr>
          <w:rFonts w:ascii="Times New Roman;sans-serif" w:hAnsi="Times New Roman;sans-serif"/>
          <w:b/>
          <w:color w:val="000000"/>
          <w:sz w:val="48"/>
        </w:rPr>
        <w:t>EZCORP,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80" w:after="283"/>
        <w:jc w:val="center"/>
        <w:rPr>
          <w:color w:val="000000"/>
        </w:rPr>
      </w:pPr>
      <w:r>
        <w:rPr>
          <w:color w:val="000000"/>
        </w:rPr>
        <w:t> </w:t>
      </w:r>
      <w:r>
        <w:rPr>
          <w:rFonts w:ascii="Times New Roman;sans-serif" w:hAnsi="Times New Roman;sans-serif"/>
          <w:b w:val="false"/>
          <w:color w:val="000000"/>
          <w:sz w:val="20"/>
        </w:rPr>
        <w:t>_______________________________________________________ </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0-19424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74-2540145</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2500 Bee Cave Road, Bldg One, Suite 200, Rollingwood, Texas 78746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(512) 314-3400 </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471"/>
        <w:gridCol w:w="1240"/>
        <w:gridCol w:w="1251"/>
        <w:gridCol w:w="109"/>
        <w:gridCol w:w="109"/>
        <w:gridCol w:w="109"/>
        <w:gridCol w:w="516"/>
        <w:gridCol w:w="516"/>
        <w:gridCol w:w="518"/>
        <w:gridCol w:w="109"/>
        <w:gridCol w:w="109"/>
        <w:gridCol w:w="109"/>
        <w:gridCol w:w="596"/>
        <w:gridCol w:w="540"/>
        <w:gridCol w:w="540"/>
        <w:gridCol w:w="733"/>
        <w:gridCol w:w="663"/>
        <w:gridCol w:w="967"/>
      </w:tblGrid>
      <w:tr>
        <w:trPr/>
        <w:tc>
          <w:tcPr>
            <w:tcW w:w="147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 A Non-voting 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EZPW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NASDAQ Stock Market</w:t>
            </w:r>
          </w:p>
        </w:tc>
        <w:tc>
          <w:tcPr>
            <w:tcW w:w="2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6"/>
              </w:rPr>
              <w:t>(NASDAQ Global Select Market)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35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2.02 — Results of Operations and Financial Condition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13, 2024, EZCORP, Inc. (“EZCORP”) issued a press release announcing its results of operations and financial condition for the full year and quarter ended September 30, 2024. A copy of that press release is attached as Exhibit 99.1.</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financial information prepared in conformity with U.S. generally accepted accounting principles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7.01 — Regulation FD Disclosure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copy of the presentation materials that management will review during the Company’s earnings conference call (to be held on November 14, 2024) will be posted in the Investor Relations section of the company’s website at www.ezcorp.com.</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 Financial Statements and Exhibits</w:t>
      </w:r>
    </w:p>
    <w:tbl>
      <w:tblPr>
        <w:tblW w:w="1231" w:type="dxa"/>
        <w:jc w:val="left"/>
        <w:tblInd w:w="0" w:type="dxa"/>
        <w:tblLayout w:type="fixed"/>
        <w:tblCellMar>
          <w:top w:w="28" w:type="dxa"/>
          <w:left w:w="28" w:type="dxa"/>
          <w:bottom w:w="28" w:type="dxa"/>
          <w:right w:w="28" w:type="dxa"/>
        </w:tblCellMar>
      </w:tblPr>
      <w:tblGrid>
        <w:gridCol w:w="125"/>
        <w:gridCol w:w="110"/>
        <w:gridCol w:w="110"/>
        <w:gridCol w:w="259"/>
        <w:gridCol w:w="259"/>
        <w:gridCol w:w="368"/>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174"/>
        <w:gridCol w:w="153"/>
        <w:gridCol w:w="154"/>
        <w:gridCol w:w="2850"/>
        <w:gridCol w:w="2838"/>
        <w:gridCol w:w="403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403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q4pressreleaseex991.htm">
              <w:r>
                <w:rPr>
                  <w:rStyle w:val="InternetLink"/>
                  <w:rFonts w:ascii="Times New Roman;sans-serif" w:hAnsi="Times New Roman;sans-serif"/>
                  <w:b w:val="false"/>
                  <w:color w:val="0000FF"/>
                  <w:sz w:val="20"/>
                  <w:u w:val="single"/>
                </w:rPr>
                <w:t>Press Release, dated November 13, 2024, announcing EZCORP, Inc.’s results of operations and financial condition for the period ended September 30, 2024.</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184"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109"/>
        <w:gridCol w:w="109"/>
        <w:gridCol w:w="109"/>
        <w:gridCol w:w="109"/>
        <w:gridCol w:w="109"/>
        <w:gridCol w:w="109"/>
        <w:gridCol w:w="109"/>
        <w:gridCol w:w="109"/>
        <w:gridCol w:w="109"/>
        <w:gridCol w:w="145"/>
        <w:gridCol w:w="145"/>
        <w:gridCol w:w="145"/>
        <w:gridCol w:w="145"/>
        <w:gridCol w:w="145"/>
        <w:gridCol w:w="145"/>
        <w:gridCol w:w="604"/>
        <w:gridCol w:w="604"/>
        <w:gridCol w:w="8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EZCORP,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13,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K. Jugmans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K. Jugmans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jc w:val="center"/>
        <w:rPr/>
      </w:pPr>
      <w:r>
        <w:rPr/>
        <w:drawing>
          <wp:inline distT="0" distB="0" distL="0" distR="0">
            <wp:extent cx="2228850" cy="3905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p>
    <w:p>
      <w:pPr>
        <w:pStyle w:val="TextBody"/>
        <w:bidi w:val="0"/>
        <w:spacing w:lineRule="auto" w:line="288" w:before="180" w:after="283"/>
        <w:jc w:val="center"/>
        <w:rPr>
          <w:rFonts w:ascii="Arial Narrow;sans-serif" w:hAnsi="Arial Narrow;sans-serif"/>
          <w:b/>
          <w:color w:val="000000"/>
          <w:sz w:val="28"/>
        </w:rPr>
      </w:pPr>
      <w:r>
        <w:rPr>
          <w:rFonts w:ascii="Arial Narrow;sans-serif" w:hAnsi="Arial Narrow;sans-serif"/>
          <w:b/>
          <w:color w:val="000000"/>
          <w:sz w:val="28"/>
        </w:rPr>
        <w:t>EZCORP Reports Fourth Quarter and Full Year Fiscal 2024 Results</w:t>
      </w:r>
    </w:p>
    <w:p>
      <w:pPr>
        <w:pStyle w:val="TextBody"/>
        <w:bidi w:val="0"/>
        <w:spacing w:lineRule="auto" w:line="276" w:before="0" w:after="0"/>
        <w:jc w:val="center"/>
        <w:rPr>
          <w:rFonts w:ascii="Arial Narrow;sans-serif" w:hAnsi="Arial Narrow;sans-serif"/>
          <w:b/>
          <w:color w:val="000000"/>
          <w:sz w:val="20"/>
        </w:rPr>
      </w:pPr>
      <w:r>
        <w:rPr>
          <w:rFonts w:ascii="Arial Narrow;sans-serif" w:hAnsi="Arial Narrow;sans-serif"/>
          <w:b/>
          <w:color w:val="000000"/>
          <w:sz w:val="20"/>
        </w:rPr>
        <w:t>Record Q4 and Full Year Revenue &amp; PLO</w:t>
      </w:r>
    </w:p>
    <w:p>
      <w:pPr>
        <w:pStyle w:val="TextBody"/>
        <w:bidi w:val="0"/>
        <w:spacing w:lineRule="auto" w:line="288" w:before="240" w:after="283"/>
        <w:jc w:val="left"/>
        <w:rPr/>
      </w:pPr>
      <w:r>
        <w:rPr>
          <w:rFonts w:ascii="Arial Narrow;sans-serif" w:hAnsi="Arial Narrow;sans-serif"/>
          <w:b/>
          <w:color w:val="000000"/>
          <w:sz w:val="20"/>
        </w:rPr>
        <w:t xml:space="preserve">Austin, Texas (November 13, 2024) — </w:t>
      </w:r>
      <w:r>
        <w:rPr>
          <w:rFonts w:ascii="Arial Narrow;sans-serif" w:hAnsi="Arial Narrow;sans-serif"/>
          <w:b w:val="false"/>
          <w:color w:val="000000"/>
          <w:sz w:val="20"/>
        </w:rPr>
        <w:t>EZCORP, Inc. (NASDAQ: EZPW), a leading provider of pawn transactions in the United States and Latin America, today announced results for its fourth quarter and full year ended September 30, 2024.</w:t>
      </w:r>
    </w:p>
    <w:p>
      <w:pPr>
        <w:pStyle w:val="TextBody"/>
        <w:bidi w:val="0"/>
        <w:spacing w:lineRule="auto" w:line="288" w:before="180" w:after="283"/>
        <w:jc w:val="left"/>
        <w:rPr>
          <w:rFonts w:ascii="Arial Narrow;sans-serif" w:hAnsi="Arial Narrow;sans-serif"/>
          <w:b w:val="false"/>
          <w:i/>
          <w:color w:val="000000"/>
          <w:sz w:val="18"/>
        </w:rPr>
      </w:pPr>
      <w:r>
        <w:rPr>
          <w:rFonts w:ascii="Arial Narrow;sans-serif" w:hAnsi="Arial Narrow;sans-serif"/>
          <w:b w:val="false"/>
          <w:i/>
          <w:color w:val="000000"/>
          <w:sz w:val="18"/>
        </w:rPr>
        <w:t>Unless otherwise noted, all amounts in this release are in conformity with U.S. generally accepted accounting principles (“GAAP”) and comparisons shown are to the same period in the prior year.</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FOURTH QUARTER HIGHLIGHTS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Pawn loans outstanding (PLO) up 12% to $274.1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income was up $4.9 million to $15.2 million. On an adjusted basis</w:t>
      </w:r>
      <w:r>
        <w:rPr>
          <w:rFonts w:ascii="Arial Narrow;sans-serif" w:hAnsi="Arial Narrow;sans-serif"/>
          <w:b w:val="false"/>
          <w:color w:val="000000"/>
          <w:sz w:val="13"/>
        </w:rPr>
        <w:t>1</w:t>
      </w:r>
      <w:r>
        <w:rPr>
          <w:rFonts w:ascii="Arial Narrow;sans-serif" w:hAnsi="Arial Narrow;sans-serif"/>
          <w:b w:val="false"/>
          <w:color w:val="000000"/>
          <w:sz w:val="20"/>
        </w:rPr>
        <w:t>, net income increased 9%.</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Diluted earnings per share was $0.21, up from $0.15. On an adjusted basis</w:t>
      </w:r>
      <w:r>
        <w:rPr>
          <w:rFonts w:ascii="Arial Narrow;sans-serif" w:hAnsi="Arial Narrow;sans-serif"/>
          <w:b w:val="false"/>
          <w:color w:val="000000"/>
          <w:sz w:val="13"/>
        </w:rPr>
        <w:t>1</w:t>
      </w:r>
      <w:r>
        <w:rPr>
          <w:rFonts w:ascii="Arial Narrow;sans-serif" w:hAnsi="Arial Narrow;sans-serif"/>
          <w:b w:val="false"/>
          <w:color w:val="000000"/>
          <w:sz w:val="20"/>
        </w:rPr>
        <w:t>, diluted earnings per share increased 13% to $0.26.</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revenues increased 9% to $294.6 million, while gross profit</w:t>
      </w:r>
      <w:r>
        <w:rPr>
          <w:rFonts w:ascii="Arial Narrow;sans-serif" w:hAnsi="Arial Narrow;sans-serif"/>
          <w:b w:val="false"/>
          <w:color w:val="000000"/>
          <w:sz w:val="13"/>
        </w:rPr>
        <w:t>1</w:t>
      </w:r>
      <w:r>
        <w:rPr>
          <w:color w:val="000000"/>
        </w:rPr>
        <w:t xml:space="preserve"> </w:t>
      </w:r>
      <w:r>
        <w:rPr>
          <w:rFonts w:ascii="Arial Narrow;sans-serif" w:hAnsi="Arial Narrow;sans-serif"/>
          <w:b w:val="false"/>
          <w:color w:val="000000"/>
          <w:sz w:val="20"/>
        </w:rPr>
        <w:t>increased 10% to $175.4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Merchandise sales gross margin remained within the Company’s targeted range at 35%.</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Return on earning assets (ROEA) remained strong at 154%.</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FULL YEAR 2024 HIGHLIGHTS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income was $83.1 million, an increase of $44.6 million. On an adjusted basis</w:t>
      </w:r>
      <w:r>
        <w:rPr>
          <w:rFonts w:ascii="Arial Narrow;sans-serif" w:hAnsi="Arial Narrow;sans-serif"/>
          <w:b w:val="false"/>
          <w:color w:val="000000"/>
          <w:sz w:val="13"/>
        </w:rPr>
        <w:t>1</w:t>
      </w:r>
      <w:r>
        <w:rPr>
          <w:rFonts w:ascii="Arial Narrow;sans-serif" w:hAnsi="Arial Narrow;sans-serif"/>
          <w:b w:val="false"/>
          <w:color w:val="000000"/>
          <w:sz w:val="20"/>
        </w:rPr>
        <w:t>, net income increased 20%.</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Diluted earnings per share was $1.10, up from $0.53. On an adjusted basis</w:t>
      </w:r>
      <w:r>
        <w:rPr>
          <w:rFonts w:ascii="Arial Narrow;sans-serif" w:hAnsi="Arial Narrow;sans-serif"/>
          <w:b w:val="false"/>
          <w:color w:val="000000"/>
          <w:sz w:val="13"/>
        </w:rPr>
        <w:t>1</w:t>
      </w:r>
      <w:r>
        <w:rPr>
          <w:rFonts w:ascii="Arial Narrow;sans-serif" w:hAnsi="Arial Narrow;sans-serif"/>
          <w:b w:val="false"/>
          <w:color w:val="000000"/>
          <w:sz w:val="20"/>
        </w:rPr>
        <w:t>, diluted earnings per share increased 20% to $1.12.</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revenues increased 11% to $1,161.6 million, while gross profit</w:t>
      </w:r>
      <w:r>
        <w:rPr>
          <w:rFonts w:ascii="Arial Narrow;sans-serif" w:hAnsi="Arial Narrow;sans-serif"/>
          <w:b w:val="false"/>
          <w:color w:val="000000"/>
          <w:sz w:val="13"/>
        </w:rPr>
        <w:t>1</w:t>
      </w:r>
      <w:r>
        <w:rPr>
          <w:color w:val="000000"/>
        </w:rPr>
        <w:t xml:space="preserve"> </w:t>
      </w:r>
      <w:r>
        <w:rPr>
          <w:rFonts w:ascii="Arial Narrow;sans-serif" w:hAnsi="Arial Narrow;sans-serif"/>
          <w:b w:val="false"/>
          <w:color w:val="000000"/>
          <w:sz w:val="20"/>
        </w:rPr>
        <w:t>increased 12% to $682.3 million.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Merchandise sales gross margin remained within the Company’s targeted range at 36%.</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Return on earning assets (ROEA) remained strong at 160%.</w:t>
      </w:r>
    </w:p>
    <w:p>
      <w:pPr>
        <w:pStyle w:val="TextBody"/>
        <w:bidi w:val="0"/>
        <w:spacing w:lineRule="auto" w:line="288" w:before="180" w:after="180"/>
        <w:jc w:val="left"/>
        <w:rPr>
          <w:rFonts w:ascii="Arial Narrow;sans-serif" w:hAnsi="Arial Narrow;sans-serif"/>
          <w:b/>
          <w:color w:val="000000"/>
          <w:sz w:val="20"/>
        </w:rPr>
      </w:pPr>
      <w:r>
        <w:rPr>
          <w:rFonts w:ascii="Arial Narrow;sans-serif" w:hAnsi="Arial Narrow;sans-serif"/>
          <w:b/>
          <w:color w:val="000000"/>
          <w:sz w:val="20"/>
        </w:rPr>
        <w:t xml:space="preserve">CEO COMMENTARY AND OUTLOOK </w:t>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Lachie Given, Chief Executive Officer, stated, “Fiscal 2024 has been another record breaking year for our Company as we achieved the highest annual revenues in our history. We also drove material growth on the bottom line, with adjusted EBITDA increasing 15% to over $150 million and adjusted diluted EPS increasing 20% to $1.12. This exceptional performance is a testament to our 8,000+ team members, whose dedication to delivering market-leading customer service has driven these outstanding operating and financial results. We continue to see strong consumer demand for immediate cash solutions and high-quality, cost-effective second-hand goods, fueled by what continues to be a challenging macroeconomic environment. Customer participation in our EZ+ Rewards program continues to flourish, with 44% growth year over year, representing 76% of unique transactions during the quarter. Our online payments also increased 34% year over year, further reflecting robust customer engagement across our platforms.</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 Narrow;sans-serif" w:hAnsi="Arial Narrow;sans-serif"/>
          <w:b w:val="false"/>
          <w:color w:val="000000"/>
          <w:sz w:val="20"/>
        </w:rPr>
        <w:t xml:space="preserve">During the quarter, we grew our footprint by adding 21 stores, including one acquired store in the U.S. and 20 de novo stores in Latin America. We continue to focus on strategic expansion and our fiscal 2024 results reflect the resurgence of our Latin American business, with adjusted segment contribution increasing 41% to $38.2 million. We now operate 1,279 stores across five countries. We remain excited by our inorganic pipeline and the scale of pawn opportunity in both our existing markets and globally. </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Arial Narrow;sans-serif" w:hAnsi="Arial Narrow;sans-serif"/>
          <w:b w:val="false"/>
          <w:color w:val="000000"/>
          <w:sz w:val="20"/>
        </w:rPr>
        <w:t xml:space="preserve">As we enter the new fiscal year, we are fully committed to our core values of People, Pawn, and Passion. We will continue to invest in our people, technology, and store network to drive sustainable growth and enhance operational efficiency, and we are well-positioned to build upon our momentum and capitalize on new growth opportunities as we deliver long-term value for our shareholders,” concluded Given.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CONSOLIDATED RESULTS</w:t>
      </w:r>
    </w:p>
    <w:tbl>
      <w:tblPr>
        <w:tblW w:w="6720" w:type="dxa"/>
        <w:jc w:val="left"/>
        <w:tblInd w:w="0" w:type="dxa"/>
        <w:tblLayout w:type="fixed"/>
        <w:tblCellMar>
          <w:top w:w="28" w:type="dxa"/>
          <w:left w:w="28" w:type="dxa"/>
          <w:bottom w:w="28" w:type="dxa"/>
          <w:right w:w="28" w:type="dxa"/>
        </w:tblCellMar>
      </w:tblPr>
      <w:tblGrid>
        <w:gridCol w:w="922"/>
        <w:gridCol w:w="811"/>
        <w:gridCol w:w="817"/>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 Narrow;sans-serif" w:hAnsi="Arial Narrow;sans-serif"/>
                <w:b/>
                <w:color w:val="000000"/>
                <w:sz w:val="18"/>
              </w:rPr>
            </w:pPr>
            <w:r>
              <w:rPr>
                <w:rFonts w:ascii="Arial Narrow;sans-serif" w:hAnsi="Arial Narrow;sans-serif"/>
                <w:b/>
                <w:color w:val="000000"/>
                <w:sz w:val="18"/>
              </w:rPr>
              <w:t>Three Months Ended September 30</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8"/>
              </w:rPr>
              <w:t>Adjusted</w:t>
            </w:r>
            <w:r>
              <w:rPr>
                <w:rFonts w:ascii="Arial Narrow;sans-serif" w:hAnsi="Arial Narrow;sans-serif"/>
                <w:b/>
                <w:color w:val="000000"/>
                <w:sz w:val="12"/>
              </w:rPr>
              <w:t>1</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in millions, except per share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tax</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Diluted earnings per share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 (non-GAAP measure)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289" w:type="dxa"/>
        <w:jc w:val="left"/>
        <w:tblInd w:w="0" w:type="dxa"/>
        <w:tblLayout w:type="fixed"/>
        <w:tblCellMar>
          <w:top w:w="28" w:type="dxa"/>
          <w:left w:w="28" w:type="dxa"/>
          <w:bottom w:w="28" w:type="dxa"/>
          <w:right w:w="28" w:type="dxa"/>
        </w:tblCellMar>
      </w:tblPr>
      <w:tblGrid>
        <w:gridCol w:w="955"/>
        <w:gridCol w:w="839"/>
        <w:gridCol w:w="845"/>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81"/>
        <w:gridCol w:w="616"/>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Twelve Months Ended September 30</w:t>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18"/>
              </w:rPr>
              <w:t>Adjusted</w:t>
            </w:r>
            <w:r>
              <w:rPr>
                <w:rFonts w:ascii="Arial Narrow;sans-serif" w:hAnsi="Arial Narrow;sans-serif"/>
                <w:b/>
                <w:color w:val="000000"/>
                <w:sz w:val="12"/>
              </w:rPr>
              <w:t>1</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in millions, except per share amounts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tax</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Diluted earnings per share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PLO increased 12% to $274.1 million, up $28.3 million. On a same-store basis, PLO increased 11% due to improved operational performance and continued strong pawn demand.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In the fourth quarter, total revenues increased 9%, and gross profit increased 10%, reflecting improved pawn service charge (PSC) revenues and merchandise sales as a result of higher average PLO. Similarly for the full year, total revenues increased 11% and gross profit increased 12%.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10% in the fourth quarter and 14% for the full year as a result of higher average PLO.</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For the fourth quarter, merchandise sales gross margin remains within our target range at 35%, down from 36%. Aged general merchandise was 1.7% of total general merchandise inventory, a 150 bps improvement over the third quarter. For the full year, merchandise sales gross profit margin was flat at 36%.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 Narrow;sans-serif" w:hAnsi="Arial Narrow;sans-serif"/>
          <w:b w:val="false"/>
          <w:color w:val="000000"/>
          <w:sz w:val="20"/>
        </w:rPr>
        <w:t>Net inventory increased 15%, as expected with the growth in PLO. Inventory turnover decreased to 2.6x for the quarter, from</w:t>
      </w:r>
      <w:r>
        <w:rPr>
          <w:color w:val="000000"/>
        </w:rPr>
        <w:t xml:space="preserve"> </w:t>
      </w:r>
      <w:r>
        <w:rPr>
          <w:rFonts w:ascii="Arial Narrow;sans-serif" w:hAnsi="Arial Narrow;sans-serif"/>
          <w:b w:val="false"/>
          <w:color w:val="000000"/>
          <w:sz w:val="20"/>
        </w:rPr>
        <w:t>2.7x</w:t>
      </w:r>
      <w:r>
        <w:rPr>
          <w:color w:val="000000"/>
        </w:rPr>
        <w:t xml:space="preserve"> </w:t>
      </w:r>
      <w:r>
        <w:rPr>
          <w:rFonts w:ascii="Arial Narrow;sans-serif" w:hAnsi="Arial Narrow;sans-serif"/>
          <w:b w:val="false"/>
          <w:color w:val="000000"/>
          <w:sz w:val="20"/>
        </w:rPr>
        <w:t xml:space="preserve">and was flat at 2.8x for the year.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For the fourth quarter, store expenses increased 7% and 5% on a same-store basis. For the full year, store expenses increased 10% and 9% on a same-store basis, primarily due to increased labor driven by inflationary and minimum wage increases, and, to a lesser extent, expenses related to rent.</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General and administrative expenses increased 11% in the fourth quarter and increased 12% for the full year, primarily due to labor including incentive compensation and, to a lesser extent, costs related to the implementation and ongoing support of Workday.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For the fourth quarter, income before taxes was $26.3 million, up 100% from $13.1 million, and adjusted EBITDA increased 15% to $36.7 million. For the full year, income before taxes increased by 124% to $115.6 million from $51.6 million and adjusted EBITDA increased 15% to $150.8 million.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Diluted earnings per share was $0.21 for the fourth quarter, up from $0.15. On an adjusted basis, diluted earnings per share was $0.26, up from $0.23. For the full year, diluted earnings per share was $1.10, compared to $0.53. On an adjusted basis, diluted earnings per share for the year was $1.12, compared to $0.93. The primary difference between GAAP and adjusted financial results for the prior year is attributable to our share of the one-time, non-cash goodwill impairment recognized by Cash Converters International.</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Cash and cash equivalents at the end of the quarter was $170.5 million, down 23% year-over-year. The decrease was due to the 2024 convertible debt maturity and payoff, an increase in PLO and inventory, strategic investments and acquisitions, and share repurchases, partially offset by cash from operating activities.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SEGMENT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U.S. Pawn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PLO ended the year at $214.3 million, up 12% on a total and same-store basis.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In the fourth quarter, total revenues increased 9% and gross profit increased 10%, reflecting higher PSC and merchandise sales. Similarly for the full year, total revenues increased 10% and gross profit increased 10%.</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10% in the fourth quarter and increased 13% for the full year as a result of higher average PLO.</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During the fourth quarter, merchandise sales increased 7%, and gross margin decreased to 37% from 38%. For the full year, merchandise sales increased 6% and merchandise sales gross profit margin decreased 100 bps to 37%.</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inventory increased 8%, as expected with the growth in PLO. Inventory turnover increased to 2.5x for the quarter, from 2.4x</w:t>
      </w:r>
      <w:r>
        <w:rPr>
          <w:color w:val="000000"/>
        </w:rPr>
        <w:t xml:space="preserve"> </w:t>
      </w:r>
      <w:r>
        <w:rPr>
          <w:rFonts w:ascii="Arial Narrow;sans-serif" w:hAnsi="Arial Narrow;sans-serif"/>
          <w:b w:val="false"/>
          <w:color w:val="000000"/>
          <w:sz w:val="20"/>
        </w:rPr>
        <w:t>and was flat at 2.6x for the full year. Aged general merchandise increased to 2.6%, or $1.2 million of total general merchandise inventory. Compared to the third quarter, this has decreased by 240 bps. Excluding luxury handbags in our three Max Pawn stores in Las Vegas, aged general merchandise remains under 1%.</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In the fourth quarter, store expenses increased 10% (7% on a same-store basis), primarily due to labor costs driven by inflation. Similarly for the full year, store expenses increased 9% (8%</w:t>
      </w:r>
      <w:r>
        <w:rPr>
          <w:color w:val="000000"/>
        </w:rPr>
        <w:t xml:space="preserve"> </w:t>
      </w:r>
      <w:r>
        <w:rPr>
          <w:rFonts w:ascii="Arial Narrow;sans-serif" w:hAnsi="Arial Narrow;sans-serif"/>
          <w:b w:val="false"/>
          <w:color w:val="000000"/>
          <w:sz w:val="20"/>
        </w:rPr>
        <w:t>on a same store basis).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contribution increased 10% to $41.0 million in the fourth quarter and increased 13% to $165.3 million for the full year.</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store count increased by 13 to 542 due to the acquisition of 13 stores, the addition of one de novo store and the consolidation of one store during the full year.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Latin America Pawn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PLO improved to $59.8 million, up 8% (18% on constant currency basis). On a same-store basis, PLO increased 7% (16% on a constant currency basis) due to improved operational performance and increased loan demand.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In the fourth quarter, total revenues were up 9% (17% on constant currency basis), and gross profit increased 11% (20% on a constant currency basis), reflecting increased PSC, higher merchandise sales and improved merchandise sales gross profit. Similarly for the full year, total revenues were up 13% (11% on a constant currency basis), while gross profit increased by 18% (15% on a constant currency basis).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PSC increased in the fourth quarter to $29.2 million, up 11% (19% on a constant currency basis) as a result of higher average PLO. Similarly for the full year, PSC increased 17% (14% on a constant currency basis).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During the fourth quarter merchandise sales increased 6% and merchandise sales gross margin increased to 32% from 30%. For the full year merchandise sales increased 12% and merchandise gross margin increased 100 bps to 32%.</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inventory increased 42% (56% on a constant currency basis) due to increase in PLO, increase in store count and lower inventory turnover. Inventory turnover decreased to 2.8x, from 3.6x for the quarter. For the full year inventory turnover was 3.3x, down from 3.4x. Aged general merchandise remains less than 1% of total general merchandise inventory.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In the fourth quarter, store expenses increased 1% (10% on a constant currency basis) and on a same-store basis decreased 1% (7% increase on a constant currency basis). Full year store expenses increased 13% (11% on a constant currency basis) and 12%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(9% on a constant currency basis) on a same-store basis primarily due to increased labor headcount, in line with store activity and minimum wage increases and, to a lesser extent, rent associated with lease renewals.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For the fourth quarter, segment contribution increased 59% (68% on a constant currency basis). For the full year, segment contribution was up 23% to $38.8 million (21% on a constant currency basis). On an adjusted basis, segment contribution for the fourth quarter was up 63% to $10.7 million and for the full year was up 41% to $38.2 million, with the primary prior year adjustment being the reversal of contingent consideration liability in connection with a previously completed acquisition.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Segment store count increased by 35 to 737 due to the addition of 40</w:t>
      </w:r>
      <w:r>
        <w:rPr>
          <w:color w:val="000000"/>
        </w:rPr>
        <w:t xml:space="preserve"> </w:t>
      </w:r>
      <w:r>
        <w:rPr>
          <w:rFonts w:ascii="Arial Narrow;sans-serif" w:hAnsi="Arial Narrow;sans-serif"/>
          <w:b w:val="false"/>
          <w:color w:val="000000"/>
          <w:sz w:val="20"/>
        </w:rPr>
        <w:t>de novo stores and the consolidation of five stores during the full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FORM 10-K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EZCORP’s Annual Report on Form 10-K for the quarter ended September 30, 2024 has been filed with the Securities and Exchange Commission. The report is available in the Investor Relations section of the Company’s website at http://investors.ezcorp.com. EZCORP shareholders may obtain a paper copy of the report, free of charge, by sending a request to the investor relations contact below.</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CONFERENCE CALL</w:t>
      </w:r>
    </w:p>
    <w:p>
      <w:pPr>
        <w:pStyle w:val="TextBody"/>
        <w:bidi w:val="0"/>
        <w:spacing w:lineRule="auto" w:line="256" w:before="0" w:after="0"/>
        <w:jc w:val="left"/>
        <w:rPr>
          <w:rFonts w:ascii="Arial Narrow;sans-serif" w:hAnsi="Arial Narrow;sans-serif"/>
          <w:b w:val="false"/>
          <w:color w:val="000000"/>
          <w:sz w:val="20"/>
        </w:rPr>
      </w:pPr>
      <w:r>
        <w:rPr>
          <w:rFonts w:ascii="Arial Narrow;sans-serif" w:hAnsi="Arial Narrow;sans-serif"/>
          <w:b w:val="false"/>
          <w:color w:val="000000"/>
          <w:sz w:val="20"/>
        </w:rPr>
        <w:t>EZCORP will host a conference call on Thursday, November 14, 2024, at 8:00 am Central Time to discuss Fourth Quarter Fiscal 2024 results. Analysts and institutional investors may participate on the conference call by registering online at https://register.vevent.com/register/BIb6e94245691f418883c1cb2385ac8ab7. Once registered you will receive the dial-in details with a unique PIN to join the call. The conference call will be webcast simultaneously to the public through this link: http://investors.ezcorp.com. A replay of the conference call will be available online at http://investors.ezcorp.com shortly after the end of the call.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ABOUT EZCORP</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Formed in 1989, EZCORP has grown into a leading provider of pawn transactions in the United States and Latin America. We also sell pre-owned and recycled merchandise, primarily collateral forfeited from pawn lending operations and merchandise purchased from customers. We are dedicated to satisfying the short-term cash needs of consumers who are both cash and credit constrained, focusing on an industry-leading customer experience. EZCORP is traded on NASDAQ under the symbol EZPW and is a member of the S&amp;P 1000 Index and Nasdaq Composite Index.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Follow us on social media:</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Facebook EZPAWN Official https://www.facebook.com/EZPAWN/</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EZCORP Instagram Official https://www.instagram.com/ezcorp_official/</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EZPAWN Instagram Official https://www.instagram.com/ezpawnofficial/</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EZCORP LinkedIn https://www.linkedin.com/company/ezcorp/</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FORWARD LOOKING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Contact:</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Email: Investor_Relations@ezcorp.com</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Phone: (512) 314-2220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238250"/>
                <wp:effectExtent l="0" t="0" r="0" b="0"/>
                <wp:wrapNone/>
                <wp:docPr id="7" name="Frame6"/>
                <a:graphic xmlns:a="http://schemas.openxmlformats.org/drawingml/2006/main">
                  <a:graphicData uri="http://schemas.microsoft.com/office/word/2010/wordprocessingShape">
                    <wps:wsp>
                      <wps:cNvSpPr txBox="1"/>
                      <wps:spPr>
                        <a:xfrm>
                          <a:off x="0" y="0"/>
                          <a:ext cx="6480175" cy="1238250"/>
                        </a:xfrm>
                        <a:prstGeom prst="rect"/>
                        <a:solidFill>
                          <a:srgbClr val="FFFFFF"/>
                        </a:solidFill>
                      </wps:spPr>
                      <wps:txbx>
                        <w:txbxContent>
                          <w:p>
                            <w:pPr>
                              <w:pStyle w:val="TextBody"/>
                              <w:bidi w:val="0"/>
                              <w:spacing w:lineRule="auto" w:line="288" w:before="180" w:after="283"/>
                              <w:jc w:val="left"/>
                              <w:rPr/>
                            </w:pPr>
                            <w:r>
                              <w:rPr>
                                <w:rFonts w:ascii="Times New Roman;sans-serif" w:hAnsi="Times New Roman;sans-serif"/>
                                <w:b w:val="false"/>
                                <w:i/>
                                <w:color w:val="000000"/>
                                <w:sz w:val="16"/>
                              </w:rPr>
                              <w:t>Note: Percentages are calculated from the underlying numbers in thousands and, as a result, may not agree to the percentages calculated from numbers in millions.</w:t>
                              <w:br/>
                            </w:r>
                            <w:r>
                              <w:rPr>
                                <w:rFonts w:ascii="Times New Roman;sans-serif" w:hAnsi="Times New Roman;sans-serif"/>
                                <w:b w:val="false"/>
                                <w:i/>
                                <w:color w:val="000000"/>
                                <w:sz w:val="10"/>
                              </w:rPr>
                              <w:t>1</w:t>
                            </w:r>
                            <w:r>
                              <w:rPr>
                                <w:color w:val="000000"/>
                              </w:rPr>
                              <w:t>“</w:t>
                            </w:r>
                            <w:r>
                              <w:rPr>
                                <w:rFonts w:ascii="Times New Roman;sans-serif" w:hAnsi="Times New Roman;sans-serif"/>
                                <w:b w:val="false"/>
                                <w:i/>
                                <w:color w:val="000000"/>
                                <w:sz w:val="16"/>
                              </w:rPr>
                              <w:t>Adjusted” basis, which is a non-GAAP measure, excludes certain items. “Constant currency” basis, which is a non-GAAP measure, excludes the impact of foreign currency exchange rate fluctuations. For additional information about these calculations, as well as a reconciliation to the most comparable GAAP financial measures, see “Non-GAAP Financial Information” at the end of this release.</w:t>
                            </w:r>
                            <w:r>
                              <w:br w:type="page"/>
                            </w:r>
                          </w:p>
                          <w:p>
                            <w:pPr>
                              <w:pStyle w:val="TextBody"/>
                              <w:bidi w:val="0"/>
                              <w:spacing w:lineRule="auto" w:line="276" w:before="0" w:after="0"/>
                              <w:jc w:val="left"/>
                              <w:rPr/>
                            </w:pPr>
                            <w:r>
                              <w:rPr>
                                <w:rFonts w:ascii="Times New Roman;sans-serif" w:hAnsi="Times New Roman;sans-serif"/>
                                <w:b w:val="false"/>
                                <w:i/>
                                <w:color w:val="000000"/>
                                <w:sz w:val="10"/>
                              </w:rPr>
                              <w:t>2</w:t>
                            </w:r>
                            <w:r>
                              <w:rPr>
                                <w:color w:val="000000"/>
                              </w:rPr>
                              <w:t>“</w:t>
                            </w:r>
                            <w:r>
                              <w:rPr>
                                <w:rFonts w:ascii="Times New Roman;sans-serif" w:hAnsi="Times New Roman;sans-serif"/>
                                <w:b w:val="false"/>
                                <w:i/>
                                <w:color w:val="000000"/>
                                <w:sz w:val="16"/>
                              </w:rPr>
                              <w:t>Same Store” basis, which is a financial measure, includes stores open the entirety of the comparable periods.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left"/>
                        <w:rPr/>
                      </w:pPr>
                      <w:r>
                        <w:rPr>
                          <w:rFonts w:ascii="Times New Roman;sans-serif" w:hAnsi="Times New Roman;sans-serif"/>
                          <w:b w:val="false"/>
                          <w:i/>
                          <w:color w:val="000000"/>
                          <w:sz w:val="16"/>
                        </w:rPr>
                        <w:t>Note: Percentages are calculated from the underlying numbers in thousands and, as a result, may not agree to the percentages calculated from numbers in millions.</w:t>
                        <w:br/>
                      </w:r>
                      <w:r>
                        <w:rPr>
                          <w:rFonts w:ascii="Times New Roman;sans-serif" w:hAnsi="Times New Roman;sans-serif"/>
                          <w:b w:val="false"/>
                          <w:i/>
                          <w:color w:val="000000"/>
                          <w:sz w:val="10"/>
                        </w:rPr>
                        <w:t>1</w:t>
                      </w:r>
                      <w:r>
                        <w:rPr>
                          <w:color w:val="000000"/>
                        </w:rPr>
                        <w:t>“</w:t>
                      </w:r>
                      <w:r>
                        <w:rPr>
                          <w:rFonts w:ascii="Times New Roman;sans-serif" w:hAnsi="Times New Roman;sans-serif"/>
                          <w:b w:val="false"/>
                          <w:i/>
                          <w:color w:val="000000"/>
                          <w:sz w:val="16"/>
                        </w:rPr>
                        <w:t>Adjusted” basis, which is a non-GAAP measure, excludes certain items. “Constant currency” basis, which is a non-GAAP measure, excludes the impact of foreign currency exchange rate fluctuations. For additional information about these calculations, as well as a reconciliation to the most comparable GAAP financial measures, see “Non-GAAP Financial Information” at the end of this release.</w:t>
                      </w:r>
                    </w:p>
                    <w:p>
                      <w:pPr>
                        <w:pStyle w:val="TextBody"/>
                        <w:bidi w:val="0"/>
                        <w:spacing w:lineRule="auto" w:line="276" w:before="0" w:after="0"/>
                        <w:jc w:val="left"/>
                        <w:rPr/>
                      </w:pPr>
                      <w:r>
                        <w:rPr>
                          <w:rFonts w:ascii="Times New Roman;sans-serif" w:hAnsi="Times New Roman;sans-serif"/>
                          <w:b w:val="false"/>
                          <w:i/>
                          <w:color w:val="000000"/>
                          <w:sz w:val="10"/>
                        </w:rPr>
                        <w:t>2</w:t>
                      </w:r>
                      <w:r>
                        <w:rPr>
                          <w:color w:val="000000"/>
                        </w:rPr>
                        <w:t>“</w:t>
                      </w:r>
                      <w:r>
                        <w:rPr>
                          <w:rFonts w:ascii="Times New Roman;sans-serif" w:hAnsi="Times New Roman;sans-serif"/>
                          <w:b w:val="false"/>
                          <w:i/>
                          <w:color w:val="000000"/>
                          <w:sz w:val="16"/>
                        </w:rPr>
                        <w:t>Same Store” basis, which is a financial measure, includes stores open the entirety of the comparable periods.</w:t>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CONDENSED CONSOLIDATED STATEMENTS OF OPERATIONS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tbl>
      <w:tblPr>
        <w:tblW w:w="8716" w:type="dxa"/>
        <w:jc w:val="left"/>
        <w:tblInd w:w="0" w:type="dxa"/>
        <w:tblLayout w:type="fixed"/>
        <w:tblCellMar>
          <w:top w:w="28" w:type="dxa"/>
          <w:left w:w="28" w:type="dxa"/>
          <w:bottom w:w="28" w:type="dxa"/>
          <w:right w:w="28" w:type="dxa"/>
        </w:tblCellMar>
      </w:tblPr>
      <w:tblGrid>
        <w:gridCol w:w="1273"/>
        <w:gridCol w:w="1116"/>
        <w:gridCol w:w="1121"/>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54"/>
      </w:tblGrid>
      <w:tr>
        <w:trPr/>
        <w:tc>
          <w:tcPr>
            <w:tcW w:w="127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Twelve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 except per share amounts)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615,446 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61,082 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104,330 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294,551 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270,479 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1,161,602 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1,049,041 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97,494 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427,403 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394,779 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175,381 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159,374 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682,273 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609,838 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111,570 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461,055 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418,574 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149,374 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142,815 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569,743 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517,688 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26,007 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16,559 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112,530 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92,150 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 Narrow;sans-serif" w:hAnsi="Arial Narrow;sans-serif"/>
                <w:b w:val="false"/>
                <w:color w:val="000000"/>
                <w:sz w:val="18"/>
              </w:rPr>
              <w:t>Income before income taxes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26,252 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13,125 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115,608 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51,633 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Income tax expense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15,196 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10,253 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83,095 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Basic earnings per share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Diluted earnings per share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basic shares outstanding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54,677 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55,586 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diluted shares outstanding</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80,865 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CONDENSED CONSOLIDATED BALANCE SHEETS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14"/>
        <w:gridCol w:w="2262"/>
        <w:gridCol w:w="2270"/>
        <w:gridCol w:w="183"/>
        <w:gridCol w:w="779"/>
        <w:gridCol w:w="110"/>
        <w:gridCol w:w="109"/>
        <w:gridCol w:w="109"/>
        <w:gridCol w:w="109"/>
        <w:gridCol w:w="183"/>
        <w:gridCol w:w="779"/>
        <w:gridCol w:w="110"/>
        <w:gridCol w:w="109"/>
        <w:gridCol w:w="109"/>
        <w:gridCol w:w="109"/>
        <w:gridCol w:w="161"/>
      </w:tblGrid>
      <w:tr>
        <w:trPr/>
        <w:tc>
          <w:tcPr>
            <w:tcW w:w="2714"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share and per share amounts)</w:t>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Assets:</w:t>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170,513 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220,595 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cash</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9,294 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8,373 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274,084 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245,766 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44,013 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38,885 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191,923 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166,477 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39,171 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39,623 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728,998 </w:t>
            </w:r>
          </w:p>
        </w:tc>
        <w:tc>
          <w:tcPr>
            <w:tcW w:w="1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719,719 </w:t>
            </w:r>
          </w:p>
        </w:tc>
        <w:tc>
          <w:tcPr>
            <w:tcW w:w="1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13,329 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10,987 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36,220 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65,973 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68,096 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226,602 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234,388 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306,478 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302,372 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58,451 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58,216 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25,362 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25,702 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16,144 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12,011 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Total assets </w:t>
            </w:r>
          </w:p>
        </w:tc>
        <w:tc>
          <w:tcPr>
            <w:tcW w:w="18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1,493,237 </w:t>
            </w:r>
          </w:p>
        </w:tc>
        <w:tc>
          <w:tcPr>
            <w:tcW w:w="1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1,467,711 </w:t>
            </w:r>
          </w:p>
        </w:tc>
        <w:tc>
          <w:tcPr>
            <w:tcW w:w="1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Liabilities and equity:</w:t>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Current maturities of long-term debt, net </w:t>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103,072 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34,265 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85,737 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81,605 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21,570 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18,920 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58,998 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57,182 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269,377 </w:t>
            </w:r>
          </w:p>
        </w:tc>
        <w:tc>
          <w:tcPr>
            <w:tcW w:w="1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191,972 </w:t>
            </w:r>
          </w:p>
        </w:tc>
        <w:tc>
          <w:tcPr>
            <w:tcW w:w="1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224,256 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325,847 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180,616 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193,187 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12,337 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10,502 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688,666 </w:t>
            </w:r>
          </w:p>
        </w:tc>
        <w:tc>
          <w:tcPr>
            <w:tcW w:w="1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721,943 </w:t>
            </w:r>
          </w:p>
        </w:tc>
        <w:tc>
          <w:tcPr>
            <w:tcW w:w="1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 (Note 11)</w:t>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Stockholders’ equity:</w:t>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A Non-voting Common Stock, par value $0.01 per share; shares authorized: 100 million; 51,582,698 issued and outstanding as of September 30, 2024; issued and outstanding of 51,869,569 as of September 30, 2023</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B Voting Common Stock, convertible, par value $0.01 per share; shares authorized: 3 million; issued and outstanding: 2,970,171 as of September 30, 2024 and 2023</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 capital</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348,366 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346,181 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507,206 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431,140 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loss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(51,547)</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(32,102)</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equity</w:t>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804,571 </w:t>
            </w:r>
          </w:p>
        </w:tc>
        <w:tc>
          <w:tcPr>
            <w:tcW w:w="1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745,768 </w:t>
            </w:r>
          </w:p>
        </w:tc>
        <w:tc>
          <w:tcPr>
            <w:tcW w:w="11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equity</w:t>
            </w:r>
          </w:p>
        </w:tc>
        <w:tc>
          <w:tcPr>
            <w:tcW w:w="183"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9"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1,493,237 </w:t>
            </w:r>
          </w:p>
        </w:tc>
        <w:tc>
          <w:tcPr>
            <w:tcW w:w="110"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9"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1,467,711 </w:t>
            </w:r>
          </w:p>
        </w:tc>
        <w:tc>
          <w:tcPr>
            <w:tcW w:w="110" w:type="dxa"/>
            <w:tcBorders>
              <w:top w:val="single" w:sz="4" w:space="0" w:color="000000"/>
              <w:bottom w:val="single" w:sz="12"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CONDENSED CONSOLIDATED STATEMENTS OF CASH FLOWS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7787" w:type="dxa"/>
        <w:jc w:val="left"/>
        <w:tblInd w:w="0" w:type="dxa"/>
        <w:tblLayout w:type="fixed"/>
        <w:tblCellMar>
          <w:top w:w="28" w:type="dxa"/>
          <w:left w:w="28" w:type="dxa"/>
          <w:bottom w:w="28" w:type="dxa"/>
          <w:right w:w="28" w:type="dxa"/>
        </w:tblCellMar>
      </w:tblPr>
      <w:tblGrid>
        <w:gridCol w:w="1926"/>
        <w:gridCol w:w="1698"/>
        <w:gridCol w:w="1701"/>
        <w:gridCol w:w="181"/>
        <w:gridCol w:w="646"/>
        <w:gridCol w:w="109"/>
        <w:gridCol w:w="109"/>
        <w:gridCol w:w="109"/>
        <w:gridCol w:w="109"/>
        <w:gridCol w:w="181"/>
        <w:gridCol w:w="646"/>
        <w:gridCol w:w="109"/>
        <w:gridCol w:w="109"/>
        <w:gridCol w:w="154"/>
      </w:tblGrid>
      <w:tr>
        <w:trPr/>
        <w:tc>
          <w:tcPr>
            <w:tcW w:w="1926"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Twelve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income </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provided by operating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discount and deferred financing costs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56,937 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adjustments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Provision for inventory reserve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from investment in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loss on extinguishment of debt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business acquisitions: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Service charges and fees receivable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other current assets and other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liabilities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(57,158)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113,600 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101,834 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made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(937,014)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(821,725)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repaid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522,497 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458,854 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Recovery of pawn loan principal through sale of forfeited collateral</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336,349 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 net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(40,446)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 net of cash acquired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(issuance of) note receivable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unconsolidated affiliate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other investments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from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(111,853)</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(110,886)</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borrowings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 issuance cost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 on extinguishment of debt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on assumed debt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(178,488)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of finance leases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Net cash (used in) provided by financing activities </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(50,183)</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23,692 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(decrease) increase in cash, cash equivalents and restricted cash</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(49,161)</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14,599 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beginning of period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214,369 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end of period</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179,807 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228,968 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OPERATING SEGMENT RESULTS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58"/>
        <w:gridCol w:w="685"/>
        <w:gridCol w:w="654"/>
        <w:gridCol w:w="181"/>
        <w:gridCol w:w="646"/>
        <w:gridCol w:w="109"/>
        <w:gridCol w:w="109"/>
        <w:gridCol w:w="109"/>
        <w:gridCol w:w="109"/>
        <w:gridCol w:w="243"/>
        <w:gridCol w:w="768"/>
        <w:gridCol w:w="146"/>
        <w:gridCol w:w="109"/>
        <w:gridCol w:w="109"/>
        <w:gridCol w:w="109"/>
        <w:gridCol w:w="260"/>
        <w:gridCol w:w="714"/>
        <w:gridCol w:w="157"/>
        <w:gridCol w:w="109"/>
        <w:gridCol w:w="109"/>
        <w:gridCol w:w="109"/>
        <w:gridCol w:w="203"/>
        <w:gridCol w:w="726"/>
        <w:gridCol w:w="122"/>
        <w:gridCol w:w="109"/>
        <w:gridCol w:w="109"/>
        <w:gridCol w:w="109"/>
        <w:gridCol w:w="209"/>
        <w:gridCol w:w="689"/>
        <w:gridCol w:w="126"/>
        <w:gridCol w:w="109"/>
        <w:gridCol w:w="109"/>
        <w:gridCol w:w="109"/>
        <w:gridCol w:w="196"/>
        <w:gridCol w:w="701"/>
        <w:gridCol w:w="177"/>
      </w:tblGrid>
      <w:tr>
        <w:trPr/>
        <w:tc>
          <w:tcPr>
            <w:tcW w:w="85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September 30, 2024</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111,040 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50,466 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161,506 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161,506 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17,891 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17,891 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85,863 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29,240 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115,103 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115,103 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212,021 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82,530 </w:t>
            </w:r>
          </w:p>
        </w:tc>
        <w:tc>
          <w:tcPr>
            <w:tcW w:w="1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294,551 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294,551 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70,158 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34,565 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104,723 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104,723 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14,447 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14,447 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129,902 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45,479 </w:t>
            </w:r>
          </w:p>
        </w:tc>
        <w:tc>
          <w:tcPr>
            <w:tcW w:w="1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175,381 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175,381 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33,303 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119,583 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119,583 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20,688 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20,688 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2,044 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4,643 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8,127 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(611)</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(825)</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(2,123)</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loss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(715)</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(576)</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Other expense (income)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(750)</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41,007 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10,233 </w:t>
            </w:r>
          </w:p>
        </w:tc>
        <w:tc>
          <w:tcPr>
            <w:tcW w:w="1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1,353 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52,593 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52,593 </w:t>
            </w:r>
          </w:p>
        </w:tc>
        <w:tc>
          <w:tcPr>
            <w:tcW w:w="12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(26,341)</w:t>
            </w:r>
          </w:p>
        </w:tc>
        <w:tc>
          <w:tcPr>
            <w:tcW w:w="1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26,252 </w:t>
            </w:r>
          </w:p>
        </w:tc>
        <w:tc>
          <w:tcPr>
            <w:tcW w:w="177"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838"/>
        <w:gridCol w:w="671"/>
        <w:gridCol w:w="642"/>
        <w:gridCol w:w="181"/>
        <w:gridCol w:w="646"/>
        <w:gridCol w:w="109"/>
        <w:gridCol w:w="109"/>
        <w:gridCol w:w="109"/>
        <w:gridCol w:w="109"/>
        <w:gridCol w:w="247"/>
        <w:gridCol w:w="780"/>
        <w:gridCol w:w="148"/>
        <w:gridCol w:w="109"/>
        <w:gridCol w:w="109"/>
        <w:gridCol w:w="109"/>
        <w:gridCol w:w="262"/>
        <w:gridCol w:w="722"/>
        <w:gridCol w:w="159"/>
        <w:gridCol w:w="109"/>
        <w:gridCol w:w="109"/>
        <w:gridCol w:w="109"/>
        <w:gridCol w:w="204"/>
        <w:gridCol w:w="730"/>
        <w:gridCol w:w="123"/>
        <w:gridCol w:w="109"/>
        <w:gridCol w:w="109"/>
        <w:gridCol w:w="109"/>
        <w:gridCol w:w="211"/>
        <w:gridCol w:w="696"/>
        <w:gridCol w:w="127"/>
        <w:gridCol w:w="109"/>
        <w:gridCol w:w="109"/>
        <w:gridCol w:w="109"/>
        <w:gridCol w:w="196"/>
        <w:gridCol w:w="701"/>
        <w:gridCol w:w="177"/>
      </w:tblGrid>
      <w:tr>
        <w:trPr/>
        <w:tc>
          <w:tcPr>
            <w:tcW w:w="83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4"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September 30, 2023</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47,825 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151,172 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151,172 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77,874 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26,456 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104,330 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104,330 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194,473 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75,998 </w:t>
            </w:r>
          </w:p>
        </w:tc>
        <w:tc>
          <w:tcPr>
            <w:tcW w:w="14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270,479 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270,479 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33,318 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97,494 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97,494 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13,611 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13,611 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118,455 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40,911 </w:t>
            </w:r>
          </w:p>
        </w:tc>
        <w:tc>
          <w:tcPr>
            <w:tcW w:w="14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159,374 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159,374 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78,680 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32,890 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111,570 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111,570 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18,568 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18,568 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4,903 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8,154 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3,462 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(416)</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(1,916)</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(408)</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(2,324)</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(935)</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(935)</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1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3,310 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37,182 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6,419 </w:t>
            </w:r>
          </w:p>
        </w:tc>
        <w:tc>
          <w:tcPr>
            <w:tcW w:w="14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2,432 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46,033 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46,033 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(32,908)</w:t>
            </w:r>
          </w:p>
        </w:tc>
        <w:tc>
          <w:tcPr>
            <w:tcW w:w="12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13,125 </w:t>
            </w:r>
          </w:p>
        </w:tc>
        <w:tc>
          <w:tcPr>
            <w:tcW w:w="1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32"/>
        <w:gridCol w:w="664"/>
        <w:gridCol w:w="634"/>
        <w:gridCol w:w="181"/>
        <w:gridCol w:w="646"/>
        <w:gridCol w:w="109"/>
        <w:gridCol w:w="109"/>
        <w:gridCol w:w="109"/>
        <w:gridCol w:w="109"/>
        <w:gridCol w:w="233"/>
        <w:gridCol w:w="834"/>
        <w:gridCol w:w="140"/>
        <w:gridCol w:w="109"/>
        <w:gridCol w:w="109"/>
        <w:gridCol w:w="109"/>
        <w:gridCol w:w="261"/>
        <w:gridCol w:w="719"/>
        <w:gridCol w:w="159"/>
        <w:gridCol w:w="109"/>
        <w:gridCol w:w="109"/>
        <w:gridCol w:w="109"/>
        <w:gridCol w:w="204"/>
        <w:gridCol w:w="729"/>
        <w:gridCol w:w="123"/>
        <w:gridCol w:w="109"/>
        <w:gridCol w:w="109"/>
        <w:gridCol w:w="109"/>
        <w:gridCol w:w="210"/>
        <w:gridCol w:w="694"/>
        <w:gridCol w:w="126"/>
        <w:gridCol w:w="109"/>
        <w:gridCol w:w="109"/>
        <w:gridCol w:w="109"/>
        <w:gridCol w:w="196"/>
        <w:gridCol w:w="701"/>
        <w:gridCol w:w="175"/>
      </w:tblGrid>
      <w:tr>
        <w:trPr/>
        <w:tc>
          <w:tcPr>
            <w:tcW w:w="83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5"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Twelve Months Ended September 30, 2024</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459,251 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3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204,485 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663,736 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663,736 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6,738 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61,082 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61,082 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322,362 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114,183 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436,545 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436,545 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836,083 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325,484 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1,161,602 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1,161,602 </w:t>
            </w:r>
          </w:p>
        </w:tc>
        <w:tc>
          <w:tcPr>
            <w:tcW w:w="17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288,894 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138,509 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427,403 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427,403 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45,926 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51,926 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51,926 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501,263 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180,975 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682,273 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682,273 </w:t>
            </w:r>
          </w:p>
        </w:tc>
        <w:tc>
          <w:tcPr>
            <w:tcW w:w="17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135,239 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461,055 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461,055 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75,557 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8,865 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19,012 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14,057 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33,069 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(765)</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13,585 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13,585 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(1,612)</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(4,034)</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(6,541)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(10,575)</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(4,993)</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(4,711)</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(1,377)</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827"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165,290 </w:t>
            </w:r>
          </w:p>
        </w:tc>
        <w:tc>
          <w:tcPr>
            <w:tcW w:w="10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38,841 </w:t>
            </w:r>
          </w:p>
        </w:tc>
        <w:tc>
          <w:tcPr>
            <w:tcW w:w="140"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19"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7,450 </w:t>
            </w:r>
          </w:p>
        </w:tc>
        <w:tc>
          <w:tcPr>
            <w:tcW w:w="159"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211,581 </w:t>
            </w:r>
          </w:p>
        </w:tc>
        <w:tc>
          <w:tcPr>
            <w:tcW w:w="123"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211,581 </w:t>
            </w:r>
          </w:p>
        </w:tc>
        <w:tc>
          <w:tcPr>
            <w:tcW w:w="123"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4"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(95,973)</w:t>
            </w:r>
          </w:p>
        </w:tc>
        <w:tc>
          <w:tcPr>
            <w:tcW w:w="126"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D6D6D"/>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115,608 </w:t>
            </w:r>
          </w:p>
        </w:tc>
        <w:tc>
          <w:tcPr>
            <w:tcW w:w="175"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32"/>
        <w:gridCol w:w="664"/>
        <w:gridCol w:w="634"/>
        <w:gridCol w:w="181"/>
        <w:gridCol w:w="646"/>
        <w:gridCol w:w="109"/>
        <w:gridCol w:w="109"/>
        <w:gridCol w:w="109"/>
        <w:gridCol w:w="109"/>
        <w:gridCol w:w="233"/>
        <w:gridCol w:w="834"/>
        <w:gridCol w:w="140"/>
        <w:gridCol w:w="109"/>
        <w:gridCol w:w="109"/>
        <w:gridCol w:w="109"/>
        <w:gridCol w:w="239"/>
        <w:gridCol w:w="756"/>
        <w:gridCol w:w="145"/>
        <w:gridCol w:w="109"/>
        <w:gridCol w:w="109"/>
        <w:gridCol w:w="109"/>
        <w:gridCol w:w="204"/>
        <w:gridCol w:w="729"/>
        <w:gridCol w:w="123"/>
        <w:gridCol w:w="109"/>
        <w:gridCol w:w="109"/>
        <w:gridCol w:w="109"/>
        <w:gridCol w:w="210"/>
        <w:gridCol w:w="694"/>
        <w:gridCol w:w="126"/>
        <w:gridCol w:w="109"/>
        <w:gridCol w:w="109"/>
        <w:gridCol w:w="109"/>
        <w:gridCol w:w="196"/>
        <w:gridCol w:w="701"/>
        <w:gridCol w:w="174"/>
      </w:tblGrid>
      <w:tr>
        <w:trPr/>
        <w:tc>
          <w:tcPr>
            <w:tcW w:w="83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5"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Twelve Months Ended September 30, 2023</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(Unaudited)</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432,578 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3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182,868 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615,446 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615,446 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sales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6,223 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49,528 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49,528 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285,919 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97,853 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383,772 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383,772 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761,921 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287,065 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4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1,049,041 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1,049,041 </w:t>
            </w:r>
          </w:p>
        </w:tc>
        <w:tc>
          <w:tcPr>
            <w:tcW w:w="17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267,874 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126,905 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394,779 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394,779 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scrapping cost of goods sold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6,715 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44,424 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44,424 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82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456,338 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153,445 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4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609,838 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609,838 </w:t>
            </w:r>
          </w:p>
        </w:tc>
        <w:tc>
          <w:tcPr>
            <w:tcW w:w="17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299,319 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119,255 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418,574 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418,574 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67,532 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67,529 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Impairment of other assets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4,343 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9,191 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19,573 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12,558 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32,131 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(gain) on sale or disposal of assets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(5,097)</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16,456 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16,456 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(1,139)</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(2,641)</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(4,829)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(7,470)</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loss of unconsolidated affiliates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28,459 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Other (income) expense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3,172 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3,072 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 (loss)</w:t>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146,524 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3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31,658 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5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(26,935)</w:t>
            </w:r>
          </w:p>
        </w:tc>
        <w:tc>
          <w:tcPr>
            <w:tcW w:w="14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151,247 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93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151,247 </w:t>
            </w:r>
          </w:p>
        </w:tc>
        <w:tc>
          <w:tcPr>
            <w:tcW w:w="12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(99,614)</w:t>
            </w:r>
          </w:p>
        </w:tc>
        <w:tc>
          <w:tcPr>
            <w:tcW w:w="12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51,633 </w:t>
            </w:r>
          </w:p>
        </w:tc>
        <w:tc>
          <w:tcPr>
            <w:tcW w:w="17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EZCORP, Inc.</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STORE COUNT ACTIVITY</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tbl>
      <w:tblPr>
        <w:tblW w:w="6577" w:type="dxa"/>
        <w:jc w:val="center"/>
        <w:tblInd w:w="0" w:type="dxa"/>
        <w:tblLayout w:type="fixed"/>
        <w:tblCellMar>
          <w:top w:w="28" w:type="dxa"/>
          <w:left w:w="28" w:type="dxa"/>
          <w:bottom w:w="28" w:type="dxa"/>
          <w:right w:w="28" w:type="dxa"/>
        </w:tblCellMar>
      </w:tblPr>
      <w:tblGrid>
        <w:gridCol w:w="645"/>
        <w:gridCol w:w="567"/>
        <w:gridCol w:w="572"/>
        <w:gridCol w:w="280"/>
        <w:gridCol w:w="280"/>
        <w:gridCol w:w="280"/>
        <w:gridCol w:w="195"/>
        <w:gridCol w:w="195"/>
        <w:gridCol w:w="195"/>
        <w:gridCol w:w="499"/>
        <w:gridCol w:w="499"/>
        <w:gridCol w:w="501"/>
        <w:gridCol w:w="195"/>
        <w:gridCol w:w="195"/>
        <w:gridCol w:w="195"/>
        <w:gridCol w:w="340"/>
        <w:gridCol w:w="340"/>
        <w:gridCol w:w="341"/>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3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June 30, 2024</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541 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717 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1,258 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September 30, 2024</w:t>
            </w:r>
          </w:p>
        </w:tc>
        <w:tc>
          <w:tcPr>
            <w:tcW w:w="56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737 </w:t>
            </w:r>
          </w:p>
        </w:tc>
        <w:tc>
          <w:tcPr>
            <w:tcW w:w="5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1,279 </w:t>
            </w:r>
          </w:p>
        </w:tc>
        <w:tc>
          <w:tcPr>
            <w:tcW w:w="3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536" w:type="dxa"/>
        <w:jc w:val="left"/>
        <w:tblInd w:w="0" w:type="dxa"/>
        <w:tblLayout w:type="fixed"/>
        <w:tblCellMar>
          <w:top w:w="28" w:type="dxa"/>
          <w:left w:w="28" w:type="dxa"/>
          <w:bottom w:w="28" w:type="dxa"/>
          <w:right w:w="28" w:type="dxa"/>
        </w:tblCellMar>
      </w:tblPr>
      <w:tblGrid>
        <w:gridCol w:w="715"/>
        <w:gridCol w:w="629"/>
        <w:gridCol w:w="635"/>
        <w:gridCol w:w="280"/>
        <w:gridCol w:w="280"/>
        <w:gridCol w:w="280"/>
        <w:gridCol w:w="192"/>
        <w:gridCol w:w="192"/>
        <w:gridCol w:w="192"/>
        <w:gridCol w:w="499"/>
        <w:gridCol w:w="499"/>
        <w:gridCol w:w="501"/>
        <w:gridCol w:w="192"/>
        <w:gridCol w:w="192"/>
        <w:gridCol w:w="192"/>
        <w:gridCol w:w="312"/>
        <w:gridCol w:w="312"/>
        <w:gridCol w:w="442"/>
      </w:tblGrid>
      <w:tr>
        <w:trPr/>
        <w:tc>
          <w:tcPr>
            <w:tcW w:w="7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 September 30, 2023</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June 30, 2023</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528 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684 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1,212 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As of September 30, 2023</w:t>
            </w:r>
          </w:p>
        </w:tc>
        <w:tc>
          <w:tcPr>
            <w:tcW w:w="560"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529 </w:t>
            </w:r>
          </w:p>
        </w:tc>
        <w:tc>
          <w:tcPr>
            <w:tcW w:w="28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702 </w:t>
            </w:r>
          </w:p>
        </w:tc>
        <w:tc>
          <w:tcPr>
            <w:tcW w:w="5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1,231 </w:t>
            </w:r>
          </w:p>
        </w:tc>
        <w:tc>
          <w:tcPr>
            <w:tcW w:w="44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119" w:type="dxa"/>
        <w:jc w:val="center"/>
        <w:tblInd w:w="0" w:type="dxa"/>
        <w:tblLayout w:type="fixed"/>
        <w:tblCellMar>
          <w:top w:w="28" w:type="dxa"/>
          <w:left w:w="28" w:type="dxa"/>
          <w:bottom w:w="28" w:type="dxa"/>
          <w:right w:w="28" w:type="dxa"/>
        </w:tblCellMar>
      </w:tblPr>
      <w:tblGrid>
        <w:gridCol w:w="718"/>
        <w:gridCol w:w="630"/>
        <w:gridCol w:w="632"/>
        <w:gridCol w:w="280"/>
        <w:gridCol w:w="280"/>
        <w:gridCol w:w="280"/>
        <w:gridCol w:w="232"/>
        <w:gridCol w:w="232"/>
        <w:gridCol w:w="232"/>
        <w:gridCol w:w="500"/>
        <w:gridCol w:w="500"/>
        <w:gridCol w:w="500"/>
        <w:gridCol w:w="232"/>
        <w:gridCol w:w="232"/>
        <w:gridCol w:w="232"/>
        <w:gridCol w:w="232"/>
        <w:gridCol w:w="109"/>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64" w:type="dxa"/>
            <w:gridSpan w:val="1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Twelve Months Ended September 30, 2024</w:t>
            </w:r>
          </w:p>
        </w:tc>
        <w:tc>
          <w:tcPr>
            <w:tcW w:w="1175" w:type="dxa"/>
            <w:gridSpan w:val="4"/>
            <w:tcBorders/>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2023</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529 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702 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1,231 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2024</w:t>
            </w:r>
          </w:p>
        </w:tc>
        <w:tc>
          <w:tcPr>
            <w:tcW w:w="560"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737 </w:t>
            </w:r>
          </w:p>
        </w:tc>
        <w:tc>
          <w:tcPr>
            <w:tcW w:w="50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1,279 </w:t>
            </w:r>
          </w:p>
        </w:tc>
        <w:tc>
          <w:tcPr>
            <w:tcW w:w="44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573" w:type="dxa"/>
        <w:jc w:val="center"/>
        <w:tblInd w:w="0" w:type="dxa"/>
        <w:tblLayout w:type="fixed"/>
        <w:tblCellMar>
          <w:top w:w="28" w:type="dxa"/>
          <w:left w:w="28" w:type="dxa"/>
          <w:bottom w:w="28" w:type="dxa"/>
          <w:right w:w="28" w:type="dxa"/>
        </w:tblCellMar>
      </w:tblPr>
      <w:tblGrid>
        <w:gridCol w:w="718"/>
        <w:gridCol w:w="630"/>
        <w:gridCol w:w="632"/>
        <w:gridCol w:w="280"/>
        <w:gridCol w:w="280"/>
        <w:gridCol w:w="280"/>
        <w:gridCol w:w="198"/>
        <w:gridCol w:w="198"/>
        <w:gridCol w:w="198"/>
        <w:gridCol w:w="499"/>
        <w:gridCol w:w="499"/>
        <w:gridCol w:w="501"/>
        <w:gridCol w:w="198"/>
        <w:gridCol w:w="198"/>
        <w:gridCol w:w="198"/>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9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Twelve Months Ended September 30, 2023</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2022</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1,175 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2023</w:t>
            </w:r>
          </w:p>
        </w:tc>
        <w:tc>
          <w:tcPr>
            <w:tcW w:w="560"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529 </w:t>
            </w:r>
          </w:p>
        </w:tc>
        <w:tc>
          <w:tcPr>
            <w:tcW w:w="280"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702 </w:t>
            </w:r>
          </w:p>
        </w:tc>
        <w:tc>
          <w:tcPr>
            <w:tcW w:w="50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1,231 </w:t>
            </w:r>
          </w:p>
        </w:tc>
        <w:tc>
          <w:tcPr>
            <w:tcW w:w="442"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Non-GAAP Financial Information (Unaudited)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to the financial information prepared in conformity with accounting U.S. generally accepted accounting principles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and twelve months ended September 30, 2024 and 2023 were as follows:</w:t>
      </w:r>
    </w:p>
    <w:tbl>
      <w:tblPr>
        <w:tblW w:w="7358" w:type="dxa"/>
        <w:jc w:val="left"/>
        <w:tblInd w:w="0" w:type="dxa"/>
        <w:tblLayout w:type="fixed"/>
        <w:tblCellMar>
          <w:top w:w="28" w:type="dxa"/>
          <w:left w:w="28" w:type="dxa"/>
          <w:bottom w:w="28" w:type="dxa"/>
          <w:right w:w="28" w:type="dxa"/>
        </w:tblCellMar>
      </w:tblPr>
      <w:tblGrid>
        <w:gridCol w:w="499"/>
        <w:gridCol w:w="438"/>
        <w:gridCol w:w="442"/>
        <w:gridCol w:w="109"/>
        <w:gridCol w:w="109"/>
        <w:gridCol w:w="109"/>
        <w:gridCol w:w="210"/>
        <w:gridCol w:w="211"/>
        <w:gridCol w:w="136"/>
        <w:gridCol w:w="121"/>
        <w:gridCol w:w="121"/>
        <w:gridCol w:w="121"/>
        <w:gridCol w:w="210"/>
        <w:gridCol w:w="211"/>
        <w:gridCol w:w="136"/>
        <w:gridCol w:w="109"/>
        <w:gridCol w:w="109"/>
        <w:gridCol w:w="109"/>
        <w:gridCol w:w="242"/>
        <w:gridCol w:w="179"/>
        <w:gridCol w:w="171"/>
        <w:gridCol w:w="171"/>
        <w:gridCol w:w="171"/>
        <w:gridCol w:w="171"/>
        <w:gridCol w:w="242"/>
        <w:gridCol w:w="179"/>
        <w:gridCol w:w="171"/>
        <w:gridCol w:w="109"/>
        <w:gridCol w:w="109"/>
        <w:gridCol w:w="109"/>
        <w:gridCol w:w="252"/>
        <w:gridCol w:w="178"/>
        <w:gridCol w:w="178"/>
        <w:gridCol w:w="178"/>
        <w:gridCol w:w="178"/>
        <w:gridCol w:w="178"/>
        <w:gridCol w:w="252"/>
        <w:gridCol w:w="178"/>
        <w:gridCol w:w="252"/>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Twelve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5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5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Guatemalan quetzal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Honduran lempira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24.4 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Australian dollar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statement of operations constant currency results reflect the monthly exchange rate fluctuations and so are not directly calculable from the above rates. Constant currency results, where presented, also exclude the foreign currency gain or loss.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Miscellaneous Non-GAAP Financial Measures</w:t>
      </w:r>
    </w:p>
    <w:tbl>
      <w:tblPr>
        <w:tblW w:w="5925" w:type="dxa"/>
        <w:jc w:val="left"/>
        <w:tblInd w:w="0" w:type="dxa"/>
        <w:tblLayout w:type="fixed"/>
        <w:tblCellMar>
          <w:top w:w="28" w:type="dxa"/>
          <w:left w:w="28" w:type="dxa"/>
          <w:bottom w:w="28" w:type="dxa"/>
          <w:right w:w="28" w:type="dxa"/>
        </w:tblCellMar>
      </w:tblPr>
      <w:tblGrid>
        <w:gridCol w:w="717"/>
        <w:gridCol w:w="630"/>
        <w:gridCol w:w="633"/>
        <w:gridCol w:w="181"/>
        <w:gridCol w:w="421"/>
        <w:gridCol w:w="109"/>
        <w:gridCol w:w="109"/>
        <w:gridCol w:w="109"/>
        <w:gridCol w:w="109"/>
        <w:gridCol w:w="181"/>
        <w:gridCol w:w="421"/>
        <w:gridCol w:w="109"/>
        <w:gridCol w:w="109"/>
        <w:gridCol w:w="109"/>
        <w:gridCol w:w="109"/>
        <w:gridCol w:w="181"/>
        <w:gridCol w:w="496"/>
        <w:gridCol w:w="109"/>
        <w:gridCol w:w="109"/>
        <w:gridCol w:w="109"/>
        <w:gridCol w:w="109"/>
        <w:gridCol w:w="181"/>
        <w:gridCol w:w="421"/>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Three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Twelve Months Ended </w:t>
              <w:br/>
              <w:t>September 30,</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millions)</w:t>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w:t>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22.4 </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151.7 </w:t>
            </w:r>
          </w:p>
        </w:tc>
        <w:tc>
          <w:tcPr>
            <w:tcW w:w="10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92.8 </w:t>
            </w:r>
          </w:p>
        </w:tc>
        <w:tc>
          <w:tcPr>
            <w:tcW w:w="154"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39"/>
        <w:gridCol w:w="210"/>
        <w:gridCol w:w="210"/>
        <w:gridCol w:w="210"/>
        <w:gridCol w:w="210"/>
        <w:gridCol w:w="210"/>
        <w:gridCol w:w="210"/>
        <w:gridCol w:w="210"/>
        <w:gridCol w:w="210"/>
        <w:gridCol w:w="237"/>
        <w:gridCol w:w="650"/>
        <w:gridCol w:w="142"/>
        <w:gridCol w:w="109"/>
        <w:gridCol w:w="109"/>
        <w:gridCol w:w="109"/>
        <w:gridCol w:w="207"/>
        <w:gridCol w:w="568"/>
        <w:gridCol w:w="124"/>
        <w:gridCol w:w="109"/>
        <w:gridCol w:w="109"/>
        <w:gridCol w:w="109"/>
        <w:gridCol w:w="296"/>
        <w:gridCol w:w="689"/>
        <w:gridCol w:w="178"/>
        <w:gridCol w:w="109"/>
        <w:gridCol w:w="109"/>
        <w:gridCol w:w="109"/>
        <w:gridCol w:w="192"/>
        <w:gridCol w:w="448"/>
        <w:gridCol w:w="115"/>
        <w:gridCol w:w="109"/>
        <w:gridCol w:w="109"/>
        <w:gridCol w:w="109"/>
        <w:gridCol w:w="210"/>
        <w:gridCol w:w="489"/>
        <w:gridCol w:w="126"/>
        <w:gridCol w:w="109"/>
        <w:gridCol w:w="109"/>
        <w:gridCol w:w="109"/>
        <w:gridCol w:w="222"/>
        <w:gridCol w:w="519"/>
        <w:gridCol w:w="134"/>
        <w:gridCol w:w="109"/>
        <w:gridCol w:w="109"/>
        <w:gridCol w:w="109"/>
        <w:gridCol w:w="183"/>
        <w:gridCol w:w="426"/>
        <w:gridCol w:w="169"/>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9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EBITDA</w:t>
            </w:r>
          </w:p>
        </w:tc>
      </w:tr>
      <w:tr>
        <w:trPr/>
        <w:tc>
          <w:tcPr>
            <w:tcW w:w="19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Q4 Reported</w:t>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294.6 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8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CCV adjustment</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Non-recurring foreign tax expense</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 discrete adjustments</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0.02 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FX impact</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and other impact</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05" w:type="dxa"/>
            <w:gridSpan w:val="6"/>
            <w:tcBorders/>
          </w:tcPr>
          <w:p>
            <w:pPr>
              <w:pStyle w:val="TableContents"/>
              <w:bidi w:val="0"/>
              <w:spacing w:before="0" w:after="283"/>
              <w:jc w:val="left"/>
              <w:rPr>
                <w:sz w:val="4"/>
                <w:szCs w:val="4"/>
              </w:rPr>
            </w:pPr>
            <w:r>
              <w:rPr>
                <w:sz w:val="4"/>
                <w:szCs w:val="4"/>
              </w:rPr>
            </w:r>
          </w:p>
        </w:tc>
      </w:tr>
      <w:tr>
        <w:trPr/>
        <w:tc>
          <w:tcPr>
            <w:tcW w:w="65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05" w:type="dxa"/>
            <w:gridSpan w:val="6"/>
            <w:tcBorders/>
          </w:tcPr>
          <w:p>
            <w:pPr>
              <w:pStyle w:val="TableContents"/>
              <w:bidi w:val="0"/>
              <w:spacing w:before="0" w:after="283"/>
              <w:jc w:val="left"/>
              <w:rPr>
                <w:sz w:val="4"/>
                <w:szCs w:val="4"/>
              </w:rPr>
            </w:pPr>
            <w:r>
              <w:rPr>
                <w:sz w:val="4"/>
                <w:szCs w:val="4"/>
              </w:rPr>
            </w:r>
          </w:p>
        </w:tc>
      </w:tr>
      <w:tr>
        <w:trPr/>
        <w:tc>
          <w:tcPr>
            <w:tcW w:w="65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05" w:type="dxa"/>
            <w:gridSpan w:val="6"/>
            <w:tcBorders/>
          </w:tcPr>
          <w:p>
            <w:pPr>
              <w:pStyle w:val="TableContents"/>
              <w:bidi w:val="0"/>
              <w:spacing w:before="0" w:after="283"/>
              <w:jc w:val="left"/>
              <w:rPr>
                <w:sz w:val="4"/>
                <w:szCs w:val="4"/>
              </w:rPr>
            </w:pPr>
            <w:r>
              <w:rPr>
                <w:sz w:val="4"/>
                <w:szCs w:val="4"/>
              </w:rPr>
            </w:r>
          </w:p>
        </w:tc>
      </w:tr>
      <w:tr>
        <w:trPr/>
        <w:tc>
          <w:tcPr>
            <w:tcW w:w="65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05" w:type="dxa"/>
            <w:gridSpan w:val="6"/>
            <w:tcBorders/>
          </w:tcPr>
          <w:p>
            <w:pPr>
              <w:pStyle w:val="TableContents"/>
              <w:bidi w:val="0"/>
              <w:spacing w:before="0" w:after="283"/>
              <w:jc w:val="left"/>
              <w:rPr>
                <w:sz w:val="4"/>
                <w:szCs w:val="4"/>
              </w:rPr>
            </w:pPr>
            <w:r>
              <w:rPr>
                <w:sz w:val="4"/>
                <w:szCs w:val="4"/>
              </w:rPr>
            </w:r>
          </w:p>
        </w:tc>
      </w:tr>
      <w:tr>
        <w:trPr/>
        <w:tc>
          <w:tcPr>
            <w:tcW w:w="1919" w:type="dxa"/>
            <w:gridSpan w:val="9"/>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2024 Q4 Adjusted </w:t>
            </w:r>
          </w:p>
        </w:tc>
        <w:tc>
          <w:tcPr>
            <w:tcW w:w="237"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50"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300.9 </w:t>
            </w:r>
          </w:p>
        </w:tc>
        <w:tc>
          <w:tcPr>
            <w:tcW w:w="14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8"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178.9 </w:t>
            </w:r>
          </w:p>
        </w:tc>
        <w:tc>
          <w:tcPr>
            <w:tcW w:w="12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9"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27.4 </w:t>
            </w:r>
          </w:p>
        </w:tc>
        <w:tc>
          <w:tcPr>
            <w:tcW w:w="178"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8"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8.5 </w:t>
            </w:r>
          </w:p>
        </w:tc>
        <w:tc>
          <w:tcPr>
            <w:tcW w:w="115"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89"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18.9 </w:t>
            </w:r>
          </w:p>
        </w:tc>
        <w:tc>
          <w:tcPr>
            <w:tcW w:w="12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19"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0.26 </w:t>
            </w:r>
          </w:p>
        </w:tc>
        <w:tc>
          <w:tcPr>
            <w:tcW w:w="134"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242424"/>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36.7 </w:t>
            </w:r>
          </w:p>
        </w:tc>
        <w:tc>
          <w:tcPr>
            <w:tcW w:w="169" w:type="dxa"/>
            <w:tcBorders>
              <w:top w:val="single" w:sz="8" w:space="0" w:color="242424"/>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105" w:type="dxa"/>
            <w:gridSpan w:val="6"/>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2"/>
        <w:gridCol w:w="203"/>
        <w:gridCol w:w="203"/>
        <w:gridCol w:w="203"/>
        <w:gridCol w:w="203"/>
        <w:gridCol w:w="203"/>
        <w:gridCol w:w="203"/>
        <w:gridCol w:w="203"/>
        <w:gridCol w:w="203"/>
        <w:gridCol w:w="211"/>
        <w:gridCol w:w="720"/>
        <w:gridCol w:w="127"/>
        <w:gridCol w:w="109"/>
        <w:gridCol w:w="109"/>
        <w:gridCol w:w="109"/>
        <w:gridCol w:w="205"/>
        <w:gridCol w:w="563"/>
        <w:gridCol w:w="123"/>
        <w:gridCol w:w="109"/>
        <w:gridCol w:w="109"/>
        <w:gridCol w:w="109"/>
        <w:gridCol w:w="267"/>
        <w:gridCol w:w="733"/>
        <w:gridCol w:w="160"/>
        <w:gridCol w:w="109"/>
        <w:gridCol w:w="109"/>
        <w:gridCol w:w="109"/>
        <w:gridCol w:w="191"/>
        <w:gridCol w:w="446"/>
        <w:gridCol w:w="115"/>
        <w:gridCol w:w="109"/>
        <w:gridCol w:w="109"/>
        <w:gridCol w:w="109"/>
        <w:gridCol w:w="208"/>
        <w:gridCol w:w="484"/>
        <w:gridCol w:w="125"/>
        <w:gridCol w:w="109"/>
        <w:gridCol w:w="109"/>
        <w:gridCol w:w="109"/>
        <w:gridCol w:w="219"/>
        <w:gridCol w:w="512"/>
        <w:gridCol w:w="132"/>
        <w:gridCol w:w="109"/>
        <w:gridCol w:w="109"/>
        <w:gridCol w:w="109"/>
        <w:gridCol w:w="181"/>
        <w:gridCol w:w="496"/>
        <w:gridCol w:w="169"/>
      </w:tblGrid>
      <w:tr>
        <w:trPr/>
        <w:tc>
          <w:tcPr>
            <w:tcW w:w="2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8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EBITDA</w:t>
            </w:r>
          </w:p>
        </w:tc>
      </w:tr>
      <w:tr>
        <w:trPr/>
        <w:tc>
          <w:tcPr>
            <w:tcW w:w="18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Full Year Reported</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1,161.6 </w:t>
            </w:r>
          </w:p>
        </w:tc>
        <w:tc>
          <w:tcPr>
            <w:tcW w:w="12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682.3 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115.6 </w:t>
            </w:r>
          </w:p>
        </w:tc>
        <w:tc>
          <w:tcPr>
            <w:tcW w:w="16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32.5 </w:t>
            </w:r>
          </w:p>
        </w:tc>
        <w:tc>
          <w:tcPr>
            <w:tcW w:w="11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8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83.1 </w:t>
            </w:r>
          </w:p>
        </w:tc>
        <w:tc>
          <w:tcPr>
            <w:tcW w:w="1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1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1.10 </w:t>
            </w:r>
          </w:p>
        </w:tc>
        <w:tc>
          <w:tcPr>
            <w:tcW w:w="132"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151.7 </w:t>
            </w:r>
          </w:p>
        </w:tc>
        <w:tc>
          <w:tcPr>
            <w:tcW w:w="16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CCV adjustment</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lease termination</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Non-recurring foreign tax expense</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 discrete adjustments</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FX impact</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and other impact</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(0.01)</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173" w:type="dxa"/>
            <w:gridSpan w:val="6"/>
            <w:tcBorders/>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173" w:type="dxa"/>
            <w:gridSpan w:val="6"/>
            <w:tcBorders/>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173" w:type="dxa"/>
            <w:gridSpan w:val="6"/>
            <w:tcBorders/>
          </w:tcPr>
          <w:p>
            <w:pPr>
              <w:pStyle w:val="TableContents"/>
              <w:bidi w:val="0"/>
              <w:spacing w:before="0" w:after="283"/>
              <w:jc w:val="left"/>
              <w:rPr>
                <w:sz w:val="4"/>
                <w:szCs w:val="4"/>
              </w:rPr>
            </w:pPr>
            <w:r>
              <w:rPr>
                <w:sz w:val="4"/>
                <w:szCs w:val="4"/>
              </w:rPr>
            </w:r>
          </w:p>
        </w:tc>
      </w:tr>
      <w:tr>
        <w:trPr/>
        <w:tc>
          <w:tcPr>
            <w:tcW w:w="63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1173" w:type="dxa"/>
            <w:gridSpan w:val="6"/>
            <w:tcBorders/>
          </w:tcPr>
          <w:p>
            <w:pPr>
              <w:pStyle w:val="TableContents"/>
              <w:bidi w:val="0"/>
              <w:spacing w:before="0" w:after="283"/>
              <w:jc w:val="left"/>
              <w:rPr>
                <w:sz w:val="4"/>
                <w:szCs w:val="4"/>
              </w:rPr>
            </w:pPr>
            <w:r>
              <w:rPr>
                <w:sz w:val="4"/>
                <w:szCs w:val="4"/>
              </w:rPr>
            </w:r>
          </w:p>
        </w:tc>
      </w:tr>
      <w:tr>
        <w:trPr/>
        <w:tc>
          <w:tcPr>
            <w:tcW w:w="1856" w:type="dxa"/>
            <w:gridSpan w:val="9"/>
            <w:tcBorders>
              <w:top w:val="single" w:sz="8" w:space="0" w:color="242424"/>
              <w:bottom w:val="single" w:sz="8" w:space="0" w:color="242424"/>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 Full Year Adjusted</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1,153.8 </w:t>
            </w:r>
          </w:p>
        </w:tc>
        <w:tc>
          <w:tcPr>
            <w:tcW w:w="12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6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678.0 </w:t>
            </w:r>
          </w:p>
        </w:tc>
        <w:tc>
          <w:tcPr>
            <w:tcW w:w="1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114.9 </w:t>
            </w:r>
          </w:p>
        </w:tc>
        <w:tc>
          <w:tcPr>
            <w:tcW w:w="16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30.2 </w:t>
            </w:r>
          </w:p>
        </w:tc>
        <w:tc>
          <w:tcPr>
            <w:tcW w:w="11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8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84.7 </w:t>
            </w:r>
          </w:p>
        </w:tc>
        <w:tc>
          <w:tcPr>
            <w:tcW w:w="1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1.12 </w:t>
            </w:r>
          </w:p>
        </w:tc>
        <w:tc>
          <w:tcPr>
            <w:tcW w:w="1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150.8 </w:t>
            </w:r>
          </w:p>
        </w:tc>
        <w:tc>
          <w:tcPr>
            <w:tcW w:w="16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0"/>
        <w:gridCol w:w="184"/>
        <w:gridCol w:w="184"/>
        <w:gridCol w:w="184"/>
        <w:gridCol w:w="184"/>
        <w:gridCol w:w="184"/>
        <w:gridCol w:w="184"/>
        <w:gridCol w:w="184"/>
        <w:gridCol w:w="184"/>
        <w:gridCol w:w="249"/>
        <w:gridCol w:w="684"/>
        <w:gridCol w:w="150"/>
        <w:gridCol w:w="109"/>
        <w:gridCol w:w="109"/>
        <w:gridCol w:w="109"/>
        <w:gridCol w:w="213"/>
        <w:gridCol w:w="584"/>
        <w:gridCol w:w="128"/>
        <w:gridCol w:w="109"/>
        <w:gridCol w:w="109"/>
        <w:gridCol w:w="109"/>
        <w:gridCol w:w="321"/>
        <w:gridCol w:w="747"/>
        <w:gridCol w:w="193"/>
        <w:gridCol w:w="109"/>
        <w:gridCol w:w="109"/>
        <w:gridCol w:w="109"/>
        <w:gridCol w:w="214"/>
        <w:gridCol w:w="408"/>
        <w:gridCol w:w="128"/>
        <w:gridCol w:w="109"/>
        <w:gridCol w:w="109"/>
        <w:gridCol w:w="109"/>
        <w:gridCol w:w="216"/>
        <w:gridCol w:w="504"/>
        <w:gridCol w:w="129"/>
        <w:gridCol w:w="109"/>
        <w:gridCol w:w="109"/>
        <w:gridCol w:w="109"/>
        <w:gridCol w:w="231"/>
        <w:gridCol w:w="540"/>
        <w:gridCol w:w="139"/>
        <w:gridCol w:w="109"/>
        <w:gridCol w:w="109"/>
        <w:gridCol w:w="109"/>
        <w:gridCol w:w="183"/>
        <w:gridCol w:w="426"/>
        <w:gridCol w:w="174"/>
      </w:tblGrid>
      <w:tr>
        <w:trPr/>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6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EBITDA</w:t>
            </w:r>
          </w:p>
        </w:tc>
      </w:tr>
      <w:tr>
        <w:trPr/>
        <w:tc>
          <w:tcPr>
            <w:tcW w:w="16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2023 Q4 Reported</w:t>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8"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4"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0"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office impairment</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impairment</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CCV discrete adjustments</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FX Impact</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 Impact</w:t>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2023 Q4 Adjusted </w:t>
            </w:r>
          </w:p>
        </w:tc>
        <w:tc>
          <w:tcPr>
            <w:tcW w:w="24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8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270.5 </w:t>
            </w:r>
          </w:p>
        </w:tc>
        <w:tc>
          <w:tcPr>
            <w:tcW w:w="15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159.4 </w:t>
            </w:r>
          </w:p>
        </w:tc>
        <w:tc>
          <w:tcPr>
            <w:tcW w:w="12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22.6 </w:t>
            </w:r>
          </w:p>
        </w:tc>
        <w:tc>
          <w:tcPr>
            <w:tcW w:w="19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5.3 </w:t>
            </w:r>
          </w:p>
        </w:tc>
        <w:tc>
          <w:tcPr>
            <w:tcW w:w="12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17.3 </w:t>
            </w:r>
          </w:p>
        </w:tc>
        <w:tc>
          <w:tcPr>
            <w:tcW w:w="1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0.23 </w:t>
            </w:r>
          </w:p>
        </w:tc>
        <w:tc>
          <w:tcPr>
            <w:tcW w:w="13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31.9 </w:t>
            </w:r>
          </w:p>
        </w:tc>
        <w:tc>
          <w:tcPr>
            <w:tcW w:w="17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77"/>
        <w:gridCol w:w="215"/>
        <w:gridCol w:w="215"/>
        <w:gridCol w:w="215"/>
        <w:gridCol w:w="215"/>
        <w:gridCol w:w="215"/>
        <w:gridCol w:w="215"/>
        <w:gridCol w:w="215"/>
        <w:gridCol w:w="215"/>
        <w:gridCol w:w="207"/>
        <w:gridCol w:w="708"/>
        <w:gridCol w:w="125"/>
        <w:gridCol w:w="109"/>
        <w:gridCol w:w="109"/>
        <w:gridCol w:w="109"/>
        <w:gridCol w:w="202"/>
        <w:gridCol w:w="556"/>
        <w:gridCol w:w="122"/>
        <w:gridCol w:w="109"/>
        <w:gridCol w:w="109"/>
        <w:gridCol w:w="109"/>
        <w:gridCol w:w="275"/>
        <w:gridCol w:w="641"/>
        <w:gridCol w:w="166"/>
        <w:gridCol w:w="109"/>
        <w:gridCol w:w="109"/>
        <w:gridCol w:w="109"/>
        <w:gridCol w:w="190"/>
        <w:gridCol w:w="443"/>
        <w:gridCol w:w="114"/>
        <w:gridCol w:w="109"/>
        <w:gridCol w:w="109"/>
        <w:gridCol w:w="109"/>
        <w:gridCol w:w="205"/>
        <w:gridCol w:w="477"/>
        <w:gridCol w:w="123"/>
        <w:gridCol w:w="109"/>
        <w:gridCol w:w="109"/>
        <w:gridCol w:w="109"/>
        <w:gridCol w:w="215"/>
        <w:gridCol w:w="501"/>
        <w:gridCol w:w="129"/>
        <w:gridCol w:w="109"/>
        <w:gridCol w:w="109"/>
        <w:gridCol w:w="109"/>
        <w:gridCol w:w="181"/>
        <w:gridCol w:w="496"/>
        <w:gridCol w:w="170"/>
      </w:tblGrid>
      <w:tr>
        <w:trPr/>
        <w:tc>
          <w:tcPr>
            <w:tcW w:w="27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9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Income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Tax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 Narrow;sans-serif" w:hAnsi="Arial Narrow;sans-serif"/>
                <w:b/>
                <w:color w:val="000000"/>
                <w:sz w:val="18"/>
              </w:rPr>
              <w:t>EBITDA</w:t>
            </w:r>
          </w:p>
        </w:tc>
      </w:tr>
      <w:tr>
        <w:trPr/>
        <w:tc>
          <w:tcPr>
            <w:tcW w:w="199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2023 Full Year Reported</w:t>
            </w:r>
          </w:p>
        </w:tc>
        <w:tc>
          <w:tcPr>
            <w:tcW w:w="2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1,049.0 </w:t>
            </w:r>
          </w:p>
        </w:tc>
        <w:tc>
          <w:tcPr>
            <w:tcW w:w="1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5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609.8 </w:t>
            </w:r>
          </w:p>
        </w:tc>
        <w:tc>
          <w:tcPr>
            <w:tcW w:w="12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16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11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7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38.5 </w:t>
            </w:r>
          </w:p>
        </w:tc>
        <w:tc>
          <w:tcPr>
            <w:tcW w:w="12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0.53 </w:t>
            </w:r>
          </w:p>
        </w:tc>
        <w:tc>
          <w:tcPr>
            <w:tcW w:w="12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92.8 </w:t>
            </w:r>
          </w:p>
        </w:tc>
        <w:tc>
          <w:tcPr>
            <w:tcW w:w="17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CCV impairment and discrete adjustments</w:t>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impairment</w:t>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 extinguishment</w:t>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office impairment</w:t>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Contingent consideration liability</w:t>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(0.05)</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convertible debt dilution</w:t>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FX Impact</w:t>
            </w:r>
          </w:p>
        </w:tc>
        <w:tc>
          <w:tcPr>
            <w:tcW w:w="9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(0.02)</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174" w:type="dxa"/>
            <w:gridSpan w:val="6"/>
            <w:tcBorders/>
          </w:tcPr>
          <w:p>
            <w:pPr>
              <w:pStyle w:val="TableContents"/>
              <w:bidi w:val="0"/>
              <w:spacing w:before="0" w:after="283"/>
              <w:jc w:val="left"/>
              <w:rPr>
                <w:sz w:val="4"/>
                <w:szCs w:val="4"/>
              </w:rPr>
            </w:pPr>
            <w:r>
              <w:rPr>
                <w:sz w:val="4"/>
                <w:szCs w:val="4"/>
              </w:rPr>
            </w:r>
          </w:p>
        </w:tc>
      </w:tr>
      <w:tr>
        <w:trPr/>
        <w:tc>
          <w:tcPr>
            <w:tcW w:w="199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2023 Full Year Adjusted </w:t>
            </w:r>
          </w:p>
        </w:tc>
        <w:tc>
          <w:tcPr>
            <w:tcW w:w="20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1,049.0 </w:t>
            </w:r>
          </w:p>
        </w:tc>
        <w:tc>
          <w:tcPr>
            <w:tcW w:w="1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609.8 </w:t>
            </w:r>
          </w:p>
        </w:tc>
        <w:tc>
          <w:tcPr>
            <w:tcW w:w="12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93.9 </w:t>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4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23.0 </w:t>
            </w:r>
          </w:p>
        </w:tc>
        <w:tc>
          <w:tcPr>
            <w:tcW w:w="11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7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70.9 </w:t>
            </w:r>
          </w:p>
        </w:tc>
        <w:tc>
          <w:tcPr>
            <w:tcW w:w="1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0.93 </w:t>
            </w:r>
          </w:p>
        </w:tc>
        <w:tc>
          <w:tcPr>
            <w:tcW w:w="1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131.5 </w:t>
            </w:r>
          </w:p>
        </w:tc>
        <w:tc>
          <w:tcPr>
            <w:tcW w:w="17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25"/>
        <w:gridCol w:w="1074"/>
        <w:gridCol w:w="1092"/>
        <w:gridCol w:w="299"/>
        <w:gridCol w:w="819"/>
        <w:gridCol w:w="179"/>
        <w:gridCol w:w="109"/>
        <w:gridCol w:w="109"/>
        <w:gridCol w:w="109"/>
        <w:gridCol w:w="373"/>
        <w:gridCol w:w="373"/>
        <w:gridCol w:w="831"/>
        <w:gridCol w:w="109"/>
        <w:gridCol w:w="109"/>
        <w:gridCol w:w="109"/>
        <w:gridCol w:w="264"/>
        <w:gridCol w:w="903"/>
        <w:gridCol w:w="159"/>
        <w:gridCol w:w="109"/>
        <w:gridCol w:w="109"/>
        <w:gridCol w:w="109"/>
        <w:gridCol w:w="350"/>
        <w:gridCol w:w="350"/>
        <w:gridCol w:w="933"/>
      </w:tblGrid>
      <w:tr>
        <w:trPr/>
        <w:tc>
          <w:tcPr>
            <w:tcW w:w="1225"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3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 xml:space="preserve">Three Months Ended </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Twelve Months Ended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September 30, 2024</w:t>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18"/>
              </w:rPr>
            </w:pPr>
            <w:r>
              <w:rPr>
                <w:rFonts w:ascii="Arial Narrow;sans-serif" w:hAnsi="Arial Narrow;sans-serif"/>
                <w:b w:val="false"/>
                <w:i/>
                <w:color w:val="000000"/>
                <w:sz w:val="18"/>
              </w:rPr>
              <w:t>(in millions)</w:t>
            </w:r>
          </w:p>
        </w:tc>
        <w:tc>
          <w:tcPr>
            <w:tcW w:w="12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Dollar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 YOY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Dollar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 Change YOY</w:t>
            </w:r>
          </w:p>
        </w:tc>
      </w:tr>
      <w:tr>
        <w:trPr/>
        <w:tc>
          <w:tcPr>
            <w:tcW w:w="3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Consolidated revenues </w:t>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revenues</w:t>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300.9 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8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1,153.8 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9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Consolidated gross profit </w:t>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gross profit</w:t>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178.9 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8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678.1 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9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inventory</w:t>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consolidated net inventory</w:t>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197.2 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8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197.2 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9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gross profit </w:t>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gross profit </w:t>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49.0 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8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176.7 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9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 PLO</w:t>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Latin America Pawn PLO</w:t>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65.0 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8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65.0 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9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PSC revenues </w:t>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PSC revenues </w:t>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31.3 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8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111.8 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9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Latin America Pawn merchandise sales </w:t>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Constant currency Latin America Pawn merchandise sales </w:t>
            </w:r>
          </w:p>
        </w:tc>
        <w:tc>
          <w:tcPr>
            <w:tcW w:w="29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54.5 </w:t>
            </w:r>
          </w:p>
        </w:tc>
        <w:tc>
          <w:tcPr>
            <w:tcW w:w="1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83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199.0 </w:t>
            </w:r>
          </w:p>
        </w:tc>
        <w:tc>
          <w:tcPr>
            <w:tcW w:w="15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93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 segment profit before tax</w:t>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23 </w:t>
            </w:r>
          </w:p>
        </w:tc>
        <w:tc>
          <w:tcPr>
            <w:tcW w:w="93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Currency exchange rate fluctuations</w:t>
            </w:r>
          </w:p>
        </w:tc>
        <w:tc>
          <w:tcPr>
            <w:tcW w:w="11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1"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Constant currency Latin America Pawn segment profit before tax</w:t>
            </w:r>
          </w:p>
        </w:tc>
        <w:tc>
          <w:tcPr>
            <w:tcW w:w="29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10.7 </w:t>
            </w:r>
          </w:p>
        </w:tc>
        <w:tc>
          <w:tcPr>
            <w:tcW w:w="179"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68 </w:t>
            </w:r>
          </w:p>
        </w:tc>
        <w:tc>
          <w:tcPr>
            <w:tcW w:w="831"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3"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38.2 </w:t>
            </w:r>
          </w:p>
        </w:tc>
        <w:tc>
          <w:tcPr>
            <w:tcW w:w="159" w:type="dxa"/>
            <w:tcBorders>
              <w:top w:val="single" w:sz="8" w:space="0" w:color="6D6D6D"/>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933" w:type="dxa"/>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lineRule="auto" w:line="288" w:before="100" w:after="283"/>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6117</Words>
  <Characters>33815</Characters>
  <CharactersWithSpaces>39310</CharactersWithSpaces>
  <Paragraphs>2027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