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2850515</wp:posOffset>
            </wp:positionH>
            <wp:positionV relativeFrom="page">
              <wp:posOffset>448945</wp:posOffset>
            </wp:positionV>
            <wp:extent cx="1869440"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69440" cy="325755"/>
                    </a:xfrm>
                    <a:prstGeom prst="rect">
                      <a:avLst/>
                    </a:prstGeom>
                    <a:noFill/>
                  </pic:spPr>
                </pic:pic>
              </a:graphicData>
            </a:graphic>
          </wp:anchor>
        </w:drawing>
        <w:t>1901 Capital Parkway</w:t>
      </w:r>
    </w:p>
    <w:p>
      <w:pPr>
        <w:spacing w:after="0" w:line="28" w:lineRule="exact"/>
        <w:rPr>
          <w:sz w:val="24"/>
          <w:szCs w:val="24"/>
          <w:color w:val="auto"/>
        </w:rPr>
      </w:pPr>
    </w:p>
    <w:p>
      <w:pPr>
        <w:ind w:left="4800"/>
        <w:spacing w:after="0"/>
        <w:rPr>
          <w:sz w:val="20"/>
          <w:szCs w:val="20"/>
          <w:color w:val="auto"/>
        </w:rPr>
      </w:pPr>
      <w:r>
        <w:rPr>
          <w:rFonts w:ascii="Arial" w:cs="Arial" w:eastAsia="Arial" w:hAnsi="Arial"/>
          <w:sz w:val="22"/>
          <w:szCs w:val="22"/>
          <w:b w:val="1"/>
          <w:bCs w:val="1"/>
          <w:color w:val="auto"/>
        </w:rPr>
        <w:t>Austin, Texas 78746</w:t>
      </w:r>
    </w:p>
    <w:p>
      <w:pPr>
        <w:spacing w:after="0" w:line="200" w:lineRule="exact"/>
        <w:rPr>
          <w:sz w:val="24"/>
          <w:szCs w:val="24"/>
          <w:color w:val="auto"/>
        </w:rPr>
      </w:pPr>
    </w:p>
    <w:p>
      <w:pPr>
        <w:spacing w:after="0" w:line="32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February 7, 2014</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SUBMISSION</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Attention: Mara L. Ransom, Assistant Director</w:t>
      </w:r>
    </w:p>
    <w:p>
      <w:pPr>
        <w:spacing w:after="0" w:line="333" w:lineRule="exact"/>
        <w:rPr>
          <w:sz w:val="24"/>
          <w:szCs w:val="24"/>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EZCORP, Inc. (the "Company")</w:t>
      </w:r>
    </w:p>
    <w:p>
      <w:pPr>
        <w:spacing w:after="0" w:line="23"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Revised Preliminary Proxy Statement on Schedule 14A</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Filed on February 6, 2014</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File No. 000-19424</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4"/>
          <w:szCs w:val="24"/>
          <w:color w:val="auto"/>
        </w:rPr>
      </w:pPr>
    </w:p>
    <w:p>
      <w:pPr>
        <w:ind w:right="240"/>
        <w:spacing w:after="0" w:line="264" w:lineRule="auto"/>
        <w:rPr>
          <w:sz w:val="20"/>
          <w:szCs w:val="20"/>
          <w:color w:val="auto"/>
        </w:rPr>
      </w:pPr>
      <w:r>
        <w:rPr>
          <w:rFonts w:ascii="Arial" w:cs="Arial" w:eastAsia="Arial" w:hAnsi="Arial"/>
          <w:sz w:val="18"/>
          <w:szCs w:val="18"/>
          <w:color w:val="auto"/>
        </w:rPr>
        <w:t>In connection with above-referenced filing, the comments contained in the letter from the Staff of the Division of Corporation Finance (the "Staff") of the Securities and Exchange Commission (the "Commission") dated December 30, 2013 with respect to that filing, and the Company's responses to such comments, the Company hereby acknowledges the following:</w:t>
      </w:r>
    </w:p>
    <w:p>
      <w:pPr>
        <w:spacing w:after="0" w:line="141"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Staff comments or changes to disclosure in response to Staff comments do not foreclose the Commission from taking any action with respect to the filing; and</w:t>
      </w:r>
    </w:p>
    <w:p>
      <w:pPr>
        <w:ind w:left="660" w:right="40" w:hanging="328"/>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200" w:lineRule="exact"/>
        <w:rPr>
          <w:sz w:val="24"/>
          <w:szCs w:val="24"/>
          <w:color w:val="auto"/>
        </w:rPr>
      </w:pPr>
    </w:p>
    <w:p>
      <w:pPr>
        <w:spacing w:after="0" w:line="321" w:lineRule="exact"/>
        <w:rPr>
          <w:sz w:val="24"/>
          <w:szCs w:val="24"/>
          <w:color w:val="auto"/>
        </w:rPr>
      </w:pPr>
    </w:p>
    <w:p>
      <w:pPr>
        <w:ind w:left="5460"/>
        <w:spacing w:after="0"/>
        <w:rPr>
          <w:sz w:val="20"/>
          <w:szCs w:val="20"/>
          <w:color w:val="auto"/>
        </w:rPr>
      </w:pPr>
      <w:r>
        <w:rPr>
          <w:rFonts w:ascii="Arial" w:cs="Arial" w:eastAsia="Arial" w:hAnsi="Arial"/>
          <w:sz w:val="18"/>
          <w:szCs w:val="18"/>
          <w:color w:val="auto"/>
        </w:rPr>
        <w:t>Sincerely,</w:t>
      </w:r>
    </w:p>
    <w:p>
      <w:pPr>
        <w:spacing w:after="0" w:line="63" w:lineRule="exact"/>
        <w:rPr>
          <w:sz w:val="24"/>
          <w:szCs w:val="24"/>
          <w:color w:val="auto"/>
        </w:rPr>
      </w:pPr>
    </w:p>
    <w:p>
      <w:pPr>
        <w:ind w:left="5460"/>
        <w:spacing w:after="0"/>
        <w:rPr>
          <w:sz w:val="20"/>
          <w:szCs w:val="20"/>
          <w:color w:val="auto"/>
        </w:rPr>
      </w:pPr>
      <w:r>
        <w:rPr>
          <w:rFonts w:ascii="Arial" w:cs="Arial" w:eastAsia="Arial" w:hAnsi="Arial"/>
          <w:sz w:val="18"/>
          <w:szCs w:val="18"/>
          <w:color w:val="auto"/>
        </w:rPr>
        <w:t>EZCORP, Inc.</w:t>
      </w:r>
    </w:p>
    <w:p>
      <w:pPr>
        <w:spacing w:after="0" w:line="387" w:lineRule="exact"/>
        <w:rPr>
          <w:sz w:val="24"/>
          <w:szCs w:val="24"/>
          <w:color w:val="auto"/>
        </w:rPr>
      </w:pPr>
    </w:p>
    <w:p>
      <w:pPr>
        <w:ind w:left="5740"/>
        <w:spacing w:after="0"/>
        <w:rPr>
          <w:sz w:val="20"/>
          <w:szCs w:val="20"/>
          <w:color w:val="auto"/>
        </w:rPr>
      </w:pPr>
      <w:r>
        <w:rPr>
          <w:rFonts w:ascii="Arial" w:cs="Arial" w:eastAsia="Arial" w:hAnsi="Arial"/>
          <w:sz w:val="18"/>
          <w:szCs w:val="18"/>
          <w:color w:val="auto"/>
        </w:rPr>
        <w:t>By: /s/ Thomas H. Welch,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3821430</wp:posOffset>
            </wp:positionH>
            <wp:positionV relativeFrom="paragraph">
              <wp:posOffset>31750</wp:posOffset>
            </wp:positionV>
            <wp:extent cx="2941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7" w:lineRule="exact"/>
        <w:rPr>
          <w:sz w:val="24"/>
          <w:szCs w:val="24"/>
          <w:color w:val="auto"/>
        </w:rPr>
      </w:pPr>
    </w:p>
    <w:p>
      <w:pPr>
        <w:ind w:left="6040"/>
        <w:spacing w:after="0"/>
        <w:rPr>
          <w:sz w:val="20"/>
          <w:szCs w:val="20"/>
          <w:color w:val="auto"/>
        </w:rPr>
      </w:pPr>
      <w:r>
        <w:rPr>
          <w:rFonts w:ascii="Arial" w:cs="Arial" w:eastAsia="Arial" w:hAnsi="Arial"/>
          <w:sz w:val="18"/>
          <w:szCs w:val="18"/>
          <w:color w:val="auto"/>
        </w:rPr>
        <w:t>Thomas H. Welch, Jr.,</w:t>
      </w:r>
    </w:p>
    <w:p>
      <w:pPr>
        <w:spacing w:after="0" w:line="63" w:lineRule="exact"/>
        <w:rPr>
          <w:sz w:val="24"/>
          <w:szCs w:val="24"/>
          <w:color w:val="auto"/>
        </w:rPr>
      </w:pPr>
    </w:p>
    <w:p>
      <w:pPr>
        <w:ind w:left="6040"/>
        <w:spacing w:after="0"/>
        <w:rPr>
          <w:sz w:val="20"/>
          <w:szCs w:val="20"/>
          <w:color w:val="auto"/>
        </w:rPr>
      </w:pPr>
      <w:r>
        <w:rPr>
          <w:rFonts w:ascii="Arial" w:cs="Arial" w:eastAsia="Arial" w:hAnsi="Arial"/>
          <w:sz w:val="18"/>
          <w:szCs w:val="18"/>
          <w:color w:val="auto"/>
        </w:rPr>
        <w:t>Senior Vice President,</w:t>
      </w:r>
    </w:p>
    <w:p>
      <w:pPr>
        <w:spacing w:after="0" w:line="63" w:lineRule="exact"/>
        <w:rPr>
          <w:sz w:val="24"/>
          <w:szCs w:val="24"/>
          <w:color w:val="auto"/>
        </w:rPr>
      </w:pPr>
    </w:p>
    <w:p>
      <w:pPr>
        <w:ind w:left="6180"/>
        <w:spacing w:after="0"/>
        <w:rPr>
          <w:sz w:val="20"/>
          <w:szCs w:val="20"/>
          <w:color w:val="auto"/>
        </w:rPr>
      </w:pPr>
      <w:r>
        <w:rPr>
          <w:rFonts w:ascii="Arial" w:cs="Arial" w:eastAsia="Arial" w:hAnsi="Arial"/>
          <w:sz w:val="18"/>
          <w:szCs w:val="18"/>
          <w:color w:val="auto"/>
        </w:rPr>
        <w:t>General Counsel and Secretary</w:t>
      </w:r>
    </w:p>
    <w:sectPr>
      <w:pgSz w:w="11900" w:h="16838" w:orient="portrait"/>
      <w:cols w:equalWidth="0" w:num="1">
        <w:col w:w="11320"/>
      </w:cols>
      <w:pgMar w:left="240" w:top="13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2020-01-25T23:44:49Z</dcterms:created>
  <dcterms:modified xsi:type="dcterms:W3CDTF">2020-01-25T23:44:49Z</dcterms:modified>
</cp:coreProperties>
</file>