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-127635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71" w:lineRule="exact"/>
        <w:rPr>
          <w:sz w:val="24"/>
          <w:szCs w:val="24"/>
          <w:color w:val="auto"/>
        </w:rPr>
      </w:pPr>
    </w:p>
    <w:p>
      <w:pPr>
        <w:ind w:left="4440" w:right="2780" w:hanging="4216"/>
        <w:spacing w:after="0" w:line="308" w:lineRule="auto"/>
        <w:tabs>
          <w:tab w:leader="none" w:pos="72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2017</w:t>
      </w:r>
    </w:p>
    <w:p>
      <w:pPr>
        <w:ind w:left="56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720" w:hanging="462"/>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8"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5400" w:type="dxa"/>
            <w:vAlign w:val="bottom"/>
            <w:gridSpan w:val="2"/>
          </w:tcPr>
          <w:p>
            <w:pPr>
              <w:ind w:left="3280"/>
              <w:spacing w:after="0"/>
              <w:rPr>
                <w:sz w:val="20"/>
                <w:szCs w:val="20"/>
                <w:color w:val="auto"/>
              </w:rPr>
            </w:pPr>
            <w:r>
              <w:rPr>
                <w:rFonts w:ascii="Arial" w:cs="Arial" w:eastAsia="Arial" w:hAnsi="Arial"/>
                <w:sz w:val="16"/>
                <w:szCs w:val="16"/>
                <w:b w:val="1"/>
                <w:bCs w:val="1"/>
                <w:color w:val="auto"/>
                <w:w w:val="93"/>
              </w:rPr>
              <w:t>For the transition period from</w:t>
            </w:r>
          </w:p>
        </w:tc>
        <w:tc>
          <w:tcPr>
            <w:tcW w:w="820" w:type="dxa"/>
            <w:vAlign w:val="bottom"/>
            <w:tcBorders>
              <w:bottom w:val="single" w:sz="8" w:color="auto"/>
            </w:tcBorders>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1720" w:type="dxa"/>
            <w:vAlign w:val="bottom"/>
          </w:tcPr>
          <w:p>
            <w:pPr>
              <w:spacing w:after="0"/>
              <w:rPr>
                <w:sz w:val="16"/>
                <w:szCs w:val="16"/>
                <w:color w:val="auto"/>
              </w:rPr>
            </w:pPr>
          </w:p>
        </w:tc>
      </w:tr>
      <w:tr>
        <w:trPr>
          <w:trHeight w:val="379"/>
        </w:trPr>
        <w:tc>
          <w:tcPr>
            <w:tcW w:w="3340" w:type="dxa"/>
            <w:vAlign w:val="bottom"/>
          </w:tcPr>
          <w:p>
            <w:pPr>
              <w:spacing w:after="0"/>
              <w:rPr>
                <w:sz w:val="24"/>
                <w:szCs w:val="24"/>
                <w:color w:val="auto"/>
              </w:rPr>
            </w:pPr>
          </w:p>
        </w:tc>
        <w:tc>
          <w:tcPr>
            <w:tcW w:w="2880" w:type="dxa"/>
            <w:vAlign w:val="bottom"/>
            <w:gridSpan w:val="2"/>
          </w:tcPr>
          <w:p>
            <w:pPr>
              <w:jc w:val="center"/>
              <w:ind w:left="205"/>
              <w:spacing w:after="0"/>
              <w:rPr>
                <w:sz w:val="20"/>
                <w:szCs w:val="20"/>
                <w:color w:val="auto"/>
              </w:rPr>
            </w:pPr>
            <w:r>
              <w:rPr>
                <w:rFonts w:ascii="Arial" w:cs="Arial" w:eastAsia="Arial" w:hAnsi="Arial"/>
                <w:sz w:val="16"/>
                <w:szCs w:val="16"/>
                <w:b w:val="1"/>
                <w:bCs w:val="1"/>
                <w:color w:val="auto"/>
                <w:w w:val="91"/>
              </w:rPr>
              <w:t>Commission File No. 0-19424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1"/>
        </w:trPr>
        <w:tc>
          <w:tcPr>
            <w:tcW w:w="3340" w:type="dxa"/>
            <w:vAlign w:val="bottom"/>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814"/>
        </w:trPr>
        <w:tc>
          <w:tcPr>
            <w:tcW w:w="3340" w:type="dxa"/>
            <w:vAlign w:val="bottom"/>
          </w:tcPr>
          <w:p>
            <w:pPr>
              <w:spacing w:after="0"/>
              <w:rPr>
                <w:sz w:val="24"/>
                <w:szCs w:val="24"/>
                <w:color w:val="auto"/>
              </w:rPr>
            </w:pPr>
          </w:p>
        </w:tc>
        <w:tc>
          <w:tcPr>
            <w:tcW w:w="2880" w:type="dxa"/>
            <w:vAlign w:val="bottom"/>
            <w:gridSpan w:val="2"/>
          </w:tcPr>
          <w:p>
            <w:pPr>
              <w:jc w:val="center"/>
              <w:ind w:left="225"/>
              <w:spacing w:after="0"/>
              <w:rPr>
                <w:sz w:val="20"/>
                <w:szCs w:val="20"/>
                <w:color w:val="auto"/>
              </w:rPr>
            </w:pPr>
            <w:r>
              <w:rPr>
                <w:rFonts w:ascii="Arial" w:cs="Arial" w:eastAsia="Arial" w:hAnsi="Arial"/>
                <w:sz w:val="22"/>
                <w:szCs w:val="22"/>
                <w:b w:val="1"/>
                <w:bCs w:val="1"/>
                <w:color w:val="auto"/>
                <w:w w:val="97"/>
              </w:rPr>
              <w:t>EZCORP, INC.</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6220" w:type="dxa"/>
            <w:vAlign w:val="bottom"/>
            <w:gridSpan w:val="3"/>
          </w:tcPr>
          <w:p>
            <w:pPr>
              <w:jc w:val="center"/>
              <w:ind w:right="2400"/>
              <w:spacing w:after="0"/>
              <w:rPr>
                <w:sz w:val="20"/>
                <w:szCs w:val="20"/>
                <w:color w:val="auto"/>
              </w:rPr>
            </w:pPr>
            <w:r>
              <w:rPr>
                <w:rFonts w:ascii="Arial" w:cs="Arial" w:eastAsia="Arial" w:hAnsi="Arial"/>
                <w:sz w:val="14"/>
                <w:szCs w:val="14"/>
                <w:b w:val="1"/>
                <w:bCs w:val="1"/>
                <w:color w:val="auto"/>
                <w:w w:val="94"/>
              </w:rPr>
              <w:t>Delaware</w:t>
            </w:r>
          </w:p>
        </w:tc>
        <w:tc>
          <w:tcPr>
            <w:tcW w:w="2740" w:type="dxa"/>
            <w:vAlign w:val="bottom"/>
            <w:gridSpan w:val="4"/>
          </w:tcPr>
          <w:p>
            <w:pPr>
              <w:jc w:val="center"/>
              <w:ind w:left="565"/>
              <w:spacing w:after="0"/>
              <w:rPr>
                <w:sz w:val="20"/>
                <w:szCs w:val="20"/>
                <w:color w:val="auto"/>
              </w:rPr>
            </w:pPr>
            <w:r>
              <w:rPr>
                <w:rFonts w:ascii="Arial" w:cs="Arial" w:eastAsia="Arial" w:hAnsi="Arial"/>
                <w:sz w:val="14"/>
                <w:szCs w:val="14"/>
                <w:b w:val="1"/>
                <w:bCs w:val="1"/>
                <w:color w:val="auto"/>
                <w:w w:val="93"/>
              </w:rPr>
              <w:t>74-2540145</w:t>
            </w:r>
          </w:p>
        </w:tc>
      </w:tr>
      <w:tr>
        <w:trPr>
          <w:trHeight w:val="203"/>
        </w:trPr>
        <w:tc>
          <w:tcPr>
            <w:tcW w:w="6220" w:type="dxa"/>
            <w:vAlign w:val="bottom"/>
            <w:gridSpan w:val="3"/>
          </w:tcPr>
          <w:p>
            <w:pPr>
              <w:jc w:val="center"/>
              <w:ind w:right="238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gridSpan w:val="2"/>
          </w:tcPr>
          <w:p>
            <w:pPr>
              <w:jc w:val="center"/>
              <w:ind w:left="348"/>
              <w:spacing w:after="0"/>
              <w:rPr>
                <w:sz w:val="20"/>
                <w:szCs w:val="20"/>
                <w:color w:val="auto"/>
              </w:rPr>
            </w:pPr>
            <w:r>
              <w:rPr>
                <w:rFonts w:ascii="Arial" w:cs="Arial" w:eastAsia="Arial" w:hAnsi="Arial"/>
                <w:sz w:val="14"/>
                <w:szCs w:val="14"/>
                <w:color w:val="auto"/>
                <w:w w:val="97"/>
              </w:rPr>
              <w:t>(I.R.S. Employer Identification No.)</w:t>
            </w:r>
          </w:p>
        </w:tc>
      </w:tr>
      <w:tr>
        <w:trPr>
          <w:trHeight w:val="338"/>
        </w:trPr>
        <w:tc>
          <w:tcPr>
            <w:tcW w:w="6220" w:type="dxa"/>
            <w:vAlign w:val="bottom"/>
            <w:gridSpan w:val="3"/>
          </w:tcPr>
          <w:p>
            <w:pPr>
              <w:jc w:val="center"/>
              <w:ind w:right="2400"/>
              <w:spacing w:after="0"/>
              <w:rPr>
                <w:sz w:val="20"/>
                <w:szCs w:val="20"/>
                <w:color w:val="auto"/>
              </w:rPr>
            </w:pPr>
            <w:r>
              <w:rPr>
                <w:rFonts w:ascii="Arial" w:cs="Arial" w:eastAsia="Arial" w:hAnsi="Arial"/>
                <w:sz w:val="14"/>
                <w:szCs w:val="14"/>
                <w:b w:val="1"/>
                <w:bCs w:val="1"/>
                <w:color w:val="auto"/>
                <w:w w:val="91"/>
              </w:rPr>
              <w:t>2500 Bee Cave Road, Bldg One, Suite 200, Rollingwood, Texas</w:t>
            </w:r>
          </w:p>
        </w:tc>
        <w:tc>
          <w:tcPr>
            <w:tcW w:w="2740" w:type="dxa"/>
            <w:vAlign w:val="bottom"/>
            <w:gridSpan w:val="4"/>
          </w:tcPr>
          <w:p>
            <w:pPr>
              <w:jc w:val="center"/>
              <w:ind w:left="505"/>
              <w:spacing w:after="0"/>
              <w:rPr>
                <w:sz w:val="20"/>
                <w:szCs w:val="20"/>
                <w:color w:val="auto"/>
              </w:rPr>
            </w:pPr>
            <w:r>
              <w:rPr>
                <w:rFonts w:ascii="Arial" w:cs="Arial" w:eastAsia="Arial" w:hAnsi="Arial"/>
                <w:sz w:val="14"/>
                <w:szCs w:val="14"/>
                <w:b w:val="1"/>
                <w:bCs w:val="1"/>
                <w:color w:val="auto"/>
                <w:w w:val="92"/>
              </w:rPr>
              <w:t>78746</w:t>
            </w:r>
          </w:p>
        </w:tc>
      </w:tr>
      <w:tr>
        <w:trPr>
          <w:trHeight w:val="203"/>
        </w:trPr>
        <w:tc>
          <w:tcPr>
            <w:tcW w:w="6220" w:type="dxa"/>
            <w:vAlign w:val="bottom"/>
            <w:gridSpan w:val="3"/>
          </w:tcPr>
          <w:p>
            <w:pPr>
              <w:jc w:val="center"/>
              <w:ind w:right="2380"/>
              <w:spacing w:after="0"/>
              <w:rPr>
                <w:sz w:val="20"/>
                <w:szCs w:val="20"/>
                <w:color w:val="auto"/>
              </w:rPr>
            </w:pPr>
            <w:r>
              <w:rPr>
                <w:rFonts w:ascii="Arial" w:cs="Arial" w:eastAsia="Arial" w:hAnsi="Arial"/>
                <w:sz w:val="14"/>
                <w:szCs w:val="14"/>
                <w:color w:val="auto"/>
                <w:w w:val="95"/>
              </w:rPr>
              <w:t>(Address of principal executive offices)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20" w:type="dxa"/>
            <w:vAlign w:val="bottom"/>
          </w:tcPr>
          <w:p>
            <w:pPr>
              <w:jc w:val="center"/>
              <w:ind w:right="328"/>
              <w:spacing w:after="0"/>
              <w:rPr>
                <w:sz w:val="20"/>
                <w:szCs w:val="20"/>
                <w:color w:val="auto"/>
              </w:rPr>
            </w:pPr>
            <w:r>
              <w:rPr>
                <w:rFonts w:ascii="Arial" w:cs="Arial" w:eastAsia="Arial" w:hAnsi="Arial"/>
                <w:sz w:val="14"/>
                <w:szCs w:val="14"/>
                <w:color w:val="auto"/>
                <w:w w:val="96"/>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-1115060</wp:posOffset>
            </wp:positionV>
            <wp:extent cx="108077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17145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 (</w:t>
      </w:r>
      <w:r>
        <w:rPr>
          <w:rFonts w:ascii="Arial" w:cs="Arial" w:eastAsia="Arial" w:hAnsi="Arial"/>
          <w:sz w:val="14"/>
          <w:szCs w:val="14"/>
          <w:b w:val="1"/>
          <w:bCs w:val="1"/>
          <w:color w:val="auto"/>
        </w:rPr>
        <w:t>512) 314-3400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Borders>
              <w:bottom w:val="single" w:sz="8" w:color="auto"/>
            </w:tcBorders>
          </w:tcPr>
          <w:p>
            <w:pPr>
              <w:ind w:left="2480"/>
              <w:spacing w:after="0"/>
              <w:rPr>
                <w:sz w:val="20"/>
                <w:szCs w:val="20"/>
                <w:color w:val="auto"/>
              </w:rPr>
            </w:pPr>
            <w:r>
              <w:rPr>
                <w:rFonts w:ascii="Arial" w:cs="Arial" w:eastAsia="Arial" w:hAnsi="Arial"/>
                <w:sz w:val="14"/>
                <w:szCs w:val="14"/>
                <w:color w:val="auto"/>
              </w:rPr>
              <w:t>Title of Each Class</w:t>
            </w:r>
          </w:p>
        </w:tc>
        <w:tc>
          <w:tcPr>
            <w:tcW w:w="2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90"/>
        </w:trPr>
        <w:tc>
          <w:tcPr>
            <w:tcW w:w="3800" w:type="dxa"/>
            <w:vAlign w:val="bottom"/>
          </w:tcPr>
          <w:p>
            <w:pPr>
              <w:ind w:left="40"/>
              <w:spacing w:after="0"/>
              <w:rPr>
                <w:sz w:val="20"/>
                <w:szCs w:val="20"/>
                <w:color w:val="auto"/>
              </w:rPr>
            </w:pPr>
            <w:r>
              <w:rPr>
                <w:rFonts w:ascii="Arial" w:cs="Arial" w:eastAsia="Arial" w:hAnsi="Arial"/>
                <w:sz w:val="14"/>
                <w:szCs w:val="14"/>
                <w:b w:val="1"/>
                <w:bCs w:val="1"/>
                <w:color w:val="auto"/>
                <w:w w:val="92"/>
              </w:rPr>
              <w:t>Class A Non-voting Common Stock, $.01 par value per share</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w:t>
            </w:r>
          </w:p>
        </w:tc>
      </w:tr>
      <w:tr>
        <w:trPr>
          <w:trHeight w:val="192"/>
        </w:trPr>
        <w:tc>
          <w:tcPr>
            <w:tcW w:w="3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7"/>
              </w:rPr>
              <w:t>(NASDAQ Global Select Market)</w:t>
            </w:r>
          </w:p>
        </w:tc>
      </w:tr>
      <w:tr>
        <w:trPr>
          <w:trHeight w:val="186"/>
        </w:trPr>
        <w:tc>
          <w:tcPr>
            <w:tcW w:w="3800" w:type="dxa"/>
            <w:vAlign w:val="bottom"/>
          </w:tcPr>
          <w:p>
            <w:pPr>
              <w:spacing w:after="0"/>
              <w:rPr>
                <w:sz w:val="16"/>
                <w:szCs w:val="16"/>
                <w:color w:val="auto"/>
              </w:rPr>
            </w:pPr>
          </w:p>
        </w:tc>
        <w:tc>
          <w:tcPr>
            <w:tcW w:w="7620" w:type="dxa"/>
            <w:vAlign w:val="bottom"/>
            <w:gridSpan w:val="3"/>
          </w:tcPr>
          <w:p>
            <w:pPr>
              <w:ind w:left="4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r>
    </w:tbl>
    <w:p>
      <w:pPr>
        <w:spacing w:after="0" w:line="6" w:lineRule="exact"/>
        <w:rPr>
          <w:sz w:val="24"/>
          <w:szCs w:val="24"/>
          <w:color w:val="auto"/>
        </w:rPr>
      </w:pPr>
    </w:p>
    <w:p>
      <w:pPr>
        <w:ind w:right="38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o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18"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8" w:lineRule="exact"/>
        <w:rPr>
          <w:sz w:val="24"/>
          <w:szCs w:val="24"/>
          <w:color w:val="auto"/>
        </w:rPr>
      </w:pPr>
    </w:p>
    <w:p>
      <w:pPr>
        <w:ind w:right="560"/>
        <w:spacing w:after="0" w:line="273" w:lineRule="auto"/>
        <w:rPr>
          <w:sz w:val="20"/>
          <w:szCs w:val="20"/>
          <w:color w:val="auto"/>
        </w:rPr>
      </w:pPr>
      <w:r>
        <w:rPr>
          <w:rFonts w:ascii="Arial" w:cs="Arial" w:eastAsia="Arial" w:hAnsi="Arial"/>
          <w:sz w:val="14"/>
          <w:szCs w:val="14"/>
          <w:color w:val="auto"/>
        </w:rPr>
        <w:t>Indicate by check mark if disclosures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2" w:lineRule="exact"/>
        <w:rPr>
          <w:sz w:val="24"/>
          <w:szCs w:val="24"/>
          <w:color w:val="auto"/>
        </w:rPr>
      </w:pPr>
    </w:p>
    <w:p>
      <w:pPr>
        <w:ind w:right="4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“smaller reporting company” and “emerging growth company” in Rule 12b-2 of the Exchange Act.</w:t>
      </w:r>
    </w:p>
    <w:p>
      <w:pPr>
        <w:spacing w:after="0" w:line="268" w:lineRule="exact"/>
        <w:rPr>
          <w:sz w:val="24"/>
          <w:szCs w:val="24"/>
          <w:color w:val="auto"/>
        </w:rPr>
      </w:pPr>
    </w:p>
    <w:tbl>
      <w:tblPr>
        <w:tblLayout w:type="fixed"/>
        <w:tblInd w:w="1900" w:type="dxa"/>
        <w:tblCellMar>
          <w:top w:w="0" w:type="dxa"/>
          <w:left w:w="0" w:type="dxa"/>
          <w:bottom w:w="0" w:type="dxa"/>
          <w:right w:w="0" w:type="dxa"/>
        </w:tblCellMar>
      </w:tblP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920" w:type="dxa"/>
            <w:vAlign w:val="bottom"/>
          </w:tcPr>
          <w:p>
            <w:pPr>
              <w:ind w:left="660"/>
              <w:spacing w:after="0"/>
              <w:rPr>
                <w:sz w:val="20"/>
                <w:szCs w:val="20"/>
                <w:color w:val="auto"/>
              </w:rPr>
            </w:pPr>
            <w:r>
              <w:rPr>
                <w:rFonts w:ascii="Arial" w:cs="Arial" w:eastAsia="Arial" w:hAnsi="Arial"/>
                <w:sz w:val="14"/>
                <w:szCs w:val="14"/>
                <w:color w:val="auto"/>
              </w:rPr>
              <w:t>o</w:t>
            </w:r>
          </w:p>
        </w:tc>
        <w:tc>
          <w:tcPr>
            <w:tcW w:w="360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8"/>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920" w:type="dxa"/>
            <w:vAlign w:val="bottom"/>
          </w:tcPr>
          <w:p>
            <w:pPr>
              <w:ind w:left="660"/>
              <w:spacing w:after="0"/>
              <w:rPr>
                <w:sz w:val="20"/>
                <w:szCs w:val="20"/>
                <w:color w:val="auto"/>
              </w:rPr>
            </w:pPr>
            <w:r>
              <w:rPr>
                <w:rFonts w:ascii="Arial" w:cs="Arial" w:eastAsia="Arial" w:hAnsi="Arial"/>
                <w:sz w:val="14"/>
                <w:szCs w:val="14"/>
                <w:color w:val="auto"/>
              </w:rPr>
              <w:t>o</w:t>
            </w:r>
          </w:p>
        </w:tc>
        <w:tc>
          <w:tcPr>
            <w:tcW w:w="3600" w:type="dxa"/>
            <w:vAlign w:val="bottom"/>
          </w:tcPr>
          <w:p>
            <w:pPr>
              <w:ind w:left="200"/>
              <w:spacing w:after="0"/>
              <w:rPr>
                <w:sz w:val="20"/>
                <w:szCs w:val="20"/>
                <w:color w:val="auto"/>
              </w:rPr>
            </w:pPr>
            <w:r>
              <w:rPr>
                <w:rFonts w:ascii="Arial" w:cs="Arial" w:eastAsia="Arial" w:hAnsi="Arial"/>
                <w:sz w:val="14"/>
                <w:szCs w:val="14"/>
                <w:color w:val="auto"/>
              </w:rPr>
              <w:t>(Do not check if a smaller reporting company)</w:t>
            </w:r>
          </w:p>
        </w:tc>
        <w:tc>
          <w:tcPr>
            <w:tcW w:w="8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40"/>
              <w:spacing w:after="0"/>
              <w:rPr>
                <w:sz w:val="20"/>
                <w:szCs w:val="20"/>
                <w:color w:val="auto"/>
              </w:rPr>
            </w:pPr>
            <w:r>
              <w:rPr>
                <w:rFonts w:ascii="Arial" w:cs="Arial" w:eastAsia="Arial" w:hAnsi="Arial"/>
                <w:sz w:val="14"/>
                <w:szCs w:val="14"/>
                <w:color w:val="auto"/>
              </w:rPr>
              <w:t>o</w:t>
            </w:r>
          </w:p>
        </w:tc>
      </w:tr>
      <w:tr>
        <w:trPr>
          <w:trHeight w:val="270"/>
        </w:trPr>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40"/>
              <w:spacing w:after="0"/>
              <w:rPr>
                <w:sz w:val="20"/>
                <w:szCs w:val="20"/>
                <w:color w:val="auto"/>
              </w:rPr>
            </w:pPr>
            <w:r>
              <w:rPr>
                <w:rFonts w:ascii="Arial" w:cs="Arial" w:eastAsia="Arial" w:hAnsi="Arial"/>
                <w:sz w:val="14"/>
                <w:szCs w:val="14"/>
                <w:color w:val="auto"/>
              </w:rPr>
              <w:t>o</w:t>
            </w:r>
          </w:p>
        </w:tc>
      </w:tr>
    </w:tbl>
    <w:p>
      <w:pPr>
        <w:spacing w:after="0" w:line="155"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73" w:lineRule="exact"/>
        <w:rPr>
          <w:sz w:val="24"/>
          <w:szCs w:val="24"/>
          <w:color w:val="auto"/>
        </w:rPr>
      </w:pPr>
    </w:p>
    <w:p>
      <w:pPr>
        <w:jc w:val="both"/>
        <w:ind w:right="120"/>
        <w:spacing w:after="0" w:line="257"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 single stockholder. There is no trading market for the Class B Voting Common Stock. The aggregate market value of the Class A Non-Voting Common Stock held by non-affiliates of the registrant was $432 million, based on the closing price on the NASDAQ Stock Market on March 31, 2017.</w:t>
      </w:r>
    </w:p>
    <w:p>
      <w:pPr>
        <w:spacing w:after="0" w:line="23" w:lineRule="exact"/>
        <w:rPr>
          <w:sz w:val="24"/>
          <w:szCs w:val="24"/>
          <w:color w:val="auto"/>
        </w:rPr>
      </w:pPr>
    </w:p>
    <w:p>
      <w:pPr>
        <w:ind w:right="380"/>
        <w:spacing w:after="0" w:line="273" w:lineRule="auto"/>
        <w:rPr>
          <w:sz w:val="20"/>
          <w:szCs w:val="20"/>
          <w:color w:val="auto"/>
        </w:rPr>
      </w:pPr>
      <w:r>
        <w:rPr>
          <w:rFonts w:ascii="Arial" w:cs="Arial" w:eastAsia="Arial" w:hAnsi="Arial"/>
          <w:sz w:val="14"/>
          <w:szCs w:val="14"/>
          <w:color w:val="auto"/>
        </w:rPr>
        <w:t>As of November 10, 2017, 51,427,832 shares of the registrant’s Class A Non-Voting Common Stock, par value $.01 per share, and 2,970,171 shares of the registrant’s Class B Voting Common Stock, par value $.01 per share, were outstanding.</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9"/>
              </w:rPr>
              <w:t>EZCORP, INC.</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40" w:type="dxa"/>
            <w:vAlign w:val="bottom"/>
            <w:gridSpan w:val="15"/>
          </w:tcPr>
          <w:p>
            <w:pPr>
              <w:jc w:val="center"/>
              <w:ind w:right="1700"/>
              <w:spacing w:after="0"/>
              <w:rPr>
                <w:sz w:val="20"/>
                <w:szCs w:val="20"/>
                <w:color w:val="auto"/>
              </w:rPr>
            </w:pPr>
            <w:r>
              <w:rPr>
                <w:rFonts w:ascii="Arial" w:cs="Arial" w:eastAsia="Arial" w:hAnsi="Arial"/>
                <w:sz w:val="18"/>
                <w:szCs w:val="18"/>
                <w:b w:val="1"/>
                <w:bCs w:val="1"/>
                <w:color w:val="auto"/>
                <w:w w:val="97"/>
              </w:rPr>
              <w:t>YEAR ENDED SEPTEMBER 30, 2017</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80" w:type="dxa"/>
            <w:vAlign w:val="bottom"/>
            <w:gridSpan w:val="13"/>
          </w:tcPr>
          <w:p>
            <w:pPr>
              <w:jc w:val="center"/>
              <w:ind w:right="2860"/>
              <w:spacing w:after="0"/>
              <w:rPr>
                <w:sz w:val="20"/>
                <w:szCs w:val="20"/>
                <w:color w:val="auto"/>
              </w:rPr>
            </w:pPr>
            <w:r>
              <w:rPr>
                <w:rFonts w:ascii="Arial" w:cs="Arial" w:eastAsia="Arial" w:hAnsi="Arial"/>
                <w:sz w:val="18"/>
                <w:szCs w:val="18"/>
                <w:b w:val="1"/>
                <w:bCs w:val="1"/>
                <w:color w:val="auto"/>
              </w:rPr>
              <w:t>INDEX TO FORM 10-K</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26"/>
        </w:trPr>
        <w:tc>
          <w:tcPr>
            <w:tcW w:w="9540" w:type="dxa"/>
            <w:vAlign w:val="bottom"/>
            <w:gridSpan w:val="30"/>
          </w:tcPr>
          <w:p>
            <w:pPr>
              <w:spacing w:after="0"/>
              <w:rPr>
                <w:sz w:val="20"/>
                <w:szCs w:val="20"/>
                <w:color w:val="auto"/>
              </w:rPr>
            </w:pPr>
            <w:r>
              <w:rPr>
                <w:rFonts w:ascii="Arial" w:cs="Arial" w:eastAsia="Arial" w:hAnsi="Arial"/>
                <w:sz w:val="14"/>
                <w:szCs w:val="14"/>
                <w:color w:val="auto"/>
              </w:rPr>
              <w:t>Item</w:t>
            </w:r>
          </w:p>
        </w:tc>
        <w:tc>
          <w:tcPr>
            <w:tcW w:w="1820" w:type="dxa"/>
            <w:vAlign w:val="bottom"/>
            <w:gridSpan w:val="6"/>
          </w:tcPr>
          <w:p>
            <w:pPr>
              <w:jc w:val="right"/>
              <w:ind w:right="150"/>
              <w:spacing w:after="0"/>
              <w:rPr>
                <w:sz w:val="20"/>
                <w:szCs w:val="20"/>
                <w:color w:val="auto"/>
              </w:rPr>
            </w:pPr>
            <w:r>
              <w:rPr>
                <w:rFonts w:ascii="Arial" w:cs="Arial" w:eastAsia="Arial" w:hAnsi="Arial"/>
                <w:sz w:val="14"/>
                <w:szCs w:val="14"/>
                <w:color w:val="auto"/>
              </w:rPr>
              <w:t>Page</w:t>
            </w:r>
          </w:p>
        </w:tc>
      </w:tr>
      <w:tr>
        <w:trPr>
          <w:trHeight w:val="174"/>
        </w:trPr>
        <w:tc>
          <w:tcPr>
            <w:tcW w:w="9540" w:type="dxa"/>
            <w:vAlign w:val="bottom"/>
            <w:gridSpan w:val="30"/>
          </w:tcPr>
          <w:p>
            <w:pPr>
              <w:spacing w:after="0"/>
              <w:rPr>
                <w:sz w:val="20"/>
                <w:szCs w:val="20"/>
                <w:color w:val="auto"/>
              </w:rPr>
            </w:pPr>
            <w:r>
              <w:rPr>
                <w:rFonts w:ascii="Arial" w:cs="Arial" w:eastAsia="Arial" w:hAnsi="Arial"/>
                <w:sz w:val="14"/>
                <w:szCs w:val="14"/>
                <w:color w:val="auto"/>
              </w:rPr>
              <w:t>No.</w:t>
            </w:r>
          </w:p>
        </w:tc>
        <w:tc>
          <w:tcPr>
            <w:tcW w:w="1820" w:type="dxa"/>
            <w:vAlign w:val="bottom"/>
            <w:gridSpan w:val="6"/>
          </w:tcPr>
          <w:p>
            <w:pPr>
              <w:jc w:val="right"/>
              <w:ind w:right="190"/>
              <w:spacing w:after="0"/>
              <w:rPr>
                <w:sz w:val="20"/>
                <w:szCs w:val="20"/>
                <w:color w:val="auto"/>
              </w:rPr>
            </w:pPr>
            <w:r>
              <w:rPr>
                <w:rFonts w:ascii="Arial" w:cs="Arial" w:eastAsia="Arial" w:hAnsi="Arial"/>
                <w:sz w:val="14"/>
                <w:szCs w:val="14"/>
                <w:color w:val="auto"/>
              </w:rPr>
              <w:t>No.</w:t>
            </w:r>
          </w:p>
        </w:tc>
      </w:tr>
      <w:tr>
        <w:trPr>
          <w:trHeight w:val="345"/>
        </w:trPr>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0"/>
          </w:tcPr>
          <w:p>
            <w:pPr>
              <w:jc w:val="center"/>
              <w:ind w:right="39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1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1.</w:t>
              </w:r>
            </w:hyperlink>
          </w:p>
        </w:tc>
        <w:tc>
          <w:tcPr>
            <w:tcW w:w="660" w:type="dxa"/>
            <w:vAlign w:val="bottom"/>
            <w:tcBorders>
              <w:bottom w:val="single" w:sz="8" w:color="0000EE"/>
            </w:tcBorders>
            <w:gridSpan w:val="3"/>
          </w:tcPr>
          <w:p>
            <w:pPr>
              <w:ind w:left="20"/>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160" w:type="dxa"/>
            <w:vAlign w:val="bottom"/>
            <w:gridSpan w:val="16"/>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3980" w:type="dxa"/>
            <w:vAlign w:val="bottom"/>
            <w:gridSpan w:val="9"/>
          </w:tcPr>
          <w:p>
            <w:pPr>
              <w:spacing w:after="0"/>
              <w:rPr>
                <w:sz w:val="21"/>
                <w:szCs w:val="21"/>
                <w:color w:val="auto"/>
              </w:rPr>
            </w:pPr>
          </w:p>
        </w:tc>
        <w:tc>
          <w:tcPr>
            <w:tcW w:w="1720" w:type="dxa"/>
            <w:vAlign w:val="bottom"/>
            <w:gridSpan w:val="5"/>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gridSpan w:val="6"/>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1A. Risk Factors</w:t>
              </w:r>
            </w:hyperlink>
          </w:p>
        </w:tc>
        <w:tc>
          <w:tcPr>
            <w:tcW w:w="8320" w:type="dxa"/>
            <w:vAlign w:val="bottom"/>
            <w:gridSpan w:val="2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540" w:type="dxa"/>
            <w:vAlign w:val="bottom"/>
            <w:gridSpan w:val="3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1B. Unresolved Staff Comments</w:t>
              </w:r>
            </w:hyperlink>
          </w:p>
        </w:tc>
        <w:tc>
          <w:tcPr>
            <w:tcW w:w="1820" w:type="dxa"/>
            <w:vAlign w:val="bottom"/>
            <w:gridSpan w:val="6"/>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2.</w:t>
              </w:r>
            </w:hyperlink>
          </w:p>
        </w:tc>
        <w:tc>
          <w:tcPr>
            <w:tcW w:w="2180" w:type="dxa"/>
            <w:vAlign w:val="bottom"/>
            <w:gridSpan w:val="11"/>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7200" w:type="dxa"/>
            <w:vAlign w:val="bottom"/>
            <w:gridSpan w:val="18"/>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3.</w:t>
              </w:r>
            </w:hyperlink>
          </w:p>
        </w:tc>
        <w:tc>
          <w:tcPr>
            <w:tcW w:w="9380" w:type="dxa"/>
            <w:vAlign w:val="bottom"/>
            <w:gridSpan w:val="29"/>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820" w:type="dxa"/>
            <w:vAlign w:val="bottom"/>
            <w:gridSpan w:val="6"/>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33FF"/>
                <w:w w:val="92"/>
              </w:rPr>
            </w:pPr>
            <w:hyperlink w:anchor="page18">
              <w:r>
                <w:rPr>
                  <w:rFonts w:ascii="Arial" w:cs="Arial" w:eastAsia="Arial" w:hAnsi="Arial"/>
                  <w:sz w:val="18"/>
                  <w:szCs w:val="18"/>
                  <w:color w:val="0033FF"/>
                  <w:w w:val="92"/>
                </w:rPr>
                <w:t>4.</w:t>
              </w:r>
            </w:hyperlink>
          </w:p>
        </w:tc>
        <w:tc>
          <w:tcPr>
            <w:tcW w:w="9380" w:type="dxa"/>
            <w:vAlign w:val="bottom"/>
            <w:gridSpan w:val="29"/>
          </w:tcPr>
          <w:p>
            <w:pPr>
              <w:ind w:left="20"/>
              <w:spacing w:after="0"/>
              <w:rPr>
                <w:rFonts w:ascii="Arial" w:cs="Arial" w:eastAsia="Arial" w:hAnsi="Arial"/>
                <w:sz w:val="18"/>
                <w:szCs w:val="18"/>
                <w:color w:val="0033FF"/>
              </w:rPr>
            </w:pPr>
            <w:hyperlink w:anchor="page18">
              <w:r>
                <w:rPr>
                  <w:rFonts w:ascii="Arial" w:cs="Arial" w:eastAsia="Arial" w:hAnsi="Arial"/>
                  <w:sz w:val="18"/>
                  <w:szCs w:val="18"/>
                  <w:color w:val="0033FF"/>
                </w:rPr>
                <w:t>Mine Safety Disclosures</w:t>
              </w:r>
            </w:hyperlink>
          </w:p>
        </w:tc>
        <w:tc>
          <w:tcPr>
            <w:tcW w:w="1820" w:type="dxa"/>
            <w:vAlign w:val="bottom"/>
            <w:gridSpan w:val="6"/>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372"/>
        </w:trPr>
        <w:tc>
          <w:tcPr>
            <w:tcW w:w="160" w:type="dxa"/>
            <w:vAlign w:val="bottom"/>
            <w:tcBorders>
              <w:top w:val="single" w:sz="8" w:color="0033FF"/>
            </w:tcBorders>
          </w:tcPr>
          <w:p>
            <w:pPr>
              <w:spacing w:after="0"/>
              <w:rPr>
                <w:sz w:val="24"/>
                <w:szCs w:val="24"/>
                <w:color w:val="auto"/>
              </w:rPr>
            </w:pPr>
          </w:p>
        </w:tc>
        <w:tc>
          <w:tcPr>
            <w:tcW w:w="40" w:type="dxa"/>
            <w:vAlign w:val="bottom"/>
            <w:tcBorders>
              <w:top w:val="single" w:sz="8" w:color="0033FF"/>
            </w:tcBorders>
          </w:tcPr>
          <w:p>
            <w:pPr>
              <w:spacing w:after="0"/>
              <w:rPr>
                <w:sz w:val="24"/>
                <w:szCs w:val="24"/>
                <w:color w:val="auto"/>
              </w:rPr>
            </w:pPr>
          </w:p>
        </w:tc>
        <w:tc>
          <w:tcPr>
            <w:tcW w:w="56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32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10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jc w:val="center"/>
              <w:ind w:right="394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5.</w:t>
              </w:r>
            </w:hyperlink>
          </w:p>
        </w:tc>
        <w:tc>
          <w:tcPr>
            <w:tcW w:w="8100" w:type="dxa"/>
            <w:vAlign w:val="bottom"/>
            <w:gridSpan w:val="28"/>
          </w:tcPr>
          <w:p>
            <w:pPr>
              <w:ind w:left="20"/>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Market for Registrant’s Common Equity, Related Stockholder Matters and Issuer Purchases of Equity Securities</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6.</w:t>
              </w:r>
            </w:hyperlink>
          </w:p>
        </w:tc>
        <w:tc>
          <w:tcPr>
            <w:tcW w:w="8100" w:type="dxa"/>
            <w:vAlign w:val="bottom"/>
            <w:gridSpan w:val="28"/>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7.</w:t>
              </w:r>
            </w:hyperlink>
          </w:p>
        </w:tc>
        <w:tc>
          <w:tcPr>
            <w:tcW w:w="6480" w:type="dxa"/>
            <w:vAlign w:val="bottom"/>
            <w:gridSpan w:val="25"/>
          </w:tcPr>
          <w:p>
            <w:pPr>
              <w:ind w:left="20"/>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40" w:type="dxa"/>
            <w:vAlign w:val="bottom"/>
            <w:gridSpan w:val="2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7A. Quantitative and Qualitative Disclosures About Market Risk</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8.</w:t>
              </w:r>
            </w:hyperlink>
          </w:p>
        </w:tc>
        <w:tc>
          <w:tcPr>
            <w:tcW w:w="4500" w:type="dxa"/>
            <w:vAlign w:val="bottom"/>
            <w:gridSpan w:val="16"/>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4880" w:type="dxa"/>
            <w:vAlign w:val="bottom"/>
            <w:gridSpan w:val="1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9.</w:t>
              </w:r>
            </w:hyperlink>
          </w:p>
        </w:tc>
        <w:tc>
          <w:tcPr>
            <w:tcW w:w="6500" w:type="dxa"/>
            <w:vAlign w:val="bottom"/>
            <w:gridSpan w:val="26"/>
          </w:tcPr>
          <w:p>
            <w:pPr>
              <w:ind w:left="20"/>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Changes in and Disagreements with Accountants on Accounting and Financial Disclosure</w:t>
              </w:r>
            </w:hyperlink>
          </w:p>
        </w:tc>
        <w:tc>
          <w:tcPr>
            <w:tcW w:w="2880" w:type="dxa"/>
            <w:vAlign w:val="bottom"/>
            <w:gridSpan w:val="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60" w:type="dxa"/>
            <w:vAlign w:val="bottom"/>
            <w:gridSpan w:val="11"/>
          </w:tcPr>
          <w:p>
            <w:pPr>
              <w:spacing w:after="0"/>
              <w:rPr>
                <w:rFonts w:ascii="Arial" w:cs="Arial" w:eastAsia="Arial" w:hAnsi="Arial"/>
                <w:sz w:val="18"/>
                <w:szCs w:val="18"/>
                <w:color w:val="0000EE"/>
                <w:w w:val="87"/>
              </w:rPr>
            </w:pPr>
            <w:hyperlink w:anchor="page97">
              <w:r>
                <w:rPr>
                  <w:rFonts w:ascii="Arial" w:cs="Arial" w:eastAsia="Arial" w:hAnsi="Arial"/>
                  <w:sz w:val="18"/>
                  <w:szCs w:val="18"/>
                  <w:color w:val="0000EE"/>
                  <w:w w:val="87"/>
                </w:rPr>
                <w:t>9A. Controls and Procedures</w:t>
              </w:r>
            </w:hyperlink>
          </w:p>
        </w:tc>
        <w:tc>
          <w:tcPr>
            <w:tcW w:w="4600" w:type="dxa"/>
            <w:vAlign w:val="bottom"/>
            <w:gridSpan w:val="16"/>
          </w:tcPr>
          <w:p>
            <w:pPr>
              <w:spacing w:after="0"/>
              <w:rPr>
                <w:sz w:val="21"/>
                <w:szCs w:val="21"/>
                <w:color w:val="auto"/>
              </w:rPr>
            </w:pPr>
          </w:p>
        </w:tc>
        <w:tc>
          <w:tcPr>
            <w:tcW w:w="2880" w:type="dxa"/>
            <w:vAlign w:val="bottom"/>
            <w:gridSpan w:val="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96</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60" w:type="dxa"/>
            <w:vAlign w:val="bottom"/>
            <w:gridSpan w:val="1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9B. Other Information</w:t>
              </w:r>
            </w:hyperlink>
          </w:p>
        </w:tc>
        <w:tc>
          <w:tcPr>
            <w:tcW w:w="7480" w:type="dxa"/>
            <w:vAlign w:val="bottom"/>
            <w:gridSpan w:val="19"/>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98</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gridSpan w:val="13"/>
          </w:tcPr>
          <w:p>
            <w:pPr>
              <w:jc w:val="center"/>
              <w:ind w:right="3640"/>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III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360" w:type="dxa"/>
            <w:vAlign w:val="bottom"/>
            <w:gridSpan w:val="16"/>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10. Directors, Executive Officers and Corporate Governance</w:t>
              </w:r>
            </w:hyperlink>
          </w:p>
        </w:tc>
        <w:tc>
          <w:tcPr>
            <w:tcW w:w="560" w:type="dxa"/>
            <w:vAlign w:val="bottom"/>
            <w:gridSpan w:val="2"/>
          </w:tcPr>
          <w:p>
            <w:pPr>
              <w:spacing w:after="0"/>
              <w:rPr>
                <w:sz w:val="21"/>
                <w:szCs w:val="21"/>
                <w:color w:val="auto"/>
              </w:rPr>
            </w:pPr>
          </w:p>
        </w:tc>
        <w:tc>
          <w:tcPr>
            <w:tcW w:w="740" w:type="dxa"/>
            <w:vAlign w:val="bottom"/>
            <w:tcBorders>
              <w:top w:val="single" w:sz="8" w:color="0000EE"/>
            </w:tcBorders>
            <w:gridSpan w:val="6"/>
          </w:tcPr>
          <w:p>
            <w:pPr>
              <w:spacing w:after="0"/>
              <w:rPr>
                <w:sz w:val="21"/>
                <w:szCs w:val="21"/>
                <w:color w:val="auto"/>
              </w:rPr>
            </w:pPr>
          </w:p>
        </w:tc>
        <w:tc>
          <w:tcPr>
            <w:tcW w:w="3880" w:type="dxa"/>
            <w:vAlign w:val="bottom"/>
            <w:gridSpan w:val="6"/>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99</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360" w:type="dxa"/>
            <w:vAlign w:val="bottom"/>
            <w:gridSpan w:val="1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11. Executive Compensation</w:t>
              </w:r>
            </w:hyperlink>
          </w:p>
        </w:tc>
        <w:tc>
          <w:tcPr>
            <w:tcW w:w="5180" w:type="dxa"/>
            <w:vAlign w:val="bottom"/>
            <w:gridSpan w:val="1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106</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250"/>
        </w:trPr>
        <w:tc>
          <w:tcPr>
            <w:tcW w:w="756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12. Security Ownership of Certain Beneficial Owners and Management and Related Stockholder Matters</w:t>
              </w:r>
            </w:hyperlink>
          </w:p>
        </w:tc>
        <w:tc>
          <w:tcPr>
            <w:tcW w:w="1980" w:type="dxa"/>
            <w:vAlign w:val="bottom"/>
            <w:gridSpan w:val="2"/>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123</w:t>
              </w:r>
            </w:hyperlink>
          </w:p>
        </w:tc>
      </w:tr>
      <w:tr>
        <w:trPr>
          <w:trHeight w:val="250"/>
        </w:trPr>
        <w:tc>
          <w:tcPr>
            <w:tcW w:w="572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13. Certain Relationships and Related Transactions, and Director Independence</w:t>
              </w:r>
            </w:hyperlink>
          </w:p>
        </w:tc>
        <w:tc>
          <w:tcPr>
            <w:tcW w:w="3820" w:type="dxa"/>
            <w:vAlign w:val="bottom"/>
            <w:gridSpan w:val="5"/>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125</w:t>
              </w:r>
            </w:hyperlink>
          </w:p>
        </w:tc>
      </w:tr>
      <w:tr>
        <w:trPr>
          <w:trHeight w:val="250"/>
        </w:trPr>
        <w:tc>
          <w:tcPr>
            <w:tcW w:w="9540" w:type="dxa"/>
            <w:vAlign w:val="bottom"/>
            <w:gridSpan w:val="30"/>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14. Principal Accountant Fees and Services</w:t>
              </w:r>
            </w:hyperlink>
          </w:p>
        </w:tc>
        <w:tc>
          <w:tcPr>
            <w:tcW w:w="1820" w:type="dxa"/>
            <w:vAlign w:val="bottom"/>
            <w:gridSpan w:val="6"/>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126</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128">
              <w:r>
                <w:rPr>
                  <w:rFonts w:ascii="Arial" w:cs="Arial" w:eastAsia="Arial" w:hAnsi="Arial"/>
                  <w:sz w:val="18"/>
                  <w:szCs w:val="18"/>
                  <w:b w:val="1"/>
                  <w:bCs w:val="1"/>
                  <w:color w:val="0000EE"/>
                  <w:w w:val="98"/>
                </w:rPr>
                <w:t>PART IV</w:t>
              </w:r>
            </w:hyperlink>
          </w:p>
        </w:tc>
        <w:tc>
          <w:tcPr>
            <w:tcW w:w="3900" w:type="dxa"/>
            <w:vAlign w:val="bottom"/>
            <w:gridSpan w:val="7"/>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540" w:type="dxa"/>
            <w:vAlign w:val="bottom"/>
            <w:gridSpan w:val="30"/>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15. Exhibits and Financial Statement Schedules</w:t>
              </w:r>
            </w:hyperlink>
          </w:p>
        </w:tc>
        <w:tc>
          <w:tcPr>
            <w:tcW w:w="1820" w:type="dxa"/>
            <w:vAlign w:val="bottom"/>
            <w:gridSpan w:val="6"/>
          </w:tcPr>
          <w:p>
            <w:pPr>
              <w:jc w:val="right"/>
              <w:spacing w:after="0"/>
              <w:rPr>
                <w:rFonts w:ascii="Arial" w:cs="Arial" w:eastAsia="Arial" w:hAnsi="Arial"/>
                <w:sz w:val="18"/>
                <w:szCs w:val="18"/>
                <w:color w:val="0000EE"/>
              </w:rPr>
            </w:pPr>
            <w:hyperlink w:anchor="page128">
              <w:r>
                <w:rPr>
                  <w:rFonts w:ascii="Arial" w:cs="Arial" w:eastAsia="Arial" w:hAnsi="Arial"/>
                  <w:sz w:val="18"/>
                  <w:szCs w:val="18"/>
                  <w:color w:val="0000EE"/>
                </w:rPr>
                <w:t>127</w:t>
              </w:r>
            </w:hyperlink>
          </w:p>
        </w:tc>
      </w:tr>
      <w:tr>
        <w:trPr>
          <w:trHeight w:val="372"/>
        </w:trPr>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32">
              <w:r>
                <w:rPr>
                  <w:rFonts w:ascii="Arial" w:cs="Arial" w:eastAsia="Arial" w:hAnsi="Arial"/>
                  <w:sz w:val="18"/>
                  <w:szCs w:val="18"/>
                  <w:color w:val="0000EE"/>
                  <w:w w:val="85"/>
                </w:rPr>
                <w:t>Signatures</w:t>
              </w:r>
            </w:hyperlink>
          </w:p>
        </w:tc>
        <w:tc>
          <w:tcPr>
            <w:tcW w:w="2660" w:type="dxa"/>
            <w:vAlign w:val="bottom"/>
            <w:tcBorders>
              <w:top w:val="single" w:sz="8" w:color="0000EE"/>
            </w:tcBorders>
            <w:gridSpan w:val="11"/>
          </w:tcPr>
          <w:p>
            <w:pPr>
              <w:spacing w:after="0"/>
              <w:rPr>
                <w:sz w:val="24"/>
                <w:szCs w:val="24"/>
                <w:color w:val="auto"/>
              </w:rPr>
            </w:pPr>
          </w:p>
        </w:tc>
        <w:tc>
          <w:tcPr>
            <w:tcW w:w="6120" w:type="dxa"/>
            <w:vAlign w:val="bottom"/>
            <w:gridSpan w:val="16"/>
          </w:tcPr>
          <w:p>
            <w:pPr>
              <w:spacing w:after="0"/>
              <w:rPr>
                <w:sz w:val="24"/>
                <w:szCs w:val="24"/>
                <w:color w:val="auto"/>
              </w:rPr>
            </w:pPr>
          </w:p>
        </w:tc>
        <w:tc>
          <w:tcPr>
            <w:tcW w:w="1540" w:type="dxa"/>
            <w:vAlign w:val="bottom"/>
            <w:gridSpan w:val="2"/>
          </w:tcPr>
          <w:p>
            <w:pPr>
              <w:spacing w:after="0"/>
              <w:rPr>
                <w:sz w:val="24"/>
                <w:szCs w:val="24"/>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131</w:t>
              </w:r>
            </w:hyperlink>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spacing w:after="0" w:line="10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Unless otherwise specified, references to the “company,” “we,” “our,” “us” and “EZCORP” refer to EZCORP, Inc. and its consolidated subsidiaries, collectively. References to a “fiscal” year refer to our fiscal year ended September 30 of the specified year. For example, “fiscal 2017” refers to the fiscal year ended September 30, 2017. All currency amounts preceded with “$” are stated in U.S. dollars, except otherwise indicated.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EZCORP, Inc. is a Delaware corporation headquartered in Austin, Texas. We are a leading provider of pawn loans in the United States and Mexico with approximately 5,200 team members.</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vision is to be the market leader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Attractive Shareholder Returns;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operated a total of 786 locations, consisting of:</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513 United States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246 Mexico pawn stores (operating as Empeño Fácil);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 financial services stores in Canada (operating as CASHMAX).</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our pawn stores, we offer pawn loans, which are non-recourse loans collateralized by tangible personal property, and sell merchandise to customers looking for good value. We are a market leader in growth of pawn loans outstanding. The merchandise we sell consists of second-hand collateral forfeited from our pawn lending activities or purchased from customers. The pawn industry in the U.S. is highly fragmented with up to an estimated 13,000 pawn stores. By store count, we are the second largest pawn store owner and operator in the U.S. On October 6, 2017, we acquired an additional 112 pawn stores located in Guatemala, El Salvador, Honduras and Peru and operated primarily under the trade names GuatePrenda and MaxiEfectivo (“GPMX”), bringing our total pawn store count to 871 (513 in the U.S. and 358 in Latin America).</w:t>
      </w:r>
    </w:p>
    <w:p>
      <w:pPr>
        <w:spacing w:after="0" w:line="13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our core pawn business in the U.S. and Latin America, we operate CASHMAX financial services locations in Canada and own approximately 32% of Cash Converters International Limited (“Cash Converters International”), based in Australia, which franchises and operates a worldwide network of nearly 700 locations that provide financial services and also buy and sell second-hand goods.</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fiscal 2016, we disposed of our 94%-owned subsidiary, Prestaciones Finmart, S.A.P.I. de C.V., SOFOM, E.N.R. ("Grupo Finmart"), and recast all results of its operations as discontinued operations. During fiscal 2015, we announced and implemented a plan to exit our U.S. Financial Services business (“USFS”), ceasing all payday, installment and auto title lending in the U.S and recast all results of USFS’s operations as discontinued operations. For additional information about our discontinued operations, see Note 16 of Notes to Consolidated Financial Statements included in “Part II, Item 8 — Financial Statements and Supplementary Data.”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remains focused on growing our balance of pawn loans outstanding (“PLO”) and generating higher pawn service charges (“PSC”). The following charts present sources of net revenues, including merchandise sales gross profit (“Merchandise sales GP”), PSC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90170</wp:posOffset>
            </wp:positionV>
            <wp:extent cx="5848985" cy="5008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500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business consists of three reportable segments: “U.S. Pawn,” which includes our EZPAWN, Value Pawn &amp; Jewelry and other branded pawn operations in the United States; “Mexico Pawn,” which includes our Empeño Fácil pawn operations in Mexico; and “Other International,” which primarily includes our CASHMAX financial services operations in Canada and our equity interest in the net income of Cash Converters International. The following tables present store data by segments included in our continuing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Pawn</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Mexico Pawn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International</w:t>
            </w:r>
          </w:p>
        </w:tc>
        <w:tc>
          <w:tcPr>
            <w:tcW w:w="134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5620" w:type="dxa"/>
            <w:vAlign w:val="bottom"/>
          </w:tcPr>
          <w:p>
            <w:pPr>
              <w:ind w:left="40"/>
              <w:spacing w:after="0"/>
              <w:rPr>
                <w:sz w:val="20"/>
                <w:szCs w:val="20"/>
                <w:color w:val="auto"/>
              </w:rPr>
            </w:pPr>
            <w:r>
              <w:rPr>
                <w:rFonts w:ascii="Arial" w:cs="Arial" w:eastAsia="Arial" w:hAnsi="Arial"/>
                <w:sz w:val="18"/>
                <w:szCs w:val="18"/>
                <w:color w:val="auto"/>
              </w:rPr>
              <w:t>As of September 30, 2014</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4"/>
                <w:szCs w:val="24"/>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4"/>
                <w:szCs w:val="24"/>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locations opened</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As of September 30, 2015</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locations opened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As of September 30, 2016</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locations opened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As of September 30, 2017</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additional information about our segments and geographic areas, see Note 15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Activities</w:t>
      </w:r>
    </w:p>
    <w:p>
      <w:pPr>
        <w:spacing w:after="0" w:line="1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As of September 30, 2017, we had a closing pawn loan principal balance of $169.2 million, from which we earn pawn service charges. In fiscal 2017, pawn service charges accounted for approximately 37% of our total revenues and 63% of our net revenues.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While allowable pawn service charges vary by state and loan size, our U.S. pawn loans primarily earn 13% to 25% per month as permitted by applicable law, excluding forfeitures. The total U.S. pawn loan term generally ranges between 30 and 90 days. Individual loans vary depending on the valuation of each item pawned, but our U.S. pawn loans made typically average approximately $100 to $120.</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Mexico, pawn loans earn 15% to 21% per month as permitted by applicable law, excluding forfeitures. The Mexico pawn loan primary term is 30 days. Individual loans are made in Mexican pesos and vary depending on the valuation of each item pawned, but our Mexico pawn loans typically average approximately 1,000 to 1,200 Mexican pesos, or approximately $50 to $60 using the average exchange rate for fiscal 2017.</w:t>
      </w:r>
    </w:p>
    <w:p>
      <w:pPr>
        <w:spacing w:after="0" w:line="1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Collateral for our pawn loans consists of tangible personal property, generally jewelry, consumer electronics, power tools, sporting goods and musical instruments, taking into account the estimated resale value of the collateral and the perceived probability of the loan’s redemption. We generally lend from 40% to 70% of the collateral’s estimated resale value depending on an evaluation of these factors, and may additionally offer to purchase the product outright. We consider general merchandise more susceptible to obsolescence while jewelry generally retains commodity value.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a customer chooses not to repay, renew or extend a loan, the collateral is forfeited and becomes inventory available for sale. We do not record loan losses or charge-offs of pawn loans because the principal amount of an unpaid loan becomes the inventory carrying cost of the forfeited collateral. If the subsequent sale of the forfeited collateral is less than the loan value, this is reflected in gross margin.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pawn loan redemption rates by segment:</w:t>
      </w:r>
    </w:p>
    <w:p>
      <w:pPr>
        <w:spacing w:after="0" w:line="16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23495</wp:posOffset>
            </wp:positionV>
            <wp:extent cx="2838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2015</w:t>
            </w:r>
          </w:p>
        </w:tc>
      </w:tr>
      <w:tr>
        <w:trPr>
          <w:trHeight w:val="121"/>
        </w:trPr>
        <w:tc>
          <w:tcPr>
            <w:tcW w:w="69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Pawn loan redemption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Mexico Pawn loan redemption rate*</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170" w:lineRule="exact"/>
        <w:rPr>
          <w:sz w:val="20"/>
          <w:szCs w:val="20"/>
          <w:color w:val="auto"/>
        </w:rPr>
      </w:pPr>
    </w:p>
    <w:p>
      <w:pPr>
        <w:ind w:left="500" w:hanging="465"/>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our inventory and sales involve gold and jewelry, our results can be heavily influenced by the market price of gold.</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Customers may purchase a product protection plan that allows them to exchange certain general merchandise (non-jewelry) sold through our retail pawn operations within six months of purchase. We also offer a jewelry VIP package, which guarantees customers a minimum future pawn loan amount on the item sold, allows them full credit if they trade in the item to purchase a more expensive piece of jewelry, and provides minor repair service on the item sold. Customers may also purchase an item on layaway by paying a minimum layaway deposit of typically 10% of the item’s sale price. We hold the item for a 90 to 180-day period, during which the customer is required to pay the balance of the sales price.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also operate 27 financial services stores in Canada under the CASHMAX brand, all located in the Ontario province. These small footprint locations currently offer payday loan services. We expect to offer installment loans in these stores beginning in the second quarter of fiscal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pawn operations provide the optimum level of support to the store team, supplying coaching, mentoring and problem solving to identify opportunities to better serve our customers and position us to be the leader in customer service and satisfaction.</w:t>
      </w:r>
    </w:p>
    <w:p>
      <w:pPr>
        <w:spacing w:after="0" w:line="11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risk management structure comprises asset protection and compliance departments, which monitor the inventory system, lending practices, regulatory compliance and compliance with our policies and procedures. We perform full physical audits of active inventory at each store at least annually. Inventory counts are completed daily for jewelry and firearms, and targeted high risk inventory categories are cycle counted multiple times annually. We record shrink adjustments for known losses at the conclusion of each inventory count, as estimates during interim periods and as discovered during cycle counts.</w:t>
      </w:r>
    </w:p>
    <w:p>
      <w:pPr>
        <w:spacing w:after="0" w:line="10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success is dependent upon our team members’ ability to provide prompt and courteous customer service and to execute our operating procedures and standards. To achieve our long-range people goals, we offer management and technical skills training utilizing computer-based training modules that can be accessed at the store and district levels. It is mandatory that all field and corporate team members complete specific compliance training annually. We offer formalized management development training to specific executives to enhance their management capabilities and effectiveness and to enhance their career progression. We maintain a group of field trainers who travel to stores to provide hands-on training in high skill areas, such as jewelry evaluation, firearms handling and information technology. Generally, we expect that store team members, including managers, will meet certain competency criteria prior to hire or promotion and participate in on-going training classes and formal instructional programs. Our store level and management training programs are designed to develop and advance our employees and provides training for the efficient integration of experienced managers and team members from outside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and Expansion</w:t>
      </w:r>
    </w:p>
    <w:p>
      <w:pPr>
        <w:spacing w:after="0" w:line="17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plan to expand the number of locations we operate through opening new (“de novo”) locations and through acquisitions. We believe there are growth opportunities with de novo stores in Latin America and pawn store acquisitions in both Latin America and in the U.S. Our ability to add new stores is dependent on several variables, such as the availability of acceptable sites or acquisition candidates, the regulatory environment, local zoning ordinances, access to capital, availability of qualified personnel and projected financial results meeting our investment hurdles. As previously discussed, on October 6, 2017 we acquired 112 pawn stores located in Guatemala, El Salvador, Honduras and Peru.</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information about our acquisitions, see Note 2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Enhancements in Store Profitability</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to growth and expansion through de novo stores and acquisitions, we review on an ongoing basis the profitability opportunities of our existing stores. We believe our employee training programs, proprietary IT systems and processes provide a platform for future expansion of existing store profitability. We commenced rollout of our upgraded point of sale system in the second quarter of fiscal 2017 in addition to a store refreshment program in the third quarter of fiscal 2017. The upgraded point of sale system will deliver improved customer experience and increased productivity, leveraging the use of IT systems to make better lending decisions and improving new employee learning curves and onboarding of new store employees. Additionally, we continue to invest in analytics of customer behavior and product data to further drive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Historically, pawn service charges are highest in our fourth fiscal quarter (July through September) due to a higher average loan balance during the summer lending season. Loan balances are generally lower in our second fiscal quarter (January through March). Merchandise sales are highest in our first and second fiscal quarters (October through March) due to the holiday season, jewelry sales surrounding Valentine’s Day and the availability of tax refunds in the United States. As a net effect of these factors, our earnings generally are lowest during our third fiscal quarter (April through June).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encounter significant competition in connection with all of our activities. These competitive conditions may have an impact on our revenues, profitability and ability to expand. We compete with other pawn stores, credit service organizations, banks, credit unions and other financial institutions, such as consumer finance companies. We believe that the primary elements of competition are the quality of customer service and relationship management including understanding our customers’ needs better than anyone else, convenience, store location and a customer friendly environment. In addition, we believe the ability to compete effectively will be based increasingly on strong general management, regional focus, automated management information systems, access to capital and superior customer service.</w:t>
      </w:r>
    </w:p>
    <w:p>
      <w:pPr>
        <w:spacing w:after="0" w:line="13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the customer with a variety of merchandise at an exceptional value coupled with exceptional customer service and convenient locations.</w:t>
      </w:r>
    </w:p>
    <w:p>
      <w:pPr>
        <w:spacing w:after="0" w:line="9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pawn industry in the United States is large and highly fragmented. The industry consists of pawn stores owned primarily by independent operators who own one to three locations, and the industry is relatively mature. We are the second largest of two public operators of pawn stores in the United States.</w:t>
      </w:r>
    </w:p>
    <w:p>
      <w:pPr>
        <w:spacing w:after="0" w:line="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pawn industry in Latin America is also fragmented, but less so than in the United States. The industry consists of pawn stores owned by independent operators and chains, including some not-for-profit organizations. The pawn industry, particularly full-line stores offering general merchandise and jewelry loans and resale, remains in an expansion stage in Latin America.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operate our U.S. pawn stores principally under the names “EZPAWN” or “Value Pawn” and the Mexico pawn stores under the name “EMPEÑO FÁCIL.” Our financial services stores in Canada operate under the name “CASHMAX.” We have registered with the United States Patent and Trademark Office the names EZPAWN and EZCORP, among others. We hold a trademark in Mexico for the name “EMPEÑO FÁCIL.” On October 6, 2017, we acquired 112 pawn stores located in Guatemala, El Salvador, Honduras and Peru. These entities operate under the registered trade names “GuatePrenda” in Guatemala and “MaxiEfectivo” in El Salvador, Honduras and Peru.</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Compliance with federal, state and local laws and regulations is an integral part of how we manage our business, and we conduct our business in material compliance with all of these rules. The following is a general description of significant regulations affecting our business. For a geographic breakdown of our operating locations, see “Part I, Item 2 —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Regulations</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Pawn Regulations — </w:t>
      </w:r>
      <w:r>
        <w:rPr>
          <w:rFonts w:ascii="Arial" w:cs="Arial" w:eastAsia="Arial" w:hAnsi="Arial"/>
          <w:sz w:val="17"/>
          <w:szCs w:val="17"/>
          <w:color w:val="auto"/>
        </w:rPr>
        <w:t>Our pawn stores are regulated by the states in which they are located and, in some cases, by individual municipalities or other local</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The applicable statutes, ordinances and regulations vary from location to location and typically impose licensing requirements for pawn stores or individual pawn store employees.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Regulations” below.</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majority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and those losses are included in our shrinkage. Historically, we have not experienced a material number of claims of this nature.</w:t>
      </w:r>
    </w:p>
    <w:p>
      <w:pPr>
        <w:spacing w:after="0" w:line="1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Some of our pawn stores in the U.S. handle firearms and each of those stores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 </w:t>
      </w:r>
      <w:r>
        <w:rPr>
          <w:rFonts w:ascii="Arial" w:cs="Arial" w:eastAsia="Arial" w:hAnsi="Arial"/>
          <w:sz w:val="18"/>
          <w:szCs w:val="18"/>
          <w:color w:val="auto"/>
        </w:rPr>
        <w:t>Our pawn lending activities are subject to other state and federal statutes and regulations, including the following:</w:t>
      </w:r>
    </w:p>
    <w:p>
      <w:pPr>
        <w:spacing w:after="0" w:line="171" w:lineRule="exact"/>
        <w:rPr>
          <w:sz w:val="20"/>
          <w:szCs w:val="20"/>
          <w:color w:val="auto"/>
        </w:rPr>
      </w:pPr>
    </w:p>
    <w:p>
      <w:pPr>
        <w:ind w:left="660" w:right="8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employee training) that address and aid in detecting and responding to suspicious activity or identify theft “red flags.”</w:t>
      </w:r>
    </w:p>
    <w:p>
      <w:pPr>
        <w:spacing w:after="0" w:line="123" w:lineRule="exact"/>
        <w:rPr>
          <w:rFonts w:ascii="Arial" w:cs="Arial" w:eastAsia="Arial" w:hAnsi="Arial"/>
          <w:sz w:val="17"/>
          <w:szCs w:val="17"/>
          <w:color w:val="auto"/>
        </w:rPr>
      </w:pPr>
    </w:p>
    <w:p>
      <w:pPr>
        <w:ind w:left="660" w:right="1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USA PATRIOT Act, we must maintain an anti-money laundering compliance program that includes the development of internal policies, procedures and controls; the designation of a compliance officer; an ongoing employee training program; and an independent audit function to test the program.</w:t>
      </w:r>
    </w:p>
    <w:p>
      <w:pPr>
        <w:spacing w:after="0" w:line="127"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the Bank Secrecy Act and its underlying regulations, which require us to report and maintain records of certain high-dollar transactions. In addition, federal laws and regulations prohibit us from doing business with terrorists and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20" w:hanging="328"/>
        <w:spacing w:after="0" w:line="27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Foreign Corrupt Practices Act ("FCPA") was enacted for the purpose of making it unlawful for certain classes of persons and entities to make payments to foreign government officials to assist in obtaining or retaining business. Specifically, the anti-bribery provisions of the FCPA prohibit the willful use of mail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spacing w:after="0" w:line="123" w:lineRule="exact"/>
        <w:rPr>
          <w:rFonts w:ascii="Arial" w:cs="Arial" w:eastAsia="Arial" w:hAnsi="Arial"/>
          <w:sz w:val="17"/>
          <w:szCs w:val="17"/>
          <w:color w:val="auto"/>
        </w:rPr>
      </w:pPr>
    </w:p>
    <w:p>
      <w:pPr>
        <w:ind w:left="660" w:right="420" w:hanging="328"/>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October 2016, Department of Defense regulations promulgated under the Military Lending Act (the “MLA”), formerly applicable to payday loans and auto title loans, were expanded to include various additional forms of consumer credit, including pawn loans. The MLA regulations limit the annual percentage rate charged on consumer loans made to active military personnel or their dependents to 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Regulations</w:t>
      </w:r>
    </w:p>
    <w:p>
      <w:pPr>
        <w:spacing w:after="0" w:line="17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 xml:space="preserve">Pawn Regulations </w:t>
      </w:r>
      <w:r>
        <w:rPr>
          <w:rFonts w:ascii="Arial" w:cs="Arial" w:eastAsia="Arial" w:hAnsi="Arial"/>
          <w:sz w:val="18"/>
          <w:szCs w:val="18"/>
          <w:color w:val="auto"/>
        </w:rPr>
        <w:t>— Federal law in Mexico provides for administrative regulation of the pawnshop industry by Procuraduría Federal del Consumidor</w:t>
      </w:r>
      <w:r>
        <w:rPr>
          <w:rFonts w:ascii="Arial" w:cs="Arial" w:eastAsia="Arial" w:hAnsi="Arial"/>
          <w:sz w:val="18"/>
          <w:szCs w:val="18"/>
          <w:i w:val="1"/>
          <w:iCs w:val="1"/>
          <w:color w:val="auto"/>
        </w:rPr>
        <w:t xml:space="preserve"> </w:t>
      </w:r>
      <w:r>
        <w:rPr>
          <w:rFonts w:ascii="Arial" w:cs="Arial" w:eastAsia="Arial" w:hAnsi="Arial"/>
          <w:sz w:val="18"/>
          <w:szCs w:val="18"/>
          <w:color w:val="auto"/>
        </w:rPr>
        <w:t>(PROFECO), Mexico’s primary federal consumer protection agency. PROFECO regulates the form and terms of pawn loan contracts (but not interest or service charge rates) and defines certain operating standards and procedures for pawnshops, including retail operations, and establishes registration, disclosure, bonding and reporting requirements. There are significant fines and sanctions, including operating suspensions, for failure to comply with PROFECO’s rules and regulations.</w:t>
      </w:r>
    </w:p>
    <w:p>
      <w:pPr>
        <w:spacing w:after="0" w:line="13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PROFECO requires that we report certain transactions (or series of transactions) that exceed certain monetary limits.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spacing w:after="0" w:line="12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Federal Personal Information Protection Law requires us to protect our customers’ personal information. Specifically, the law requires us to inform customers if we share customer personal information with third parties and to post (both online and in-store) our privacy policy.</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pawn business in Mexico is also subject to regulation at the state and local level through state laws and local zoning and permitting ordinances. For example, some states require permits for pawn stores to operate, certification of employees as trained in the valuation of merchandise, and strict customer identification controls. State and local agencies often have authority to suspend store operations pending resolution of actual or alleged regulatory, licensing and permitting issues.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 Our pawn business in Mexico is subject to the General Law of Administrative Responsibility (“GLAR”), effective July 2017. GLAR</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establishes administrative penalties for improper payments to government officials, influence peddling (including the hiring of public officials and the use of undue influence) and other corrupt acts in public procurement processes.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also subject to The Federal Law for the Prevention and Identification of Transactions with Funds From Illegal Sources, which requires reporting of certain transactions exceeding certain monetary limits, maintenance of customer identification records and controls, and reporting of all non-Mexican customer transactions. This law affects all industries in Mexico and is intended to detect commercial activities arising from illicit or ill-gotten means through bilateral cooperation between Mexico’s Ministry of Finance and Public Credit and Mexico’s Attorney General’s Office. The law also restricts the use of cash in certain transactions associated with high-value assets and limits, to the extent possible, money laundering activities protected by the anonymity that cash transactions provide. Relevant aspects of the law specifically affecting the pawn industry include monthly reporting on “vulnerable activities,” which include pawn transactions exceeding 103,000 Mexican pesos and retail transactions of precious metals exceeding 52,000 Mexican pesos. Retail transactions of precious metals exceeding 207,000 Mexican pesos are prohibited. There are significant fines and sanctions for failure to comply with these rules.</w:t>
      </w:r>
    </w:p>
    <w:p>
      <w:pPr>
        <w:spacing w:after="0" w:line="11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addition to the above, our pawn business in Mexico is subject to various general business regulations in the areas of tax compliance, customs, consumer protections, money laundering, public safety and employment matters, among others, by various federal, state and local governmental agencies.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Latin American Regulations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Similar to Mexico, certain federal, state and local governmental entities in Guatemala, El Salvador, Honduras and Peru also regulate pawn and retail businesses. Certain federal laws and local zoning and permitting ordinances require basic commercial business licenses and signage permits. Operating in these countries also subjects us to other types of regulations, including regulations related to financial reporting, data protection and privacy, tax compliance, labor and employment practices, real estate transactions, anti-money laundering, commercial and electronic banking restrictions, credit card transactions, marketing, advertising and other general business activities. As the scope of our international operations increases, we may face additional administrative and regulatory costs in managing our business. In addition, unexpected changes, arbitrary or adverse court decisions, administrative interpretations of federal or local requirements or legislation, or public remarks by elected officials could negatively affect our operations and profitability.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public may read and copy any materials that we file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Information on our website is not incorporated by reference into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are many risks and uncertainties that may affect our operations, performance, development and results. Many of these risks are beyond our control. The following is a description of the important risk factors that may affect our business. If any of these risks were to actually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or failure to comply with, laws and regulations affecting our products and services could have a material adverse effect on our operations and financial performance.</w:t>
      </w:r>
    </w:p>
    <w:p>
      <w:pPr>
        <w:spacing w:after="0" w:line="11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products and services are subject to regulation under various laws and regulations in each country and jurisdiction in which we operate (see “Part I, Item 1 — Business — Regulation”), and adverse legislation or regulations could be adopted in any such country or jurisdiction.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 Further, our failure to comply with applicable laws and regulations could result in fines, penalties or orders to cease or suspend operations, which could have a material adverse effect on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U.S. business is concentrated in Texas and Florida.</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September 30, 2017, more than 60% of our U.S. pawn stores were located in Texas (42%) and Florida (19%), and those stores account for a significant portion of our revenues and profitability. The legislative, regulatory and general business environment in Texas and Florida has been relatively favorable for our pawn business activities, but a negative legislative or regulatory change in either of those states could have a material adverse effect on our overall operations and financial performance. Further, as discussed below, areas in Texas and Florida where we have significant operations are particularly susceptible to hurricane and tropical storm activity.</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significant operations in Latin America, and changes in the business, regulatory, political or social climate could adversely affect our operations there, which could adversely affect our results of operations and growth plans.</w:t>
      </w:r>
    </w:p>
    <w:p>
      <w:pPr>
        <w:spacing w:after="0" w:line="11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own and operate a significant number of pawn stores in Mexico and recently acquired an additional 112 stores located in other countries in Latin America (Guatemala, El Salvador, Honduras and Peru). Further, our growth plans include potential expansion in those countries as well as, potentially, other countries in Latin America. Doing business in those countries exposes us to risks related to political instability, corruption, economic volatility, drug cartel and gang-related violence, social unrest including riots and looting, tax and foreign investment policies, public safety and security, and uncertain application of laws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and regulations. Consequently, actions or events in any of those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adverse impact on our prospects, results of operations and cash flows. For a brief description of the current regulatory environment in the Latin American countries in which we currently operate, see “Mexico Regulations” and “Other Latin America Regulations” under “Part I, Item 1 — Business — Regulation.”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or sudden decrease in gold values or the volume of gold transactions may have a material impact on our earnings and financial position.</w:t>
      </w:r>
    </w:p>
    <w:p>
      <w:pPr>
        <w:spacing w:after="0" w:line="1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Gold jewelry comprises a large portion of the collateral security for our pawn loans and our inventory.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From 2012 through 2015, we experienced a significant softening of gold prices and volumes in the aggregate, which had a negative impact on our profitability. The impact on our financial position and results of operations of further decreases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and pawn service charges.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change in foreign currency exchange rates could have a material adverse impact on our earnings and financial position.</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foreign operations in Latin America (Mexico, Guatemala, El Salvador, Honduras and Peru) and Canada, and an equity investment in Australia. Our assets and investments in, and earnings and dividends from, each of these countries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our sales, pawn loan balances, sales margins and pawn redemption rates could have a material adverse impact on our operating results.</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Achievement of our growth objectives is dependent upon our ability to open and acquire new stores.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and future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success is dependent on our ability to recruit, hire, retain and motivate talented executives and other key employees.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 remain competitive, sustain our success over the long-term and realize our strategic goals, we need to attract, hire, retain and motivate talented executives and other key employees to fill existing positions and reduce our succession risks. If our recruitment and retention programs (including compensation programs) are not viewed as competitive, or we fail to develop and implement appropriate succession plans for key executive positions, our results of operations, as well as our ability to achieve our long-term strategic goals, will be adversely affected.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b w:val="1"/>
          <w:bCs w:val="1"/>
          <w:i w:val="1"/>
          <w:iCs w:val="1"/>
          <w:color w:val="auto"/>
        </w:rPr>
        <w:t>We have exposure to Grupo Finmart through promissory notes that we received as part of our divestiture of that business in September 2016. The repayment of those promissory notes was restructured in September 2017. Our ability to recover the amounts owed under those promissory notes is heavily dependent on the success and performance of Grupo Finmart and its parent company, AlphaCredit.</w:t>
      </w:r>
    </w:p>
    <w:p>
      <w:pPr>
        <w:spacing w:after="0" w:line="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completion of the sale of Grupo Finmart to Alpha Holding, S.A. de C.V. (“AlphaCredit”) in September 2016, we received two “Parent Loan Notes” in the original principal amount of $60.2 million. We recently restructured the repayment arrangements with respect to such Parent Loan Notes. See “Part II, Item 7 — Management’s Discussion and Analysis of Financial Condition and Results of Operations — Liquidity and Capital Resources — Sources and Uses of Cash — Sale of Grupo Finmart.” Under the restructured arrangements, the total principal balance continues to be repayable over the original three-year term, but the payments have been shifted toward the later portions of that term. The payment restructuring was requested by AlphaCredit to accommodate their working capital requirements as they continue to grow their business.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recover full payment of the Parent Loan Notes is dependent on the success and performance of the business of Grupo Finmart (as primary obligor) and its parent AlphaCredit (as guarantor). To the extent that Grupo Finmart and AlphaCredit are unable to repay these amounts, our financial performance and cash flows would be adversely affected. Prior to the payment restructuring, Grupo Finmart had already paid us $34 million that was owed to us in connection with the sale transaction.</w:t>
      </w:r>
    </w:p>
    <w:p>
      <w:pPr>
        <w:spacing w:after="0" w:line="13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If our assessment of and expectations concerning various factors affecting the collectability of the Parent Loan Notes change in the future, we may be required to record an allowance for losses or otherwise impair the carrying value of the Parent Loan Notes and associated accrued fees receivable, which could adversely affect our financial performance in the period of recordation or impairment. The Parent Loan Notes were recorded at fair value on the date of the sale of Grupo Finmart, which initially accounted for the risk of default, with an adjustment recorded in September 2017 upon the payment restructuring described above. See Note 5 of Notes to Consolidated Financial Statements included in “Part II, Item 8 — Financial Statements and Supplementary Data.”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currently subject to various litigation and regulatory actions, including those described in Note 14 of Notes to Consolidated Financial Statements included in “Part II, Item 8 — Financial Statements and Supplementary Data,” and additional actions could arise in the future. Potential actions range from claims and assertions arising in the ordinary course of business (such as contract, customer or employment disputes) to more significant corporate-level matters or shareholder litigation. All of these matters are subject to inherent uncertainties, and unfavorable rulings could occur, which could include monetary damages, fines and penalties, or other relief. Any unfavorable ruling or outcome could have a material adverse effect on our results of operations or could negatively affect our reputation.</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our certificate of incorporation, we are generally obligated to indemnify our directors and officers for costs and liabilities they incur in their capacity as directors or officers of the Company. Consequently, if a proceeding names or involves any of our directors or officers, then (subject to certain exceptions) we are generally obligated to pay or reimburse the cost or liability such director or officer incurs as a result of such proceeding (including defense costs, judgments and amounts paid in settlement). We maintain management liability insurance that protects us from much of this potential indemnification exposure, as well as potential costs or liabilities that may be directly incurred by the Company in some cases. However, our insurance coverage is subject to deductibles, and there may be elements of the costs or liabilities that are not covered under the insurance policies. In addition, to the extent that our ultimate liability in any such proceeding (or any combination of proceedings that are included in the same policy year) exceeds the management liability policy limits, our results of operations and financial condition could be adversely affected.</w:t>
      </w:r>
    </w:p>
    <w:p>
      <w:pPr>
        <w:spacing w:after="0" w:line="1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One person beneficially owns all of our voting stock and controls the outcome of all matters requiring a vote of stockholders, which may influence the value of our publicly-traded non-voting stock.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Phillip E. Cohen is the beneficial owner of all of our Class B Voting Common Stock. As a result of his equity ownership stake, Mr. Cohen controls the outcome of all issues requiring a vote of stockholders and has the ability to appoint or remove directors and officers who control our policies and operations. All of our publicly-traded stock is non-voting stock. Consequently, stockholders other than Mr. Cohen have no vote with respect to the election of directors or any other matter requiring a vote of stockholders except as required by law. This lack of voting rights may adversely affect the market value of our publicly-traded Class A Non-Voting Common Stock (“Class A Common Stock”).</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These factors could harm our business and results of operations.</w:t>
      </w:r>
    </w:p>
    <w:p>
      <w:pPr>
        <w:spacing w:after="0" w:line="13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recently completed the acquisition of GPMX, a business that owns and operates 112 pawn stores in Latin America (Guatemala, El Salvador, Honduras and Peru). Our realization of the expected benefits of that acquisition will be dependent on our ability to timely and efficiently integrate the GPMX business into our operational and financial reporting systems and processes. Our ability to successfully integrate complex, multi-jurisdictional acquisitions is unproven. Our management has spent considerable time and resources in designing an integration plan and is in the early stages of implementing it. There can be no assurance, however, that we will be successful or that we will realize the expected return on the GPMX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significant firearms business in the U.S., which exposes us to increased risks of regulatory fines and penalties, lawsuits and related liabilities.</w:t>
      </w:r>
    </w:p>
    <w:p>
      <w:pPr>
        <w:spacing w:after="0" w:line="2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discussed under “Part I, Item 1 — Business — Regulation — U.S. Regulations — Pawn Regulations,” some of our stores in the U.S. conduct pawn and retail transactions involving firearms, which may be associated with an increased risk of injury and related lawsuits. We may be subject to lawsuits relating to the improper use of firearms that we sell, including actions by persons attempting to recover damages from firearms retailers relating to misuse of firearms. We may also incur fines, penalties or liabilities, or have our federal firearms licenses revoked or suspended, if we fail to properly perform required background checks for, and otherwise record and report, firearms transactions. Any such actions could have a material adverse effect on our business, prospects,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employee and third-party robberies, burglaries and other crimes at the store level.</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nature of our business requires us to maintain significant cash on hand, loan collateral and inventories in our stores. Consequently, we are subject to loss of cash or merchandise as a result of robberies, burglaries, thefts, riots, looting and other criminal activity in our stores. Further, we could be subject to liability to customers or other third parties as a result of such activities. While we maintain asset protection and monitoring programs to mitigate these risks, as well as insurance programs to protect against catastrophic loss or exposure, there can be no assurance that these crimes will not occur or that such losses will not have an adverse effect on our business or results of operations.</w:t>
      </w:r>
    </w:p>
    <w:p>
      <w:pPr>
        <w:spacing w:after="0" w:line="13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We may be exposed to liabilities under applicable anti-corruption, anti-money laundering and other general business laws and regulations, and any determination that we violated these laws or regulations could have a material adverse effect on our business.</w:t>
      </w:r>
    </w:p>
    <w:p>
      <w:pPr>
        <w:spacing w:after="0" w:line="9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are subject to various anti-corruption laws that prohibit improper payments or offers of payments to foreign governments and their officials for the purpose of obtaining or retaining business, including the Foreign Corrupt Practices Act in the U.S. and the General Law of Administrative Responsibility in Mexico. We are also subject to various laws and regulations designed to prevent money laundering or the financial support of terrorism or other illegal activity, including the USA PATRIOT Act and the Bank Secrecy Act in the U.S. and The Federal Law for the Prevention and Identification of Transactions with Funds From Illegal Sources in Mexico. See “Part I, Item 1 — Business — Regulation.” Further, our business is expanding in countries and regions that are less developed and are generally recognized as potentially more corrupt business environments.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we maintain controls and policies to ensure compliance with applicable laws and regulations, these controls and policies may prove to be less than effective. If employees, agents or other persons for whose conduct we are held responsible violate our policies, we may be subject to severe criminal or civil sanctions and penalties, and we may be subject to other liabilities that could have a material adverse effect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liquidity and capital requirements or in access to capital markets or other financing sources could limit our ability to achieve our plans.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significant reduction in cash flows from operations or the availability of debt or equity financing could materially and adversely affect our ability to achieve our planned growth and operating results. We have outstanding $195 million aggregate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principal amount of 2.125% Cash Convertible Senior Notes Due 2019 (the “2019 Convertible Notes”) and $143.75 million aggregate principal amount of 2.875% Convertible Senior Notes Due 2024 (the “2024 Convertible Notes” and, with the 2019 Convertible Notes, the “Convertible Notes”). Our ability to obtain additional debt or equity financing (including the possible refinancing of the 2019 Convertible Notes) will depend upon market conditions, our financial condition and the willingness of financing sources to make capital available to us at acceptable rates. The inability to access capital at acceptable rates and terms could restrict or limit our ability to achieve our growth objectives, which could adversely affect our financial condition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7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encounter significant competition from other pawn stores, consumer lending companies and other retailers, many of which have significantly greater financial resources than we do. Increases in the number or size of competitors or other changes in competitive influences, such as aggressive marketing and pricing practices, could adversely affect our operations. In Mexico, we compete directly with certain pawn stores owned and operated by government affiliated or sponsored non-profit foundations, and the government could take actions that would harm our ability to compete in that market.</w:t>
      </w:r>
    </w:p>
    <w:p>
      <w:pPr>
        <w:spacing w:after="0" w:line="1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continued profitability and growth plans are dependent on our ability to successfully design or acquire, deploy and maintain information technology and other business systems to support our current business and our planned growth and expansion.</w:t>
      </w:r>
    </w:p>
    <w:p>
      <w:pPr>
        <w:spacing w:after="0" w:line="11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success of our business depends on the efficiency and reliability of our information technology and business systems, including the point-of-sale system utilized in our store locations. If access to our technology infrastructure is impaired (as may occur with a computer virus, a cyber attack or other intentional disruption by a third party, natural disaster, telecommunications system failure, electrical system failure or lost connectivity), or if there are flaws in the design or roll-out of new or refreshed technology systems (such as our point-of-sale system), we may be unable to process transactions or otherwise carry on our business in a timely and efficient manner. An infrastructure disruption could damage our reputation and cause us to lose customers and revenue.</w:t>
      </w:r>
    </w:p>
    <w:p>
      <w:pPr>
        <w:spacing w:after="0" w:line="10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collect and store a variety of sensitive customer information, and breaches in data security could harm our business operations and lead to reputational damage.</w:t>
      </w:r>
    </w:p>
    <w:p>
      <w:pPr>
        <w:spacing w:after="0" w:line="1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course of conducting our business, we collect and store on our information technology systems a variety of information about our customers, including sensitive personal identifying and financial information. We could be subject to fines, penalties and liabilities if any such information is misappropriated from our systems or we otherwise fail to maintain the security and confidentiality of such information. Further, any such data security breach could cause damage to our reputation and a loss of confidence in our data security measures, which could adversely affect our business and prospects.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invested in Cash Converters International Limited for strategic reasons and we may not realize a return on our investment.</w:t>
      </w:r>
    </w:p>
    <w:p>
      <w:pPr>
        <w:spacing w:after="0" w:line="17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currently have a significant investment in Cash Converters International Limited, which is a publicly-traded company based in Australia. We made this investment principally in November 2009, and may in the future make additional investments in this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Cash Converters International Limited suffers, then the value of our investment may decline. We wrote down a portion of our investment in Cash Converters International Limited during the fourth quarter of both fiscal 2016 and fiscal 2015. See Note 4 of Notes to Consolidated Financial Statements included in “Part II, Item 8 — Financial Statements and Supplemental Data.” If we determine that any future other-than-temporary declines in the fair value exist, we will be required to write down that investment to its fair value and recognize the related write-down as an investment loss. Any future realized investment loss would adversely affect our results of operations.</w:t>
      </w:r>
    </w:p>
    <w:p>
      <w:pPr>
        <w:spacing w:after="0" w:line="1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incur property, casualty or other losses, including losses related to natural disasters such as hurricanes and earthquakes. Not all of such losses will be covered by insurance.</w:t>
      </w:r>
    </w:p>
    <w:p>
      <w:pPr>
        <w:spacing w:after="0" w:line="1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have significant operations located in areas that are susceptible to hurricanes (notably the Atlantic and Gulf Coast regions of Florida, as well as the Gulf Coast regions of Texas, including Houston), and other areas of our operations are susceptible to other types of natural disasters, such as earthquakes and tornadoes. As noted above, not all physical damage that we incur as a result of any such natural disaster will be covered by insurance due to policy deductibles and risk retentions. In addition, natural disasters could have a significant negative impact on our business beyond physical damage to property, and only limited portions, if any, of those negative impacts will be covered by applicable business interruption insurance policies. As a result, geographically isolated natural disasters could have a material adverse effect on our overall operations and financial performance. For a discussion of the negative impact from recent hurricanes in the U.S. and an earthquake in Mexico, see “Part II, Item 7 — Management’s Discussion and Analysis of Financial Condition and Results of Operations — Results of Operations — Fiscal 2017 vs. Fiscal 2016 — Summary Financial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beyond our control could result in business interruption or other adverse effects on our operations and growth.</w:t>
      </w:r>
    </w:p>
    <w:p>
      <w:pPr>
        <w:spacing w:after="0" w:line="17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business and operations could be subject to interruption or damage due to inclement weather, natural disaster, power loss, acts of violence, terrorist attacks, war, civil unrest or similar events. Such events could impair our customers' access to our business, impact our ability to expand or continue our operations or otherwise have an adverse effect on our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tax rates, the adoption of new tax laws in the U.S. or other countries, or exposure to additional tax liabilities.</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changes in tax rates or changes in tax laws or their interpretation.</w:t>
      </w:r>
    </w:p>
    <w:p>
      <w:pPr>
        <w:spacing w:after="0" w:line="11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carrying value of our goodwill was $255 million, or approximately 25% of our total assets, as of September 30, 2017. In accordance with Financial Accounting Standards Board Accounting Standards Codification 350-20-35</w:t>
      </w:r>
      <w:r>
        <w:rPr>
          <w:rFonts w:ascii="Arial" w:cs="Arial" w:eastAsia="Arial" w:hAnsi="Arial"/>
          <w:sz w:val="17"/>
          <w:szCs w:val="17"/>
          <w:i w:val="1"/>
          <w:iCs w:val="1"/>
          <w:color w:val="auto"/>
        </w:rPr>
        <w:t>,</w:t>
      </w:r>
      <w:r>
        <w:rPr>
          <w:rFonts w:ascii="Arial" w:cs="Arial" w:eastAsia="Arial" w:hAnsi="Arial"/>
          <w:sz w:val="17"/>
          <w:szCs w:val="17"/>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See Note 7 of Notes to Consolidated Financial Statements included in “Part II, Item 8 — Financial Statements and Supplementary Data” for a discussion of our annual impairment tests performed for goodwill and indefinite-lived intangible assets during fiscal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conversion feature of our Convertible Notes, if triggered, may adversely affect our financial condition and operating results.</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the event the conversion feature of our Convertible Notes is triggered, holders will be entitled to convert the notes at any time during specified periods at their option. If one or more holders elect to convert their notes, we may be required, or may choose, to settle the obligation through the payment of cash, which could adversely affect our liquidity. In addition, even if holders do not elect to convert their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Conversion of our Convertible Notes into stock may dilute the ownership interests of existing stockholders or may otherwise depress the price of our Class A Common Stock.</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conversion Convertible Notes will dilute the ownership interests of existing stockholders to the extent we deliver shares of Class A Common Stock upon conversion. Any sales in the public market of such shares could adversely affect prevailing market prices of our Class A Common Stock. In addition, the existence of the Convertible Notes may encourage short selling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by market participants because the conversion of such notes could be used to satisfy short positions, or anticipated conversion of the notes into shares of our Class A Common Stock could depress the price of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other risks discussed under "Part II, Item 7A — Quantitative and Qualitative Disclosures about Market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17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Our typical pawn store is a freestanding building or part of a retail strip center with contiguous parking. Store interiors are designed to resemble small retail operations and attractively display merchandise by category. Distinctive exterior design and attractive in-store signage provide an appealing atmosphere to customers. We maintain property and general liability insurance for each of our stores. Our stores are open six or seven days a week.</w:t>
      </w:r>
    </w:p>
    <w:p>
      <w:pPr>
        <w:spacing w:after="0" w:line="1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generally lease our locations with terms of three to ten years with one or more renewal options. Our existing leases expire on dates ranging between October 2017 and February 2030,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 On an ongoing basis, we may close or consolidate under-performing store locations.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store locations by state or province as of September 30,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6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Texas</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Florida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Colorado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Illinois</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Oklahoma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Arizona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Nevada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Indiana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Tennessee</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Iowa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Utah</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Georgia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Minnesota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Alabama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Oregon</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Virginia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Wisconsin</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New York</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Pennsylvania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Mississippi</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Arkansas</w:t>
            </w:r>
          </w:p>
        </w:tc>
        <w:tc>
          <w:tcPr>
            <w:tcW w:w="63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United States locations</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22"/>
        </w:trPr>
        <w:tc>
          <w:tcPr>
            <w:tcW w:w="388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w:t>
            </w:r>
          </w:p>
        </w:tc>
        <w:tc>
          <w:tcPr>
            <w:tcW w:w="6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Distrito Federal</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Estado de Mexico</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Veracruz</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Jalisco</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Guanajuato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Puebla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Tabasco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Michoacán</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Nuevo León</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Chiapas</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Guerrero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Campeche</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Tamaulipas</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Hidalgo</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Queretaro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Coahuila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Quintana Roo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Oaxaca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Morelos</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Aguascalientes</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Tlaxcala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San Luis Potosí</w:t>
            </w:r>
          </w:p>
        </w:tc>
        <w:tc>
          <w:tcPr>
            <w:tcW w:w="63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0"/>
        </w:trPr>
        <w:tc>
          <w:tcPr>
            <w:tcW w:w="3880" w:type="dxa"/>
            <w:vAlign w:val="bottom"/>
          </w:tcPr>
          <w:p>
            <w:pPr>
              <w:ind w:left="500"/>
              <w:spacing w:after="0"/>
              <w:rPr>
                <w:sz w:val="20"/>
                <w:szCs w:val="20"/>
                <w:color w:val="auto"/>
              </w:rPr>
            </w:pPr>
            <w:r>
              <w:rPr>
                <w:rFonts w:ascii="Arial" w:cs="Arial" w:eastAsia="Arial" w:hAnsi="Arial"/>
                <w:sz w:val="14"/>
                <w:szCs w:val="14"/>
                <w:color w:val="auto"/>
              </w:rPr>
              <w:t>Total Mexico locations</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Canada:</w:t>
            </w:r>
          </w:p>
        </w:tc>
        <w:tc>
          <w:tcPr>
            <w:tcW w:w="6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Ontario</w:t>
            </w:r>
          </w:p>
        </w:tc>
        <w:tc>
          <w:tcPr>
            <w:tcW w:w="63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Canada locations</w:t>
            </w:r>
          </w:p>
        </w:tc>
        <w:tc>
          <w:tcPr>
            <w:tcW w:w="63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6"/>
        </w:trPr>
        <w:tc>
          <w:tcPr>
            <w:tcW w:w="3880" w:type="dxa"/>
            <w:vAlign w:val="bottom"/>
          </w:tcPr>
          <w:p>
            <w:pPr>
              <w:ind w:left="720"/>
              <w:spacing w:after="0"/>
              <w:rPr>
                <w:sz w:val="20"/>
                <w:szCs w:val="20"/>
                <w:color w:val="auto"/>
              </w:rPr>
            </w:pPr>
            <w:r>
              <w:rPr>
                <w:rFonts w:ascii="Arial" w:cs="Arial" w:eastAsia="Arial" w:hAnsi="Arial"/>
                <w:sz w:val="14"/>
                <w:szCs w:val="14"/>
                <w:color w:val="auto"/>
              </w:rPr>
              <w:t>Total Company locations</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300" w:type="dxa"/>
            <w:vAlign w:val="bottom"/>
            <w:vMerge w:val="restart"/>
          </w:tcPr>
          <w:p>
            <w:pPr>
              <w:jc w:val="right"/>
              <w:ind w:right="4308"/>
              <w:spacing w:after="0"/>
              <w:rPr>
                <w:sz w:val="20"/>
                <w:szCs w:val="20"/>
                <w:color w:val="auto"/>
              </w:rPr>
            </w:pPr>
            <w:r>
              <w:rPr>
                <w:rFonts w:ascii="Arial" w:cs="Arial" w:eastAsia="Arial" w:hAnsi="Arial"/>
                <w:sz w:val="18"/>
                <w:szCs w:val="18"/>
                <w:color w:val="auto"/>
              </w:rPr>
              <w:t>17</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8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our store locations, we lease corporate office space in Austin, Texas (179,400 square feet, of which 90,940 square feet has been subleased to other tenants), Querétaro, Mexico (8,400 square feet) and Ontario, Canada (8,400 square feet).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additional information about store locations during fiscal 2017, 2016 and 2015, see “Segment and Geographic Information” included in “Part I, Item 1 —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a discussion of legal proceedings, see Note 14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5"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Class A Non-Voting Common Stock (“Class A Common Stock”) is traded on the NASDAQ Stock Market under the symbol “EZPW.” As of November 10, 2017, there were 85 stockholders of record of our Class A Common Stock. There is no trading market for our Class B Voting Common Stock (“Class B Common Stock”), which was held by one stockholder as of November 10, 2017.</w:t>
      </w:r>
    </w:p>
    <w:p>
      <w:pPr>
        <w:spacing w:after="0" w:line="12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high and low per share sales price for our Class A Common Stock for the past two fiscal years, as reported by the NASDAQ Stock Market,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Low</w:t>
            </w:r>
          </w:p>
        </w:tc>
      </w:tr>
      <w:tr>
        <w:trPr>
          <w:trHeight w:val="121"/>
        </w:trPr>
        <w:tc>
          <w:tcPr>
            <w:tcW w:w="88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Fourth quarter ended September 30, 2017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Third quarter ended June 30, 2017</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Second quarter ended March 31, 2017</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7.75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 ended December 31, 2016</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Fourth quarter ended September 30, 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Third quarter ended June 30, 2016</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Second quarter ended March 31, 2016</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First quarter ended December 31, 2015</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2017, the closing sales price of our Class A Common Stock, as reported by the NASDAQ Stock Market, was $9.50 per share.</w:t>
      </w:r>
    </w:p>
    <w:p>
      <w:pPr>
        <w:spacing w:after="0" w:line="18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not declared or paid any dividends and currently do not anticipate paying any dividends in the immediate future. As described in Note 8 of Notes to Consolidated Financial Statements included in “Part II, Item 8 — Financial Statements and Supplementary Data,” payment of a dividend requires an adjustment to the conversion rate of our Convertible Notes</w:t>
      </w:r>
      <w:r>
        <w:rPr>
          <w:rFonts w:ascii="Arial" w:cs="Arial" w:eastAsia="Arial" w:hAnsi="Arial"/>
          <w:sz w:val="18"/>
          <w:szCs w:val="18"/>
          <w:color w:val="252525"/>
        </w:rPr>
        <w:t>.</w:t>
      </w:r>
      <w:r>
        <w:rPr>
          <w:rFonts w:ascii="Arial" w:cs="Arial" w:eastAsia="Arial" w:hAnsi="Arial"/>
          <w:sz w:val="18"/>
          <w:szCs w:val="18"/>
          <w:color w:val="auto"/>
        </w:rPr>
        <w:t xml:space="preserve">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The following Stock Performance Graph and related information shall not be deemed to be “filed” with the Securities and Exchange Commission, nor shall such information be incorporated by reference into any future filing under the Securities Act of 1933 or the Securities Exchange Act of 1934.</w:t>
      </w:r>
    </w:p>
    <w:p>
      <w:pPr>
        <w:spacing w:after="0" w:line="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2012. The graph depicts the change in the value of our Class A Common Stock relative to the indices at the end of each fiscal year and not for any interim period.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84455</wp:posOffset>
            </wp:positionV>
            <wp:extent cx="5257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125" w:right="3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selected financial information should be read in conjunction with, and is qualified in its entirety by, the accompanying consolidated financial statements and related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15"/>
          </w:tcPr>
          <w:p>
            <w:pPr>
              <w:jc w:val="center"/>
              <w:ind w:right="860"/>
              <w:spacing w:after="0"/>
              <w:rPr>
                <w:sz w:val="20"/>
                <w:szCs w:val="20"/>
                <w:color w:val="auto"/>
              </w:rPr>
            </w:pPr>
            <w:r>
              <w:rPr>
                <w:rFonts w:ascii="Arial" w:cs="Arial" w:eastAsia="Arial" w:hAnsi="Arial"/>
                <w:sz w:val="14"/>
                <w:szCs w:val="14"/>
                <w:b w:val="1"/>
                <w:bCs w:val="1"/>
                <w:color w:val="auto"/>
                <w:w w:val="92"/>
              </w:rPr>
              <w:t>Fiscal Year Ended September 30,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16"/>
          </w:tcPr>
          <w:p>
            <w:pPr>
              <w:jc w:val="center"/>
              <w:ind w:right="440"/>
              <w:spacing w:after="0"/>
              <w:rPr>
                <w:sz w:val="20"/>
                <w:szCs w:val="20"/>
                <w:color w:val="auto"/>
              </w:rPr>
            </w:pPr>
            <w:r>
              <w:rPr>
                <w:rFonts w:ascii="Arial" w:cs="Arial" w:eastAsia="Arial" w:hAnsi="Arial"/>
                <w:sz w:val="14"/>
                <w:szCs w:val="14"/>
                <w:i w:val="1"/>
                <w:iCs w:val="1"/>
                <w:color w:val="auto"/>
                <w:w w:val="91"/>
              </w:rPr>
              <w:t>(in thousands, except per share and store figures)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data:</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21"/>
                <w:szCs w:val="21"/>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747,954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8"/>
              <w:spacing w:after="0"/>
              <w:rPr>
                <w:sz w:val="20"/>
                <w:szCs w:val="20"/>
                <w:color w:val="auto"/>
              </w:rPr>
            </w:pPr>
            <w:r>
              <w:rPr>
                <w:rFonts w:ascii="Arial" w:cs="Arial" w:eastAsia="Arial" w:hAnsi="Arial"/>
                <w:sz w:val="18"/>
                <w:szCs w:val="18"/>
                <w:color w:val="auto"/>
              </w:rPr>
              <w:t>730,505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720,000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745,770</w:t>
            </w:r>
          </w:p>
        </w:tc>
        <w:tc>
          <w:tcPr>
            <w:tcW w:w="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765,039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435,510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428,230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403,020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447,661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4"/>
          </w:tcPr>
          <w:p>
            <w:pPr>
              <w:jc w:val="right"/>
              <w:ind w:right="8"/>
              <w:spacing w:after="0"/>
              <w:rPr>
                <w:sz w:val="20"/>
                <w:szCs w:val="20"/>
                <w:color w:val="auto"/>
              </w:rPr>
            </w:pPr>
            <w:r>
              <w:rPr>
                <w:rFonts w:ascii="Arial" w:cs="Arial" w:eastAsia="Arial" w:hAnsi="Arial"/>
                <w:sz w:val="18"/>
                <w:szCs w:val="18"/>
                <w:color w:val="auto"/>
              </w:rPr>
              <w:t>1,921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17,080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10,957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26,837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43,198</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Income (loss) from continuing operations, net of tax</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32,033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(8,998)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(52,182)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13,583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2"/>
              </w:rPr>
              <w:t>Basic earnings (loss) per share attributable to EZCORP, Inc. —</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0"/>
                <w:szCs w:val="20"/>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0.62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(0.15)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0.27</w:t>
            </w:r>
          </w:p>
        </w:tc>
      </w:tr>
      <w:tr>
        <w:trPr>
          <w:trHeight w:val="27"/>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Diluted earnings (loss) per share attributable to EZCORP, Inc. —</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6"/>
              </w:rPr>
              <w:t>0.62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r>
      <w:tr>
        <w:trPr>
          <w:trHeight w:val="270"/>
        </w:trPr>
        <w:tc>
          <w:tcPr>
            <w:tcW w:w="4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54,260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4"/>
          </w:tcPr>
          <w:p>
            <w:pPr>
              <w:jc w:val="right"/>
              <w:ind w:right="8"/>
              <w:spacing w:after="0"/>
              <w:rPr>
                <w:sz w:val="20"/>
                <w:szCs w:val="20"/>
                <w:color w:val="auto"/>
              </w:rPr>
            </w:pPr>
            <w:r>
              <w:rPr>
                <w:rFonts w:ascii="Arial" w:cs="Arial" w:eastAsia="Arial" w:hAnsi="Arial"/>
                <w:sz w:val="18"/>
                <w:szCs w:val="18"/>
                <w:color w:val="auto"/>
              </w:rPr>
              <w:t>54,427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54,369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54,148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53,657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54,368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54,427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54,369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53,737</w:t>
            </w:r>
          </w:p>
        </w:tc>
      </w:tr>
      <w:tr>
        <w:trPr>
          <w:trHeight w:val="270"/>
        </w:trPr>
        <w:tc>
          <w:tcPr>
            <w:tcW w:w="4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Stores attributable to continuing operations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3"/>
              </w:rPr>
              <w:t>786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w:t>
            </w:r>
          </w:p>
        </w:tc>
      </w:tr>
      <w:tr>
        <w:trPr>
          <w:trHeight w:val="378"/>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Balance Sheet Data</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2"/>
        </w:trPr>
        <w:tc>
          <w:tcPr>
            <w:tcW w:w="4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6"/>
          </w:tcPr>
          <w:p>
            <w:pPr>
              <w:jc w:val="center"/>
              <w:ind w:right="340"/>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169,242</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167,329</w:t>
            </w:r>
          </w:p>
        </w:tc>
        <w:tc>
          <w:tcPr>
            <w:tcW w:w="38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159,964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162,444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156,637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6"/>
              </w:rPr>
              <w:t>154,411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140,224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124,084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138,175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145,200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Working capital (a)</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508,382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387,165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318,107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370,247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325,263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1,024,363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983,244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898,908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1,023,982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1,044,136</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less current maturities (a)</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284,807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283,611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197,976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213,265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139,894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EZCORP, Inc. stockholders’ equity</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662,375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594,983</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656,031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812,346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879,027</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right="800" w:hanging="332"/>
        <w:spacing w:after="0" w:line="27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exclude assets and liabilities held for sale as discussed in Note 16 of Notes to Consolidated Financial Statements included in “Part II, Item 8 — Financial Statements and Supplemental Data.”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 — Risk Factors.” See also “Cautionary Statement Regarding Risks and Uncertainties That May Affect Future Results” below.</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This discussion and analysis should be read in conjunction with the consolidated financial statements and the accompanying notes included in “Part II,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Financial Statements and Supplementary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Fiscal 2017 Highlights</w:t>
      </w:r>
    </w:p>
    <w:p>
      <w:pPr>
        <w:spacing w:after="0" w:line="17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Earnings per share from continuing operations grew $0.77 in the current year to $0.62 and net income from continuing operations grew $41.0 million in the current year to $32.0 million.</w:t>
      </w:r>
    </w:p>
    <w:p>
      <w:pPr>
        <w:spacing w:after="0" w:line="116"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continued to lead the U.S. market in same store PLO growth. PLO increased 19% in our Mexico Pawn segment.</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contribution from the Mexico Pawn segment improved significantly to $18.7 million, up 119% in the current year. Our Mexico Pawn segment provided 15% of our total segment contribution.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ended the year with a cash and cash equivalents balance of $164.4 million, a 150% increase.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successfully completed a $143.8 million offering of convertible notes, improving liquidity with a coupon rate of 2.875% and seven-year term.</w:t>
      </w:r>
    </w:p>
    <w:p>
      <w:pPr>
        <w:spacing w:after="0" w:line="194"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completed a restructuring of the notes receivable from AlphaCredit, improving the return and risk profile and increasing future cash flow and profit.</w:t>
      </w:r>
    </w:p>
    <w:p>
      <w:pPr>
        <w:spacing w:after="0" w:line="116"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Shortly after the end of the year, we completed the acquisition of 112 pawn stores in Latin America (Guatemala, El Salvador, Honduras and Peru), which provides immediate accretion to future earnings and a platform for further growth and expansion in Latin America.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2017 vs. Fiscal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following table presents selected summary consolidated financial data. This table, as well as the discussion that follows, should be read with the consolidated financial statements and related notes included in “Part II, Item 8 — Financial Statements and Supplementary Data.”</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fourth quarter of fiscal 2017, Hurricanes Harvey and Irma negatively impacted our U.S. Pawn segment and a major earthquake impacted our Mexico Pawn segment. The majority of the financial impacts resulted from the temporary closure of stores as a result of the hurricanes, causing a decline in the U.S. pawn loan balances of approximately $5.0 million, with a resulting reduction in pawn service charges. As a result of the storms, 79 stores in Texas and 97 stores in Florida were closed. We were able to reopen most of the stores within two days, and had reopened all of the stores by September 30, 2017. We believe the reduction in pawn loan balances was partially due to the significant inflow of relief funds to our customers and the temporary abatement of rent, utilities and some other monthly bills for affected customers, temporarily reducing the demand for pawn loans. We expect our pawn loan balance to return to its normal level following the annual tax refund season in the U.S., which is in the second quarter of fiscal 2018. Until rebuilt, we expect the lower pawn loan balance will suppress fiscal 2018 net revenues compared to what we would otherwise have expected. The earthquake in Mexico had an immaterial impact in the fourth quarter, and we do not expect any material impact in fiscal 2018.</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273,080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261,800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414,838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409,107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148,313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150,836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51,189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50,113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Jewelry scrapping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8,074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Other revenues, net</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7,520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435,510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428,230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324"/>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381,910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399,057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non-operating expenses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10,361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28,810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(64)%</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43,239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11,812%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11,206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9,361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20%</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32,033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(79,432)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(98)%</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30,208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(88,430)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(7,686)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(79)%</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EZCORP,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31,858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(80,744)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09"/>
        </w:trPr>
        <w:tc>
          <w:tcPr>
            <w:tcW w:w="7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pawn earning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169,242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167,329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154,411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140,224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 net pawn earning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323,653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307,553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ind w:left="60" w:right="40"/>
        <w:spacing w:after="0" w:line="257" w:lineRule="auto"/>
        <w:rPr>
          <w:sz w:val="20"/>
          <w:szCs w:val="20"/>
          <w:color w:val="auto"/>
        </w:rPr>
      </w:pPr>
      <w:r>
        <w:rPr>
          <w:rFonts w:ascii="Arial" w:cs="Arial" w:eastAsia="Arial" w:hAnsi="Arial"/>
          <w:sz w:val="18"/>
          <w:szCs w:val="18"/>
          <w:color w:val="auto"/>
        </w:rPr>
        <w:t>Total revenues for fiscal 2017 were $748.0 million compared to $730.5 million in the prior year, driven by increased merchandise sales and pawn service charge growth. Pawn service charges increased 4% primarily due to an increase in average pawn loan balances outstanding during the current year, despite the negative impacts from hurricanes previously discussed. The increase was driven by continued intense focus on market leadership in meeting our customers' desire for cash. Merchandise sales increased 1% with gross margin on merchandise sales of 36%, below the prior year, but within our target range of 35-38%.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0" w:right="460"/>
        <w:spacing w:after="0" w:line="277" w:lineRule="auto"/>
        <w:rPr>
          <w:sz w:val="20"/>
          <w:szCs w:val="20"/>
          <w:color w:val="auto"/>
        </w:rPr>
      </w:pPr>
      <w:r>
        <w:rPr>
          <w:rFonts w:ascii="Arial" w:cs="Arial" w:eastAsia="Arial" w:hAnsi="Arial"/>
          <w:sz w:val="18"/>
          <w:szCs w:val="18"/>
          <w:color w:val="auto"/>
        </w:rPr>
        <w:t>The estimated decrease in income from continuing operations, earnings per share and pawn loans resulting from natural disasters for fiscal 2017 was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U.S. Pawn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Mexico Pawn</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318"/>
        </w:trPr>
        <w:tc>
          <w:tcPr>
            <w:tcW w:w="7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6"/>
          </w:tcPr>
          <w:p>
            <w:pPr>
              <w:jc w:val="right"/>
              <w:ind w:right="50"/>
              <w:spacing w:after="0"/>
              <w:rPr>
                <w:sz w:val="20"/>
                <w:szCs w:val="20"/>
                <w:color w:val="auto"/>
              </w:rPr>
            </w:pPr>
            <w:r>
              <w:rPr>
                <w:rFonts w:ascii="Arial" w:cs="Arial" w:eastAsia="Arial" w:hAnsi="Arial"/>
                <w:sz w:val="14"/>
                <w:szCs w:val="14"/>
                <w:i w:val="1"/>
                <w:iCs w:val="1"/>
                <w:color w:val="auto"/>
              </w:rPr>
              <w:t>(in millions, except per share data)</w:t>
            </w:r>
          </w:p>
        </w:tc>
        <w:tc>
          <w:tcPr>
            <w:tcW w:w="920" w:type="dxa"/>
            <w:vAlign w:val="bottom"/>
          </w:tcPr>
          <w:p>
            <w:pPr>
              <w:spacing w:after="0"/>
              <w:rPr>
                <w:sz w:val="24"/>
                <w:szCs w:val="24"/>
                <w:color w:val="auto"/>
              </w:rPr>
            </w:pPr>
          </w:p>
        </w:tc>
      </w:tr>
      <w:tr>
        <w:trPr>
          <w:trHeight w:val="25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Pawn service charges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Merchandise sales gross profit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and loss on disposal of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37"/>
        </w:trPr>
        <w:tc>
          <w:tcPr>
            <w:tcW w:w="714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7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Diluted loss per share attributable to EZCORP, Inc. —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Pawn loans outstanding as of September 30, 2017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05"/>
        </w:trPr>
        <w:tc>
          <w:tcPr>
            <w:tcW w:w="7140" w:type="dxa"/>
            <w:vAlign w:val="bottom"/>
          </w:tcPr>
          <w:p>
            <w:pPr>
              <w:spacing w:after="0"/>
              <w:rPr>
                <w:sz w:val="20"/>
                <w:szCs w:val="20"/>
                <w:color w:val="auto"/>
              </w:rPr>
            </w:pPr>
            <w:r>
              <w:rPr>
                <w:rFonts w:ascii="Arial" w:cs="Arial" w:eastAsia="Arial" w:hAnsi="Arial"/>
                <w:sz w:val="18"/>
                <w:szCs w:val="18"/>
                <w:color w:val="auto"/>
              </w:rPr>
              <w:t>Total operating expenses decreased $17.1 million, or 4%, due to:</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48" w:lineRule="exact"/>
        <w:rPr>
          <w:sz w:val="20"/>
          <w:szCs w:val="20"/>
          <w:color w:val="auto"/>
        </w:rPr>
      </w:pPr>
    </w:p>
    <w:p>
      <w:pPr>
        <w:ind w:left="660" w:right="20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$14.8 million decrease in administrative expense due primarily to a $7.9 million decrease in business and professional fees as a result of the completion of internal control remediation efforts in the prior year, inclusive of $0.8 million in acquisition-related costs below, and a $7.0 million decrease in labor costs including the impact of corporate headcount reductions, partially offset by $1.2 million in costs related to our acquisition of GPMX in October 2017;</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$2.9 million decrease in depreciation and amortization expense from a lower depreciable asset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$1.9 million decrease in restructuring expense as our prior actions are complete;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$0.7 million decrease in loss on sale or disposal of assets due to a reduction in asset disposals in the current year; partially offset by</w:t>
      </w:r>
    </w:p>
    <w:p>
      <w:pPr>
        <w:spacing w:after="0" w:line="171"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$3.2 million increase in operations expense primarily due to investment in field leadership and customer-facing team members in addition to higher employee benefit costs, $0.9 million in costs (exclusive of $0.1 million in non-operating expenses) attributable to Hurricane Harvey in Texas during our fourth quarter of fiscal 2017 and $0.6 million in losses, net of insurance recoveries, associated with riot related looting of 12 stores in Mexico during our second fiscal quarter.</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non-operating expenses decreased by $18.4 million from the prior year. This decrease was primarily due to:</w:t>
      </w:r>
    </w:p>
    <w:p>
      <w:pPr>
        <w:spacing w:after="0" w:line="171" w:lineRule="exact"/>
        <w:rPr>
          <w:sz w:val="20"/>
          <w:szCs w:val="20"/>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$5.2 million increase in income from our unconsolidated affiliate due to improvement in performance of Cash Converters International as a result of improved operations and the completion of fiscal 2016 restructuring actions;</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impairments of our investment in Cash Converters International in fiscal 2017, compared to an $11.0 million impairment ($7.2 million, net of taxes) in fiscal 2016;</w:t>
      </w:r>
    </w:p>
    <w:p>
      <w:pPr>
        <w:spacing w:after="0" w:line="11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$12.0 million increase in interest income as a result of our notes receivable from the sale of Grupo Finmart including a $3.0 million gain as a result of the restructuring of the notes receivable in September 2017, in addition to ordinary accruals of interest and accretion of associated discounts; and</w:t>
      </w:r>
    </w:p>
    <w:p>
      <w:pPr>
        <w:spacing w:after="0" w:line="69" w:lineRule="exact"/>
        <w:rPr>
          <w:rFonts w:ascii="Arial" w:cs="Arial" w:eastAsia="Arial" w:hAnsi="Arial"/>
          <w:sz w:val="16"/>
          <w:szCs w:val="16"/>
          <w:color w:val="auto"/>
        </w:rPr>
      </w:pPr>
    </w:p>
    <w:p>
      <w:pPr>
        <w:ind w:left="660" w:righ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$1.6 million decrease in other expense primarily due to net foreign currency transaction losses in the prior year as a result of movement in exchange rates; partially offset by</w:t>
      </w:r>
    </w:p>
    <w:p>
      <w:pPr>
        <w:spacing w:after="0" w:line="116" w:lineRule="exact"/>
        <w:rPr>
          <w:rFonts w:ascii="Arial" w:cs="Arial" w:eastAsia="Arial" w:hAnsi="Arial"/>
          <w:sz w:val="18"/>
          <w:szCs w:val="18"/>
          <w:color w:val="auto"/>
        </w:rPr>
      </w:pPr>
    </w:p>
    <w:p>
      <w:pPr>
        <w:ind w:left="660" w:right="6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$11.3 million increase in interest expense primarily as a result of our Term Loan Facility obtained in September 2016, including accruals of interest in addition to amortization of associated discounts and deferred financings costs. We incurred loss on extinguishment of debt and other costs of $5.3 million, recorded as a component of interest expense, as a result of the retirement of $35 million principal amount of 2019 Convertible Notes and the Term Loan Facility in July 2017, funded by proceeds from our offering of 2024 Convertible Notes.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Income taxes increased $1.8 million, or 20%, from $9.4 million in the prior year to $11.2 million in the current year. The overall increase in our tax expense was driven by an increase in our pre-tax earnings from $0.4 million in the prior year to $43.2 million in the current year. Income tax expense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valuation allowances. In the current year, state tax expense decreased due to a decision to elect to file combined returns in certain states that allow combined filings where separate returns were previously filed. In addition, we recognized a partial reversal of our valuation allowance by realizing a portion of our capital loss carryforwards in connection with the restructuring of our Grupo Finmart notes receivable. See Note 10 of Notes to Consolidated Financial Statements included in “Part II, Item 8 — Financial Statements and Supplemental Data” for quantification of these items.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fiscal 2016, we sold our Prestaciones Finmart, S.A.P.I. de C.V., SOFOM, E.N.R. ("Grupo Finmart") business. Loss from discontinued operations, net of tax, included a gain of $34.2 million, transaction costs o$8.0 million, a $73.2 million goodwill impairment charge and a general operating loss of $44.8 million, before income taxes.</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125"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Fiscal Year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60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gridSpan w:val="3"/>
          </w:tcPr>
          <w:p>
            <w:pPr>
              <w:jc w:val="right"/>
              <w:ind w:right="654"/>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238,437</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229,893</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351,878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348,771</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128,403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131,503</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 bps</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48,203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47,810</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6,769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7,672</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(12)%</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 bps</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331</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(34)%</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373,828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369,399</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r>
      <w:tr>
        <w:trPr>
          <w:trHeight w:val="324"/>
        </w:trPr>
        <w:tc>
          <w:tcPr>
            <w:tcW w:w="6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259,977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255,321</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10,171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12,242</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(17)%</w:t>
            </w:r>
          </w:p>
        </w:tc>
      </w:tr>
      <w:tr>
        <w:trPr>
          <w:trHeight w:val="237"/>
        </w:trPr>
        <w:tc>
          <w:tcPr>
            <w:tcW w:w="60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89"/>
              </w:rPr>
              <w:t>103,680</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9"/>
              </w:rPr>
              <w:t>101,836</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w:t>
            </w:r>
          </w:p>
        </w:tc>
      </w:tr>
      <w:tr>
        <w:trPr>
          <w:trHeight w:val="27"/>
        </w:trPr>
        <w:tc>
          <w:tcPr>
            <w:tcW w:w="6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318"/>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1,780</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(90)%</w:t>
            </w:r>
          </w:p>
        </w:tc>
      </w:tr>
      <w:tr>
        <w:trPr>
          <w:trHeight w:val="27"/>
        </w:trPr>
        <w:tc>
          <w:tcPr>
            <w:tcW w:w="6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103,501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100,056</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09"/>
        </w:trPr>
        <w:tc>
          <w:tcPr>
            <w:tcW w:w="6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(a)</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280,673</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270,974</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(0.1)x</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270</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Pawn loan redemption rate (c)</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0" w:lineRule="exact"/>
        <w:rPr>
          <w:sz w:val="20"/>
          <w:szCs w:val="20"/>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Net revenue increased $4.4 million, or 1%, primarily due to larger outstanding pawn loan balances during the year, offset by the negative impacts from hurricanes previously discussed. The increase in net revenue in fiscal 2017 attributable to same stores and new stores added since the prior year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continue to invest in the core pawn business, including commencement of our upgraded point of sale system rollout. We are confident that these initiatives, combined with further investments in product and customer analytics and in sustained training, coaching and mentoring of our field team, will continue to provide a robust platform for further profitable growth.</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Pawn service charges increased 4% primarily due to a 4% increase in average ending monthly pawn loan balances outstanding during the current year, continuing our trend of year-over-year growth, driven by continued intense focus on market leadership in meeting our customers' desire for cash. The increase in pawn service charges is inclusive of the negative impacts from hurricanes previously discussed.</w:t>
      </w:r>
    </w:p>
    <w:p>
      <w:pPr>
        <w:spacing w:after="0" w:line="12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Merchandise sales increased 1% with gross margin on merchandise sales of 36%, below the prior year, but within our target range of 35-38%. As a result, merchandise sales gross profit decreased 2% to $128.4 million. The decrease in merchandise sales gross profit is inclusive of the negative impacts from hurricanes previously discussed.</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Jewelry scrapping sales gross profit remained flat at 2% of current year net revenues, in-line with our strategy to sell rather than scrap merchandise, with a 200 basis point decline in gross margin to 14%.</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improved total segment expenses to 42% of revenues from 43% in the prior year. In dollar terms, segment expenses increased by $1.0 million, in line with our increase in net revenue. This increase was primarily due to costs attributable to Hurricane Harvey in Texas and Hurricane Irma in Florida during our fourth quarter of fiscal 2017 as previously discussed and $3.5 million higher labor costs with investment in field leadership and customer-facing team members in addition to higher employee benefit costs. These items were partially offset by a $2.0 million decrease in depreciation and amortization from a lower depreciable asset base. Restructuring activities have been substantially completed, resulting in a further $1.0 million offsetting reduction compared to the prior year.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operations, which are denominated in Mexican pesos. We believe that presentation of constant currency results is meaningful and useful in understanding the activities and business metrics of our Mexico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exchange rate as of September 30, 2017 and 2016 was 18.2 to 1 and 19.4 to 1, respectively. The approximate average exchange rate for the years ended September 30, 2017, 2016 and 2015 was 19.1 to 1, 17.9 to 1, and 15.1 to 1, respectively; however, our statement of operations constant currency results reflect the impact of monthly effects of exchange rates and so are not directly calculable from the above rates. Constant currency results, where presented, also exclude the foreign currency gain or loss and the related foreign currency derivative gain or loss impact. We have experienced a prolonged weakening of the Mexican peso to the U.S. dollar and may continue to experience further weakening in future reporting periods, which may adversely impact our future operating results when stated on a GAAP basis.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presents selected summary financial data from continuing operations for the Mexico Pawn segment,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Fiscal Year Ended September 30,</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2017 (GAAP)</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2016 (GAAP)</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1"/>
              </w:rPr>
              <w:t>2017 (Constant</w:t>
            </w: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Currency)</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4"/>
          </w:tcPr>
          <w:p>
            <w:pPr>
              <w:jc w:val="right"/>
              <w:ind w:right="931"/>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72"/>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34,643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31,907</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36,819</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62,957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60,331</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67,629</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19,329</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21,383</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3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2,282</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3,291</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88"/>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542</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r>
        <w:trPr>
          <w:trHeight w:val="243"/>
        </w:trPr>
        <w:tc>
          <w:tcPr>
            <w:tcW w:w="3580" w:type="dxa"/>
            <w:vAlign w:val="bottom"/>
          </w:tcPr>
          <w:p>
            <w:pPr>
              <w:ind w:left="500"/>
              <w:spacing w:after="0"/>
              <w:rPr>
                <w:sz w:val="20"/>
                <w:szCs w:val="20"/>
                <w:color w:val="auto"/>
              </w:rPr>
            </w:pPr>
            <w:r>
              <w:rPr>
                <w:rFonts w:ascii="Arial" w:cs="Arial" w:eastAsia="Arial" w:hAnsi="Arial"/>
                <w:sz w:val="18"/>
                <w:szCs w:val="18"/>
                <w:color w:val="auto"/>
                <w:w w:val="94"/>
              </w:rPr>
              <w:t>Gross margin on jewelry scrapping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 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(100) bps</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385</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684</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78%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52,018</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2"/>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59,428</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338"/>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36,211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38,481</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38,750</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2,965</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1"/>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2,862</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10,572</w:t>
            </w:r>
          </w:p>
        </w:tc>
        <w:tc>
          <w:tcPr>
            <w:tcW w:w="40" w:type="dxa"/>
            <w:vAlign w:val="bottom"/>
            <w:tcBorders>
              <w:top w:val="single" w:sz="8" w:color="auto"/>
            </w:tcBorders>
          </w:tcPr>
          <w:p>
            <w:pPr>
              <w:spacing w:after="0"/>
              <w:rPr>
                <w:sz w:val="20"/>
                <w:szCs w:val="20"/>
                <w:color w:val="auto"/>
              </w:rPr>
            </w:pP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17,816</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segment (income) expenses (a)</w:t>
            </w:r>
          </w:p>
        </w:tc>
        <w:tc>
          <w:tcPr>
            <w:tcW w:w="2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2,064</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(1,783)</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18,654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8,508</w:t>
            </w:r>
          </w:p>
        </w:tc>
        <w:tc>
          <w:tcPr>
            <w:tcW w:w="1820" w:type="dxa"/>
            <w:vAlign w:val="bottom"/>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1"/>
              </w:rPr>
              <w:t>119%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19,599</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Net earning assets — continuing operations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42,952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36,576</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40,273</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(0.1)x</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(0.1)x</w:t>
            </w: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per store (c)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70</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78</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42" w:lineRule="exact"/>
        <w:rPr>
          <w:sz w:val="20"/>
          <w:szCs w:val="20"/>
          <w:color w:val="auto"/>
        </w:rPr>
      </w:pPr>
    </w:p>
    <w:p>
      <w:pPr>
        <w:ind w:left="500" w:right="300" w:hanging="465"/>
        <w:spacing w:after="0" w:line="253"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Fiscal 2017 constant currency amount excludes $0.1 million of net GAAP basis foreign currency transaction gains resulting from movement in exchange rates. The net foreign currency transaction losses for fiscal 2016 were $1.3 million and are not excluded from the above results.</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Mexico business continues to grow rapidly. We opened ten de novo stores in fiscal 2017 and plan to open approximately ten more in fiscal 2018. We also see further opportunity for acquisitions in Latin America, and on October 6, 2017, we acquired 112 pawn stores located in Guatemala, El Salvador, Honduras and Peru, increasing the scale of our Latin American operations. In fiscal 2017, net revenue increased $3.7 million, or 7% (up $7.4 million, or 14%, on a constant currency basis). The increase in net revenue attributable to same stores and new stores added since the prior year is summarized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Pawn service charges were up 9% (15% on a constant currency basis) primarily as a result of same store loan growth, with an increased average ending monthly pawn loan balance outstanding during the current year of 6% (11% on a constant currency basis), driven by continued intense focus on market leadership in meeting our customers' desire for cash, offset by foreign currency impacts.</w:t>
      </w:r>
    </w:p>
    <w:p>
      <w:pPr>
        <w:spacing w:after="0" w:line="12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Merchandise sales were up 4% (12% on a constant currency basis), with gross margin on merchandise sales of 32%, consistent with the prior year. As a result of the combination of these effects, offset by foreign currency impacts, merchandise sales gross profit was up 3% to $19.9 million (11% to $21.4 million on a constant currency basis).</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leveraged a 7% increase in net revenue (14% on a constant currency basis) into a 59% increase in segment operating contribution (69% on a constant currency basis) due to focused expense management, despite absorbing start-up costs from de novo stores. After a $3.9 million improvement in other segment income, primarily interest income and foreign currency impacts, segment contribution increased 119% (130% on a constant currency basis) to $18.7 million ($19.6 million on a constant currency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Segment expenses decreased by $6.5 million ($3.7 million on a constant currency basis) primarily due to:</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$1.4 million decrease ($0.3 million on a constant currency basis) in labor costs largely due to foreign currency impacts;</w:t>
      </w:r>
    </w:p>
    <w:p>
      <w:pPr>
        <w:spacing w:after="0" w:line="171" w:lineRule="exact"/>
        <w:rPr>
          <w:rFonts w:ascii="Arial" w:cs="Arial" w:eastAsia="Arial" w:hAnsi="Arial"/>
          <w:sz w:val="18"/>
          <w:szCs w:val="18"/>
          <w:color w:val="auto"/>
        </w:rPr>
      </w:pPr>
    </w:p>
    <w:p>
      <w:pPr>
        <w:jc w:val="both"/>
        <w:ind w:left="660" w:right="4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$1.9 million increase in interest income as a result of our notes receivable from the sale of Grupo Finmart, including a $0.5 million gain as a result of the restructuring of the notes receivable in September 2017, combined with the ordinary accruals of interest and accretion of associated discounts;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decrease in restructuring charges as we have substantially completed all prior restructuring actions;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$1.4 million decrease in foreign currency transaction losses;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$0.6 million in losses, net of insurance recoveries, associated with the riot related looting of 12 stores during our second fiscal quarter.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 after translation to U.S. dollars from its reporting units’ functional currencies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7,983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8,769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r>
      <w:tr>
        <w:trPr>
          <w:trHeight w:val="27"/>
        </w:trPr>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92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(67)%</w:t>
            </w:r>
          </w:p>
        </w:tc>
      </w:tr>
      <w:tr>
        <w:trPr>
          <w:trHeight w:val="27"/>
        </w:trPr>
        <w:tc>
          <w:tcPr>
            <w:tcW w:w="69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5,998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(12)%</w:t>
            </w:r>
          </w:p>
        </w:tc>
      </w:tr>
      <w:tr>
        <w:trPr>
          <w:trHeight w:val="324"/>
        </w:trPr>
        <w:tc>
          <w:tcPr>
            <w:tcW w:w="6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Segment operating (income) expenses: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8,639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7,803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11%</w:t>
            </w:r>
          </w:p>
        </w:tc>
      </w:tr>
      <w:tr>
        <w:trPr>
          <w:trHeight w:val="27"/>
        </w:trPr>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loss of unconsolidated affiliates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(4,916)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Segment operating income (loss)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7"/>
              </w:rPr>
              <w:t>2,275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11,165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 (loss)</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2,371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0"/>
        </w:trPr>
        <w:tc>
          <w:tcPr>
            <w:tcW w:w="6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was $2.4 million, an increase of $14.8 million from the prior year primarily due to</w:t>
      </w:r>
    </w:p>
    <w:p>
      <w:pPr>
        <w:spacing w:after="0" w:line="171" w:lineRule="exact"/>
        <w:rPr>
          <w:sz w:val="20"/>
          <w:szCs w:val="20"/>
          <w:color w:val="auto"/>
        </w:rPr>
      </w:pPr>
    </w:p>
    <w:p>
      <w:pPr>
        <w:ind w:left="660" w:right="7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$5.2 million increase in earnings from Cash Converters International as a result of improved operations and the completion of fiscal 2016 restructuring actions; and</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impairments of our investment in Cash Converters International in fiscal 2017, compared to an $11.0 million impairment ($7.2 million, net of taxes) in fiscal 2016; offset by</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$1.6 million increase in operating expenses due to further investment in the development of a digital IT platform that enables greater intimacy with our customers to drive future revenue enhancement.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(loss)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124,526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96,154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(22)%</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10,624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11,117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71%</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(10,173)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227%</w:t>
            </w: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43,239</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11,812%</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11,206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20%</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net of tax</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32,033</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(98)%</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30,208</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(88,430)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(79)%</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Net income (loss) attributable to EZCORP,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31,858</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(80,744)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decreased $14.8 million, or 22%, due primarily to:</w:t>
      </w:r>
    </w:p>
    <w:p>
      <w:pPr>
        <w:spacing w:after="0" w:line="171" w:lineRule="exact"/>
        <w:rPr>
          <w:sz w:val="20"/>
          <w:szCs w:val="20"/>
          <w:color w:val="auto"/>
        </w:rPr>
      </w:pPr>
    </w:p>
    <w:p>
      <w:pPr>
        <w:ind w:left="660" w:right="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$7.9 million decrease in business and professional fees due to completion of internal control remediation efforts in the prior year, inclusive of $0.8 million in acquisition-related costs below;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$7.0 million decrease in labor costs including the impact of corporate headcount reductions;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 million in costs related to our acquisition of GPMX in October 2017.</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increased $11.6 million, or 71%, primarily as a result of our Term Loan Facility obtained in September 2016, including accruals of interest in addition to amortization of associated discounts and deferred financings costs. Included in interest expense is a loss on extinguishment of debt and other costs of $5.3 million as a result of retiring $35 million principal amount of 2019 Convertible Notes and the full Term Loan Facility in July 2017 using proceeds from our offering of 2024 Convertible Notes.</w:t>
      </w:r>
    </w:p>
    <w:p>
      <w:pPr>
        <w:spacing w:after="0" w:line="13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Interest income increased $10.1 million as a result of our notes receivable from the sale of Grupo Finmart including a $2.5 million gain in the U.S. as a result of the restructuring of the notes receivable in September 2017, in addition to ordinary accruals of interest and accretion of associated discounts.</w:t>
      </w:r>
    </w:p>
    <w:p>
      <w:pPr>
        <w:spacing w:after="0" w:line="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Income taxes increased $1.8 million, or 20%, from a $9.4 million expense in the prior year to an $11.2 million expense in the current year. The overall increase in our tax expense was driven by an increase in our pre-tax earnings from $0.4 million in the prior year to $43.2 million in the current year. Income tax expense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 valuation allowances. In the current year, state tax expense decreased due to a decision to elect to file combined returns in certain states that allow combined filings where separate returns were previously filed. In addition, we recognized a partial reversal of our valuation allowance by realizing a portion of our capital loss carryforwards in connection with the restructuring of our Grupo Finmart notes receivable. See Note 10 of Notes to Consolidated Financial Statements included in “Part II, Item 8 — Financial Statements and Supplemental Data” for quantification of these items.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2016 vs. Fiscal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table presents selected summary consolidated financial data for our fiscal years ended September 30, 2016 and 2015. This table, as well as the discussion that follows, should be read with the consolidated financial statements and related notes included in “Part II, Item 8 — Financial Statements and Supplementary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261,800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247,204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409,107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402,118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150,836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134,329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50,113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57,973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(14)%</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11,907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(32)%</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7,520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9,580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428,230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403,020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w:t>
            </w:r>
          </w:p>
        </w:tc>
      </w:tr>
      <w:tr>
        <w:trPr>
          <w:trHeight w:val="284"/>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399,057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418,623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Non-operating expenses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28,810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50,604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(43)%</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(66,207)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9,361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(14,025)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(52,182)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(83)%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(79,432)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(42,045)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89%</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(88,430)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(94,227)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(7,686)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(5,035)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53%</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EZCORP,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(80,744)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(89,192)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(9)%</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09"/>
        </w:trPr>
        <w:tc>
          <w:tcPr>
            <w:tcW w:w="7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pawn earning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167,329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159,964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140,224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124,084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 net pawn earning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307,553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284,048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color w:val="auto"/>
        </w:rPr>
        <w:t>Total revenues for fiscal 2016 were $730.5 million compared to $720.0 million for fiscal 2015. Excluding jewelry scrapping sales, total revenues increased $18.4 million, driven by increased merchandise sales and pawn service charge growth.</w:t>
      </w:r>
    </w:p>
    <w:p>
      <w:pPr>
        <w:spacing w:after="0" w:line="116" w:lineRule="exact"/>
        <w:rPr>
          <w:sz w:val="20"/>
          <w:szCs w:val="20"/>
          <w:color w:val="auto"/>
        </w:rPr>
      </w:pPr>
    </w:p>
    <w:p>
      <w:pPr>
        <w:ind w:left="60" w:right="280"/>
        <w:spacing w:after="0" w:line="277" w:lineRule="auto"/>
        <w:rPr>
          <w:sz w:val="20"/>
          <w:szCs w:val="20"/>
          <w:color w:val="auto"/>
        </w:rPr>
      </w:pPr>
      <w:r>
        <w:rPr>
          <w:rFonts w:ascii="Arial" w:cs="Arial" w:eastAsia="Arial" w:hAnsi="Arial"/>
          <w:sz w:val="18"/>
          <w:szCs w:val="18"/>
          <w:color w:val="auto"/>
        </w:rPr>
        <w:t>Total operating expenses decreased from $418.6 million in fiscal 2015 to $399.1 million in fiscal 2016. This $19.6 million, or 5%, decrease was primarily due to:</w:t>
      </w:r>
    </w:p>
    <w:p>
      <w:pPr>
        <w:spacing w:after="0" w:line="116" w:lineRule="exact"/>
        <w:rPr>
          <w:sz w:val="20"/>
          <w:szCs w:val="20"/>
          <w:color w:val="auto"/>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$15.2 million decrease in restructuring expense from our fiscal 2015 restructuring plan aimed to streamline our structure and operating model to improve overall efficiency and reduce costs;</w:t>
      </w:r>
    </w:p>
    <w:p>
      <w:pPr>
        <w:spacing w:after="0" w:line="116"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$4.9 million decrease in administrative expense due primarily to a $3.6 million decrease in salaries and related costs, a $3.4 million decrease in litigation and related costs and $5.8 million in various other individually small reductions in corporate costs as we continued to work towards corporate overhead reduction goals, offset by a $8.0</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320"/>
        <w:spacing w:after="0" w:line="324" w:lineRule="auto"/>
        <w:rPr>
          <w:sz w:val="20"/>
          <w:szCs w:val="20"/>
          <w:color w:val="auto"/>
        </w:rPr>
      </w:pPr>
      <w:r>
        <w:rPr>
          <w:rFonts w:ascii="Arial" w:cs="Arial" w:eastAsia="Arial" w:hAnsi="Arial"/>
          <w:sz w:val="18"/>
          <w:szCs w:val="18"/>
          <w:color w:val="auto"/>
        </w:rPr>
        <w:t>million increase in short-term and long-term incentive programs. Administrative expenses include $4.2 million of fiscal 2015 restatement related expenses recorded in fiscal 2016;</w:t>
      </w:r>
    </w:p>
    <w:p>
      <w:pPr>
        <w:spacing w:after="0" w:line="89" w:lineRule="exact"/>
        <w:rPr>
          <w:sz w:val="20"/>
          <w:szCs w:val="20"/>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$4.4 million decrease in depreciation and amortization expense as a result of ongoing savings realized from a lower depreciable fixed asset base as a result of our strategic review completed in fiscal 2015;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$1.6 million decrease in loss on sale or disposal of assets, due to a reduction in asset disposals in fiscal 2016; partially offset by</w:t>
      </w:r>
    </w:p>
    <w:p>
      <w:pPr>
        <w:spacing w:after="0" w:line="17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$6.4 million increase in operations expense primarily as a result of staffing enhancements, increased participation in incentive compensation plans in our field organization and an increase in short-term and long-term incentive programs, as well as costs associated with new stores acquired. The largest component of this increase, which was offset by other items, was increased bonuses due to the substantial improvement in U.S. and Mexico Pawn operating results in fiscal 2016 as compared to fiscal 2015.</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non-operating expenses increased $21.8 million from fiscal 2015. This decrease was primarily due to:</w:t>
      </w:r>
    </w:p>
    <w:p>
      <w:pPr>
        <w:spacing w:after="0" w:line="171" w:lineRule="exact"/>
        <w:rPr>
          <w:sz w:val="20"/>
          <w:szCs w:val="20"/>
          <w:color w:val="auto"/>
        </w:rPr>
      </w:pPr>
    </w:p>
    <w:p>
      <w:pPr>
        <w:ind w:left="660" w:right="74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Impairment of our investment in Cash Converters International in fiscal 2016 in the amount of $11.0 million ($7.2 million, net of taxes), as compared to an impairment of our investment in fiscal 2015 in the amount of $26.8 million ($17.4 million, net of taxes);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$5.2 million decrease in loss from our unconsolidated affiliate due to improvement in performance of Cash Converters International; and</w:t>
      </w:r>
    </w:p>
    <w:p>
      <w:pPr>
        <w:spacing w:after="0" w:line="182"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 million decrease in other expense primarily due to net foreign currency transaction losses in fiscal 2016 as a result of movement in exchange rates affecting the revaluation of intercompany amounts and foreign currency debt outstanding.</w:t>
      </w:r>
    </w:p>
    <w:p>
      <w:pPr>
        <w:spacing w:after="0" w:line="116" w:lineRule="exact"/>
        <w:rPr>
          <w:sz w:val="20"/>
          <w:szCs w:val="20"/>
          <w:color w:val="auto"/>
        </w:rPr>
      </w:pPr>
    </w:p>
    <w:p>
      <w:pPr>
        <w:ind w:left="60"/>
        <w:spacing w:after="0" w:line="255" w:lineRule="auto"/>
        <w:rPr>
          <w:sz w:val="20"/>
          <w:szCs w:val="20"/>
          <w:color w:val="auto"/>
        </w:rPr>
      </w:pPr>
      <w:r>
        <w:rPr>
          <w:rFonts w:ascii="Arial" w:cs="Arial" w:eastAsia="Arial" w:hAnsi="Arial"/>
          <w:sz w:val="18"/>
          <w:szCs w:val="18"/>
          <w:color w:val="auto"/>
        </w:rPr>
        <w:t>Income tax expense increased $23.4 million, from a $14.0 million benefit in the prior year to a $9.4 million expense in the current year, primarily due to the $66.6 million decrease in loss from continuing operations before income taxes. Income tax expense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 valuation allowances for certain foreign operations. See Note 10 of Notes to Consolidated Financial Statements included in “Part II, Item 8 — Financial Statements and Supplemental Data” for quantification of these items.</w:t>
      </w:r>
    </w:p>
    <w:p>
      <w:pPr>
        <w:spacing w:after="0" w:line="139" w:lineRule="exact"/>
        <w:rPr>
          <w:sz w:val="20"/>
          <w:szCs w:val="20"/>
          <w:color w:val="auto"/>
        </w:rPr>
      </w:pPr>
    </w:p>
    <w:p>
      <w:pPr>
        <w:jc w:val="both"/>
        <w:ind w:left="60" w:right="60"/>
        <w:spacing w:after="0" w:line="286" w:lineRule="auto"/>
        <w:rPr>
          <w:sz w:val="20"/>
          <w:szCs w:val="20"/>
          <w:color w:val="auto"/>
        </w:rPr>
      </w:pPr>
      <w:r>
        <w:rPr>
          <w:rFonts w:ascii="Arial" w:cs="Arial" w:eastAsia="Arial" w:hAnsi="Arial"/>
          <w:sz w:val="17"/>
          <w:szCs w:val="17"/>
          <w:color w:val="auto"/>
        </w:rPr>
        <w:t>Loss from discontinued operations in fiscal 2015 and 2016 was primarily comprised of Grupo Finmart and USFS as further discussed in Note 16 of Notes to Consolidated Financial Statements included in “Part II, Item 8 — Financial Statements and Supplementary Data.” Loss from discontinued operations, net of tax increased $37.4 million from fiscal 2015 primarily due to the following in addition to the income tax effects thereon:</w:t>
      </w:r>
    </w:p>
    <w:p>
      <w:pPr>
        <w:spacing w:after="0" w:line="11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$26.7 million decrease in net revenues from Grupo Finmart from fiscal 2015 of as a result of delays in collections and other factors;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$73.2 million impairment of Grupo Finmart goodwill in fiscal 2016;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$34.2 million gain on disposition of Grupo Finmart in fiscal 2016;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$42.4 million in fiscal 2015 charges related to exiting USFS.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7"/>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229,893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216,211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348,771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334,635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131,503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115,682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300 bps</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47,810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54,343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11,498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(33)%</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(500) bps</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945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(65)%</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369,399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344,336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r>
      <w:tr>
        <w:trPr>
          <w:trHeight w:val="324"/>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255,321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244,232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12,242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15,227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(20)%</w:t>
            </w: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101,836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84,877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20%</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318"/>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5,029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(65)%</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100,056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79,848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25%</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09"/>
        </w:trPr>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270,974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251,068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(0.3)x</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252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loan redemption rate (c)</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0" w:lineRule="exact"/>
        <w:rPr>
          <w:sz w:val="20"/>
          <w:szCs w:val="20"/>
          <w:color w:val="auto"/>
        </w:rPr>
      </w:pPr>
    </w:p>
    <w:p>
      <w:pPr>
        <w:ind w:left="500" w:hanging="465"/>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42"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revenue increased 7% ($25.1 million), with core pawn revenue increasing $27.8 million, or 5%, from fiscal 2015. The increase in net revenue attributable to same stores and new stores added during fiscal 2016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Pawn service charges increased 6%, with the monthly average yield remaining consistent at 14%, offset by the increase in average monthly ending pawn loans outstanding of 7% due to continued focus on customer experience.</w:t>
      </w:r>
    </w:p>
    <w:p>
      <w:pPr>
        <w:spacing w:after="0" w:line="116"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Gross margin on merchandise sales increased to 38% from 35% in fiscal 2015 as a result of improved execution in disposing of aged inventory, as well as ongoing discipline in pawn loan valuation and retail pricing cadences. These positive operating developments drove an increase in merchandise sales gross profit of $15.8 million. We reduced total aged inventory (as a percentage of total inventory) to 8% from 10%. This reduction is primarily attributable to a reduction of aged jewelry inventory to 11% from 15% in the prior year, while our aged general merchandise inventory remained consistent at 5%.</w:t>
      </w:r>
    </w:p>
    <w:p>
      <w:pPr>
        <w:spacing w:after="0" w:line="1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margin on jewelry scrapping sales decreased to 16% from 21%. Jewelry scrapping sales gross profit decreased to 2% of net revenues from 3% in the prior year primarily as a result of our strategy to sell rather than scrap jewelry during our peak selling season, as margins on scrapping are lower than those on sales.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Total segment expenses increased to $269.3 million (43% of revenues) in fiscal 2016 from $264.5 million (44% of revenues) in fiscal 2015 primarily due to:</w:t>
      </w:r>
    </w:p>
    <w:p>
      <w:pPr>
        <w:spacing w:after="0" w:line="194" w:lineRule="exact"/>
        <w:rPr>
          <w:sz w:val="20"/>
          <w:szCs w:val="20"/>
          <w:color w:val="auto"/>
        </w:rPr>
      </w:pPr>
    </w:p>
    <w:p>
      <w:pPr>
        <w:ind w:left="660" w:right="2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$11.1 million, or 5%, net increase in operations expense primarily due to increased wages due to staffing enhancements and an increased participation in incentive compensation plans in our field organization to better serve and satisfy our customers amounting to $16.2 million, comprised of a $8.4 million increase in bonuses due to the substantial improvement in operating results in fiscal 2016 as compared to fiscal 2015 and a $7.8 million increase in salaries and related costs, in addition to costs associated with new stores acquired and other small items. The wage increases were partially offset by a $5.3 million reduction due to a fiscal 2015 impairment of long-lived intangible and fixed assets; partially offset by</w:t>
      </w:r>
    </w:p>
    <w:p>
      <w:pPr>
        <w:spacing w:after="0" w:line="13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$3.0 million, or 20%, decrease in depreciation and amortization expense as a result of savings realized from a lower depreciable fixed asset base as a result of our strategic review completed in fiscal 2015;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$0.3 million decrease in restructuring costs pertaining to our restructuring plan initiated in the fourth quarter of our fiscal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presents selected summary financial data from continuing operations for the Mexico Pawn segment,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w w:val="91"/>
              </w:rPr>
              <w:t>Fiscal Year Ended September 30,</w:t>
            </w: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2016 (GAAP)</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2015 (GAAP)</w:t>
            </w:r>
          </w:p>
        </w:tc>
        <w:tc>
          <w:tcPr>
            <w:tcW w:w="12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92"/>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100" w:type="dxa"/>
            <w:vAlign w:val="bottom"/>
          </w:tcPr>
          <w:p>
            <w:pPr>
              <w:spacing w:after="0"/>
              <w:rPr>
                <w:sz w:val="13"/>
                <w:szCs w:val="13"/>
                <w:color w:val="auto"/>
              </w:rPr>
            </w:pPr>
          </w:p>
        </w:tc>
        <w:tc>
          <w:tcPr>
            <w:tcW w:w="16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4"/>
          </w:tcPr>
          <w:p>
            <w:pPr>
              <w:jc w:val="right"/>
              <w:ind w:right="851"/>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2"/>
              <w:spacing w:after="0"/>
              <w:rPr>
                <w:sz w:val="20"/>
                <w:szCs w:val="20"/>
                <w:color w:val="auto"/>
              </w:rPr>
            </w:pPr>
            <w:r>
              <w:rPr>
                <w:rFonts w:ascii="Arial" w:cs="Arial" w:eastAsia="Arial" w:hAnsi="Arial"/>
                <w:sz w:val="14"/>
                <w:szCs w:val="14"/>
                <w:i w:val="1"/>
                <w:iCs w:val="1"/>
                <w:color w:val="auto"/>
                <w:w w:val="94"/>
              </w:rPr>
              <w:t>(in thousands)</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31,907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30,993</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37,824</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60,331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65,408</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71,518</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18,037</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22,913</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400 bps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400 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3,267</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2,705</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313</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470</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w w:val="96"/>
              </w:rPr>
              <w:t>Gross margin on jewelry scrapping sales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700 bps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700 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1,021</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456</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50,364</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61,663</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38,481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43,927</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45,617</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4,440</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3,515</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10,572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1,997</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12,531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527%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segment expenses (a)</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2,982</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907</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8,508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(985)</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11,624</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w w:val="96"/>
              </w:rPr>
              <w:t>Net earning assets — continuing operations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36,576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32,966</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41,496</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(0.2)x</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(0.2)x</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Average monthly ending total pawn loan</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balances per store (c)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65</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100 bps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100 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42" w:lineRule="exact"/>
        <w:rPr>
          <w:sz w:val="20"/>
          <w:szCs w:val="20"/>
          <w:color w:val="auto"/>
        </w:rPr>
      </w:pPr>
    </w:p>
    <w:p>
      <w:pPr>
        <w:ind w:left="500" w:right="260" w:hanging="465"/>
        <w:spacing w:after="0" w:line="253"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Fiscal 2016 constant currency amount excludes $1.3 million of net GAAP basis foreign currency transaction losses resulting from movement in exchange rates. The net foreign currency transaction losses for fiscal 2015 were $2.0 million and are not excluded from the above results.</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Mexico Pawn operations continued to grow significantly, with the positive constant currency results largely offset by changes in foreign currency exchange rates. Core pawn revenue decreased $4.2 million, or 4%, on a GAAP basis, but increased $12.9 million, or 13%, on a constant currency basis. The change in net revenue attributable to same store and new</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stores added since fiscal 2015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Pawn service charges increased 3% (22% on a constant currency basis) primarily as a result of continued focus on pawn loan growth. The average monthly ending pawn loan balances outstanding increased 8% (26% on a constant currency basis) from fiscal 2015.</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Gross margin on merchandise sales increased to 32% from 28% in fiscal 2015 as a result of improved execution in disposing of aged inventory from the prior year, as well as ongoing discipline in pawn loan valuation and retail pricing cadences. These positive operating developments drove an increase in merchandise sales gross profit of $1.3 million ($4.9 million increase on a constant currency basis).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segment expenses in fiscal 2016 were $43.5 million or 46% of revenues ($50.0 million or 44% of revenues on a constant currency basis), compared to $51.3 million (51% of revenues) in fiscal 2015. The changes were primarily due to:</w:t>
      </w:r>
    </w:p>
    <w:p>
      <w:pPr>
        <w:spacing w:after="0" w:line="116" w:lineRule="exact"/>
        <w:rPr>
          <w:sz w:val="20"/>
          <w:szCs w:val="20"/>
          <w:color w:val="auto"/>
        </w:rPr>
      </w:pPr>
    </w:p>
    <w:p>
      <w:pPr>
        <w:jc w:val="both"/>
        <w:ind w:left="660" w:right="38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$1.9 million decrease ($0.7 million increase on a constant currency basis) in operations expense due to staffing realignments and an increased participation in incentive compensation plans due to the substantial improvement in operating results in fiscal 2016 as compared to fiscal 2015;</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$1.8 million decrease in rent expense primarily due to currency impacts ($0.1 million in constant currency);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$1.4 million decrease in impairment charges from fiscal 2015 on both a GAAP and constant currency basis;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$1.5 million decrease in depreciation and amortization ($0.9 million on a constant currency basis) expense as a result of ongoing savings realized from a lower depreciable fixed asset base as a result of our strategic review completed in fiscal 2015;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$1.1 million decrease in licenses and fees on both a GAAP and constant currency basis in addition to other smaller items and additional foreign currency impacts.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 after translation to U.S. dollars from its reporting units’ functional currencies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32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8,769</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10,739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9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(99)%</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(18)%</w:t>
            </w:r>
          </w:p>
        </w:tc>
      </w:tr>
      <w:tr>
        <w:trPr>
          <w:trHeight w:val="324"/>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7,803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7,396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loss of unconsolidated affiliates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(95)%</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Segment operating loss</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(73)%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9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11,165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29,406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(62)%</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(12,410)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(63)%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Segment loss from the Other International segment was $12.4 million, a decrease of $21.5 million, or 63%, from fiscal 2015. This decrease was primarily due to:</w:t>
      </w:r>
    </w:p>
    <w:p>
      <w:pPr>
        <w:spacing w:after="0" w:line="116" w:lineRule="exact"/>
        <w:rPr>
          <w:sz w:val="20"/>
          <w:szCs w:val="20"/>
          <w:color w:val="auto"/>
        </w:rPr>
      </w:pPr>
    </w:p>
    <w:p>
      <w:pPr>
        <w:ind w:left="660" w:right="18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$15.9 million decrease in impairment of investments due to the fiscal 2016 impairment of our investment in Cash Converters International in the amount of $11.0 million ($7.2 million, net of taxes) as compared to the fiscal 2015 impairment of $26.8 million ($17.4 million, net of taxes);</w:t>
      </w:r>
    </w:p>
    <w:p>
      <w:pPr>
        <w:spacing w:after="0" w:line="69" w:lineRule="exact"/>
        <w:rPr>
          <w:rFonts w:ascii="Arial" w:cs="Arial" w:eastAsia="Arial" w:hAnsi="Arial"/>
          <w:sz w:val="16"/>
          <w:szCs w:val="16"/>
          <w:color w:val="auto"/>
        </w:rPr>
      </w:pPr>
    </w:p>
    <w:p>
      <w:pPr>
        <w:ind w:left="660" w:right="20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$5.2 million decrease in loss from our unconsolidated affiliate. The loss of $0.3 million presented above for fiscal 2016 includes pre-tax charges totaling $11.8 million including restructuring costs, compliance provision and other, translated using applicable exchange rates in effect for EZCORP’s year ended September 30, 2016;</w:t>
      </w:r>
    </w:p>
    <w:p>
      <w:pPr>
        <w:spacing w:after="0" w:line="127"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$2.4 million decrease in restructuring costs due to substantial costs in the prior-year pertaining to our fiscal 2015 restructuring plan initiated in the fourth quarter of our fiscal 2015, which included the closure of 12 underperforming Canadian Cash Converters stores during fiscal 2015; partially offset by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$1.5 million decrease in segment net revenues due partially to wind down of certain Canadian operations; and</w:t>
      </w:r>
    </w:p>
    <w:p>
      <w:pPr>
        <w:spacing w:after="0" w:line="171"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$0.4 million increase in segment operating expenses as a result of $2.6 million invested in building an IT marketing platform to provide targeted solutions for our pawn customers, offset by a $2.2 million overall decrease in expenses associated with the wind down of certain Canadian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Fiscal Year Ended September 30,</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96,154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44,908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114%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68,101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72,986</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10,676</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(81)%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9,702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(98)%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(69)%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(66,207)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(83)%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89%</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(88,430)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(94,227)</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53%</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(80,744)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(89,192)</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income from continuing operations before income taxes increased $66.6 million from fiscal 2015 to income of $0.4 million in fiscal 2016 primarily due to:</w:t>
      </w:r>
    </w:p>
    <w:p>
      <w:pPr>
        <w:spacing w:after="0" w:line="116" w:lineRule="exact"/>
        <w:rPr>
          <w:sz w:val="20"/>
          <w:szCs w:val="20"/>
          <w:color w:val="auto"/>
        </w:rPr>
      </w:pPr>
    </w:p>
    <w:p>
      <w:pPr>
        <w:ind w:left="660" w:right="4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$51.2 million increase in segment contributions of $20.2 million, $21.5 million and $9.5 million from the U.S. Pawn, Other International and Mexico Pawn segments, respectively;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$9.5 million decrease in restructuring expense primarily due to restructuring actions initiated in prior fiscal years which have wound down; and</w:t>
      </w:r>
    </w:p>
    <w:p>
      <w:pPr>
        <w:spacing w:after="0" w:line="194"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$4.9 million decrease in administrative expense due primarily to a $3.6 million decrease in salaries and related costs, a $3.4 million decrease in litigation and related costs and $5.8 million in various other individually small reductions in corporate costs, including a reduction in restatement related costs, offset by a $8.0 million increase in short-term and long-term incentive programs. Administrative expenses include $4.2 million of fiscal 2015 restatement related expenses recorded in fiscal 2016; partially offset by</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$0.4 million increase in depreciation and amortization expense.</w:t>
      </w:r>
    </w:p>
    <w:p>
      <w:pPr>
        <w:spacing w:after="0" w:line="171" w:lineRule="exact"/>
        <w:rPr>
          <w:sz w:val="20"/>
          <w:szCs w:val="20"/>
          <w:color w:val="auto"/>
        </w:rPr>
      </w:pPr>
    </w:p>
    <w:p>
      <w:pPr>
        <w:ind w:left="60" w:right="20"/>
        <w:spacing w:after="0" w:line="255" w:lineRule="auto"/>
        <w:rPr>
          <w:sz w:val="20"/>
          <w:szCs w:val="20"/>
          <w:color w:val="auto"/>
        </w:rPr>
      </w:pPr>
      <w:r>
        <w:rPr>
          <w:rFonts w:ascii="Arial" w:cs="Arial" w:eastAsia="Arial" w:hAnsi="Arial"/>
          <w:sz w:val="18"/>
          <w:szCs w:val="18"/>
          <w:color w:val="auto"/>
        </w:rPr>
        <w:t>Income tax expense increased $23.4 million, from a $14.0 million benefit in the prior year to a $9.4 million expense in the current year, primarily due to the $66.6 million decrease in loss from continuing operations before income taxes. Income tax expense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 valuation allowances for certain foreign operations. See Note 10 of Notes to Consolidated Financial Statements included in “Part II, Item 8 — Financial Statements and Supplemental Data” for quantification of these items.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60" w:right="60"/>
        <w:spacing w:after="0" w:line="286" w:lineRule="auto"/>
        <w:rPr>
          <w:sz w:val="20"/>
          <w:szCs w:val="20"/>
          <w:color w:val="auto"/>
        </w:rPr>
      </w:pPr>
      <w:r>
        <w:rPr>
          <w:rFonts w:ascii="Arial" w:cs="Arial" w:eastAsia="Arial" w:hAnsi="Arial"/>
          <w:sz w:val="17"/>
          <w:szCs w:val="17"/>
          <w:color w:val="auto"/>
        </w:rPr>
        <w:t>Loss from discontinued operations in fiscal 2015 and 2016 was primarily comprised of Grupo Finmart and USFS as further discussed in Note 16 of Notes to Consolidated Financial Statements included in “Part II, Item 8 — Financial Statements and Supplementary Data.” Loss from discontinued operations, net of tax increased $37.4 million from fiscal 2015 primarily due to the following in addition to the income tax effects thereon:</w:t>
      </w:r>
    </w:p>
    <w:p>
      <w:pPr>
        <w:spacing w:after="0" w:line="11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$26.7 million decrease in net revenues from Grupo Finmart from fiscal 2015 of as a result of delays in collections and other factors;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$73.2 million impairment of Grupo Finmart goodwill in fiscal 2016;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$34.2 million gain on disposition of Grupo Finmart in fiscal 2016;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$42.4 million in fiscal 2015 charges related to exiting USFS.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the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Fiscal Year Ended September 30,</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71"/>
        </w:trPr>
        <w:tc>
          <w:tcPr>
            <w:tcW w:w="67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vMerge w:val="restart"/>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51,836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64,403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6,716</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53,351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(63,156)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98,656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1,392%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for Fiscal 2017 vs. Fiscal 2016</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decrease in cash flows from operating activities was primarily due to a $22.0 million smaller change in operating assets and liabilities, including $34.2 million received in March 2016 as a result of the carryback of fiscal 2015 tax net operating losses and a $2.2 million decrease in cash dividends received from our unconsolidated affiliate, offset by a $11.7 million increase in net income plus several non-cash items.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decrease in cash flows from investing activities was primarily due to $35.3 million in net cash proceeds from disposition of Grupo Finmart in fiscal 2016, a $9.3 million increase in additions to property and equipment and a $2.6 million increase in net investments related to loan activities, offset by $29.5 million in principal collections from our Grupo Finmart notes receivable and a $3.8 million decrease in acquisitions, net of cash acquired.</w:t>
      </w:r>
    </w:p>
    <w:p>
      <w:pPr>
        <w:spacing w:after="0" w:line="1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cash flows from financing activities was primarily due to a $102.1 million increase in net borrowings including issuance of $143.8 million of new debt and retirement of $85 million of previously outstanding debt in July 2017 in addition to a $50 million term loan facility obtained in fiscal 2016 and debt associated with Prestaciones Finmart, S.A.P.I. de C.V., SOFOM, E.N.R. ("Grupo Finmart") prior to its disposition in fiscal 2016, a $15.0 million payout of deferred consideration in fiscal 2016 and an $11.8 million repurchase of redeemable common stock in fiscal 2016, partially offset with various other decreases as a result of the disposition of Grupo Finmart in fiscal 2016.</w:t>
      </w:r>
    </w:p>
    <w:p>
      <w:pPr>
        <w:spacing w:after="0" w:line="13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net effect of these and other smaller items was a $98.7 million increase in cash on hand during fiscal 2017, providing a $164.4 million ending cash balance.</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2017, our primary source of liquidity was $164.4 million in cash and cash equivalents and cash flows from operations. Of this amount, approximately 6%, or $10.6 million, was held by foreign subsidiaries and is not available to fund domestic operations, portions of which we may be unable to repatriate without incurring United States income taxes. Cash flows from discontinued operations are aggregated with cash flows from continuing operations in the statements of cash flows. Grupo Finmart cash flows are presented separately in Note 16 of Notes to Consolidated Financial Statements included in “Part II, Item 8 — Financial Statements and Supplementary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Acquisition of GPMX in October 2017</w:t>
      </w:r>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October 6, 2017, we completed the acquisition of GPMX, a business that owns and operates 112 stores located in Guatemala, El Salvador, Honduras and Peru. The GPMX acquisition significantly expands our store base into Latin American countries outside of Mexico and provides us with a platform for further growth in the region. We paid $53.4 million in cash upon closing, with an additional $2.25 million to be paid contingent upon performance of GPMX’s business during the 24 months following the closing date. At the time of closing, GPMX owed $6.6 million in indebtedness to members of the seller’s affiliated group, and under the terms of the stock purchase agreement, GPMX repaid such indebtedness during October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2.875% Convertible Senior Notes Due 2024</w:t>
      </w:r>
    </w:p>
    <w:p>
      <w:pPr>
        <w:spacing w:after="0" w:line="33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For a description of the terms of the 2024 Convertible Notes, see “2.875% Convertible Senior Notes Due 2024” in Note 8 of Notes to Consolidated Financial Statements included in “Part II, Item 8 — Financial Statements and Supplementary Data.” Net proceeds from the offering, after deducting discounts and expenses, were approximately $140 million and were used as follows:</w:t>
      </w:r>
    </w:p>
    <w:p>
      <w:pPr>
        <w:spacing w:after="0" w:line="13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$51.6 million was used to pay all outstanding borrowings under, and to terminate, the Term Loan Facility described below;</w:t>
      </w:r>
    </w:p>
    <w:p>
      <w:pPr>
        <w:spacing w:after="0" w:line="17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$34.4 million was used to repurchase and retire $35.0 million aggregate principal amount of </w:t>
      </w:r>
      <w:r>
        <w:rPr>
          <w:rFonts w:ascii="Arial" w:cs="Arial" w:eastAsia="Arial" w:hAnsi="Arial"/>
          <w:sz w:val="17"/>
          <w:szCs w:val="17"/>
          <w:color w:val="252525"/>
        </w:rPr>
        <w:t>2.125% Cash Convertible Senior Notes Due 2019 (the</w:t>
      </w:r>
      <w:r>
        <w:rPr>
          <w:rFonts w:ascii="Arial" w:cs="Arial" w:eastAsia="Arial" w:hAnsi="Arial"/>
          <w:sz w:val="17"/>
          <w:szCs w:val="17"/>
          <w:color w:val="auto"/>
        </w:rPr>
        <w:t xml:space="preserve"> </w:t>
      </w:r>
      <w:r>
        <w:rPr>
          <w:rFonts w:ascii="Arial" w:cs="Arial" w:eastAsia="Arial" w:hAnsi="Arial"/>
          <w:sz w:val="17"/>
          <w:szCs w:val="17"/>
          <w:color w:val="252525"/>
        </w:rPr>
        <w:t>“</w:t>
      </w:r>
      <w:r>
        <w:rPr>
          <w:rFonts w:ascii="Arial" w:cs="Arial" w:eastAsia="Arial" w:hAnsi="Arial"/>
          <w:sz w:val="17"/>
          <w:szCs w:val="17"/>
          <w:color w:val="000000"/>
        </w:rPr>
        <w:t>2019 Convertible Notes”), leaving $195 million aggregate principal amount of 2019 Convertible Notes outstanding; and</w:t>
      </w:r>
    </w:p>
    <w:p>
      <w:pPr>
        <w:spacing w:after="0" w:line="92"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remaining $54 million was added to our cash balances and used for general corporate purposes, including the acquisition GPMX completed in October 2017.</w:t>
      </w:r>
    </w:p>
    <w:p>
      <w:pPr>
        <w:spacing w:after="0" w:line="1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the repurchase and retirement of 2019 Convertible Notes described above, we entered into agreements to unwind a portion of the note hedge and warrant transactions corresponding to the repurchased and retired 2019 Convertible Notes. We received $0.6 million in connection with the partial settlement of the note hedge transactions and paid $0.5 million in connection with the partial settlement of the warrant transactions. For additional information about the original note hedge and warrant transactions, see “2.125% Cash Convertible Senior Notes Due 2019” in Note 8 of Notes to Consolidated Financial Statements included in “Part II, Item 8 — Financial Statements and Supplementary Data.”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Grupo Finmart</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September 2016, we sold all of our equity interests (representing 93.78% of the total issued and outstanding equity interests) in Prestaciones Finmart, S.A.P.I. de C.V., SOFOM, E.N.R. ("Grupo Finmart") to Alpha Holding, S.A. de C.V. (“AlphaCredit”) for an adjusted purchase price of $40.9 million, 10% of which ($4.1 million) was paid into an escrow account pending resolution of indemnification claims and the remainder of which was paid in cash.</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connection with the sale, we paid a total of $31.1 million, including future interest payments and penalties, to existing Grupo Finmart lenders and stepped into the position of those lenders, including related collateral, and assumed the receivable from Grupo Finmart with no change in terms. All of this debt has been repaid to us through July 2017, including </w:t>
      </w:r>
      <w:r>
        <w:rPr>
          <w:rFonts w:ascii="Arial" w:cs="Arial" w:eastAsia="Arial" w:hAnsi="Arial"/>
          <w:sz w:val="18"/>
          <w:szCs w:val="18"/>
          <w:color w:val="252525"/>
        </w:rPr>
        <w:t>$6.2 million (principal of $5.3 million) received in July 2017 for early repayment of promissory notes that</w:t>
      </w:r>
      <w:r>
        <w:rPr>
          <w:rFonts w:ascii="Arial" w:cs="Arial" w:eastAsia="Arial" w:hAnsi="Arial"/>
          <w:sz w:val="18"/>
          <w:szCs w:val="18"/>
          <w:color w:val="auto"/>
        </w:rPr>
        <w:t xml:space="preserve"> </w:t>
      </w:r>
      <w:r>
        <w:rPr>
          <w:rFonts w:ascii="Arial" w:cs="Arial" w:eastAsia="Arial" w:hAnsi="Arial"/>
          <w:sz w:val="18"/>
          <w:szCs w:val="18"/>
          <w:color w:val="252525"/>
        </w:rPr>
        <w:t>were originally scheduled to be repaid July 2017 through December 2017.</w:t>
      </w:r>
    </w:p>
    <w:p>
      <w:pPr>
        <w:spacing w:after="0" w:line="13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connection with the sale, Grupo Finmart issued two promissory notes (the “Parent Loan Notes”) to us in the aggregate principal amount of $60.2 million, one being denominated in U.S. dollars and bearing interest at the rate of 4% per annum and the other being denominated in Mexican pesos and bearing interest at 7.5% per annum. The Parent Loan Notes represented the aggregate amount of intercompany indebtedness owed to us by Grupo Finmart at the time of closing. As originally issued, the principal amount of the Parent Loan Notes was payable in three annual installments (30% on the first anniversary of the closing, 40% on the second anniversary of the closing and 30% on the third anniversary of the closing), and accrued interest was payable quarterly.</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September 2017, we and AlphaCredit amended the Parent Loan Notes (which at that time had an aggregate principal amount of $61.0 million due to exchange rate adjustments on the Mexican peso note) as follows:</w:t>
      </w:r>
    </w:p>
    <w:p>
      <w:pPr>
        <w:spacing w:after="0" w:line="116" w:lineRule="exact"/>
        <w:rPr>
          <w:sz w:val="20"/>
          <w:szCs w:val="20"/>
          <w:color w:val="auto"/>
        </w:rPr>
      </w:pPr>
    </w:p>
    <w:p>
      <w:pPr>
        <w:ind w:left="660" w:right="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outstanding principal amount (including the $18.3 million that would otherwise have been payable on September 27, 2017) will be payable on a monthly basis over the remaining two years, commencing October 27,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 annum interest rate has been increased to 10% for the dollar-denominated note and 14.5% for the peso-denominated note. Accrued interest is also payable monthly, commencing October 27, 2017.</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receive an additional deferred compensation fee of $14 million, payable $6 million on September 27, 2019, $4 million on March 27, 2020 and $4 million on September 27, 2020.</w:t>
      </w:r>
    </w:p>
    <w:p>
      <w:pPr>
        <w:spacing w:after="0" w:line="116" w:lineRule="exact"/>
        <w:rPr>
          <w:rFonts w:ascii="Arial" w:cs="Arial" w:eastAsia="Arial" w:hAnsi="Arial"/>
          <w:sz w:val="18"/>
          <w:szCs w:val="18"/>
          <w:color w:val="auto"/>
        </w:rPr>
      </w:pPr>
    </w:p>
    <w:p>
      <w:pPr>
        <w:ind w:left="660" w:right="60" w:hanging="328"/>
        <w:spacing w:after="0" w:line="27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Parent Loan Notes may be prepaid in full voluntarily at any time and are subject to mandatory prepayment in certain circumstances. Upon any prepayment, whether voluntary or mandatory, Grupo Finmart must pay all outstanding principal, all accrued but unpaid interest and an amount equal to the sum of (1) all remaining interest payments that would otherwise be due through the end of the term and (2) the deferred compensation fee. (If the prepayment occurs on or prior to June 30, 2019, the deferred compensation fee will be reduced to $10 million).</w:t>
      </w:r>
    </w:p>
    <w:p>
      <w:pPr>
        <w:spacing w:after="0" w:line="117"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Parent Loan Notes, as amended, are now guaranteed by AlphaCredit.</w:t>
      </w:r>
    </w:p>
    <w:p>
      <w:pPr>
        <w:spacing w:after="0" w:line="17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As further consideration for these amendments, AlphaCredit agreed to terminate our indemnification obligations with respect to representations and warranties and certain other matters under the Purchase Agreement, dated as of July 1, 2016, that the parties entered into in connection with the sale (the “Purchase Agreement”). Those representations and warranties were originally scheduled to survive until March 27, 2018. AlphaCredit also agreed to terminate all indemnity claims existing at the time of the amendment and to release to us the outstanding balance ($4.1 million) held in escrow pending resolution of indemnification claims.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Term Loan Facility up to $100 Million</w:t>
      </w:r>
    </w:p>
    <w:p>
      <w:pPr>
        <w:spacing w:after="0" w:line="17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September 12, 2016, we entered into a financing agreement with certain lenders and Fortress Credit Co LLC (as collateral and administrative agent) that provided us with a senior secured credit facility in an aggregate principal amount of up to $100 million (the “Term Loan Facility”). At that time, we drew down the initial term loan of $50 million, with $50 million remaining undrawn as a delayed draw term loan. Borrowings under the Term Loan Facility bore interest at an annual rate initially equal to the London Interbank Offered Rate (“LIBOR”) plus 7.5%, and we paid an additional monthly fee of 2.75% per annum on the unused delayed draw term loan and a quarterly loan servicing fee of $15,000.</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noted above, in July 2017, we used $51.6 million of net proceeds from the 2024 Convertible Notes offering to repay all outstanding borrowings under the Term Loan Facility and terminated that facility, including the undrawn delayed draw term loan commitment.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August 2017, we acquired assets related to two pawn stores in Central Texas and one pawn store in Las Vegas, Nevada, for an aggregate purchase price of $2.3 million, which was paid in cash. We will continue to operate two of these locations and integrated the third into one of our existing stores.</w:t>
      </w:r>
    </w:p>
    <w:p>
      <w:pPr>
        <w:spacing w:after="0" w:line="70"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 xml:space="preserve">For a description of the 2019 </w:t>
      </w:r>
      <w:r>
        <w:rPr>
          <w:rFonts w:ascii="Arial" w:cs="Arial" w:eastAsia="Arial" w:hAnsi="Arial"/>
          <w:sz w:val="18"/>
          <w:szCs w:val="18"/>
          <w:color w:val="252525"/>
        </w:rPr>
        <w:t>Convertible Notes</w:t>
      </w:r>
      <w:r>
        <w:rPr>
          <w:rFonts w:ascii="Arial" w:cs="Arial" w:eastAsia="Arial" w:hAnsi="Arial"/>
          <w:sz w:val="18"/>
          <w:szCs w:val="18"/>
          <w:color w:val="auto"/>
        </w:rPr>
        <w:t>, the conversion terms thereof and the associated hedges and warrants transactions, see “2.125% Cash Convertible Senior Notes Due 2019” in Note 8 of Notes to Consolidated Financial Statements included in “Part II, Item 8 — Financial Statements and Supplementary Data.”</w:t>
      </w:r>
    </w:p>
    <w:p>
      <w:pPr>
        <w:spacing w:after="0" w:line="12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anticipate that cash flow from operations and cash on hand will be adequate to fund our contractual obligations, planned de novo store growth, capital expenditures and working capital requirements during fiscal 2018. Our ability to repay our longer-term debt obligations (including the 2019 Convertible Notes and the 2024 Convertible Notes) may require us to refinance those obligations through the issuance of new debt securities or through new credit facilities.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 as of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Contractual Obligations</w:t>
            </w:r>
          </w:p>
        </w:tc>
        <w:tc>
          <w:tcPr>
            <w:tcW w:w="240" w:type="dxa"/>
            <w:vAlign w:val="bottom"/>
          </w:tcPr>
          <w:p>
            <w:pPr>
              <w:spacing w:after="0"/>
              <w:rPr>
                <w:sz w:val="13"/>
                <w:szCs w:val="13"/>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Less than 1 year</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8"/>
              </w:rPr>
              <w:t>1-3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9"/>
              </w:rPr>
              <w:t>More than 5</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38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338,750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195,000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143,750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on long-term debt obligations</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37,172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12,409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8,266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other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255,108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86,746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60,757</w:t>
            </w:r>
          </w:p>
        </w:tc>
        <w:tc>
          <w:tcPr>
            <w:tcW w:w="0" w:type="dxa"/>
            <w:vAlign w:val="bottom"/>
          </w:tcPr>
          <w:p>
            <w:pPr>
              <w:spacing w:after="0"/>
              <w:rPr>
                <w:sz w:val="1"/>
                <w:szCs w:val="1"/>
                <w:color w:val="auto"/>
              </w:rPr>
            </w:pPr>
          </w:p>
        </w:tc>
      </w:tr>
      <w:tr>
        <w:trPr>
          <w:trHeight w:val="257"/>
        </w:trPr>
        <w:tc>
          <w:tcPr>
            <w:tcW w:w="5260" w:type="dxa"/>
            <w:vAlign w:val="bottom"/>
          </w:tcPr>
          <w:p>
            <w:pPr>
              <w:ind w:left="280"/>
              <w:spacing w:after="0"/>
              <w:rPr>
                <w:sz w:val="20"/>
                <w:szCs w:val="20"/>
                <w:color w:val="auto"/>
              </w:rPr>
            </w:pPr>
            <w:r>
              <w:rPr>
                <w:rFonts w:ascii="Arial" w:cs="Arial" w:eastAsia="Arial" w:hAnsi="Arial"/>
                <w:sz w:val="18"/>
                <w:szCs w:val="18"/>
                <w:color w:val="auto"/>
              </w:rPr>
              <w:t>Total (b) (c)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631,030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62,060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294,155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62,042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212,773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Excludes debt discount and deferred financing costs as well as convertible features.</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No provision for uncertain tax benefits has been included as the timing of any such payment is uncertain. See Note 10 of Notes to Consolidated Financial Statements included in “Part II, Item 8</w:t>
      </w:r>
    </w:p>
    <w:p>
      <w:pPr>
        <w:spacing w:after="0" w:line="24" w:lineRule="exact"/>
        <w:rPr>
          <w:rFonts w:ascii="Arial" w:cs="Arial" w:eastAsia="Arial" w:hAnsi="Arial"/>
          <w:sz w:val="13"/>
          <w:szCs w:val="13"/>
          <w:color w:val="auto"/>
        </w:rPr>
      </w:pPr>
    </w:p>
    <w:p>
      <w:pPr>
        <w:ind w:left="340" w:right="340"/>
        <w:spacing w:after="0" w:line="255" w:lineRule="auto"/>
        <w:rPr>
          <w:rFonts w:ascii="Arial" w:cs="Arial" w:eastAsia="Arial" w:hAnsi="Arial"/>
          <w:sz w:val="13"/>
          <w:szCs w:val="13"/>
          <w:color w:val="auto"/>
        </w:rPr>
      </w:pPr>
      <w:r>
        <w:rPr>
          <w:rFonts w:ascii="Arial" w:cs="Arial" w:eastAsia="Arial" w:hAnsi="Arial"/>
          <w:sz w:val="14"/>
          <w:szCs w:val="14"/>
          <w:color w:val="auto"/>
        </w:rPr>
        <w:t>— Financial Statements and Supplemental Data.” Additionally, no provision for insurance reserves, deferred compensation arrangements, or other liabilities totaling $2.6 million has been included as the timing of such payments are uncertain.</w:t>
      </w:r>
    </w:p>
    <w:p>
      <w:pPr>
        <w:spacing w:after="0" w:line="132" w:lineRule="exact"/>
        <w:rPr>
          <w:rFonts w:ascii="Arial" w:cs="Arial" w:eastAsia="Arial" w:hAnsi="Arial"/>
          <w:sz w:val="13"/>
          <w:szCs w:val="13"/>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Total excludes contractual obligations already recorded on our consolidated balance sheets as current liabilities, except for the accrued portions of interest and lease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operating lease obligations in the table above, we are responsible for the maintenance, property taxes and insurance at most of our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September 30, 2017 these collectively amounted to $21.4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spacing w:after="0" w:line="124"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The critical accounting policies and estimates that could have a significant impact on our results of operations, as well as relevant recent accounting pronouncements, are described in Note 1 of Notes to Consolidated Financial Statements included in “Part II, Item 8 — Financial Statements and Supplemental Data.” Certain accounting policies regarding the quantification of the sensitivity of certain critical estimates are discussed further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Loan and Sales Revenue Recognition</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record pawn service charges using the effective interest method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As of September 30, 2017, the balance of our pawn service charges receivable was $31.5 million. Assuming the pawn loan fees and service charges receivable balance as of September 30, 2017 was overestimated or underestimated by 10%, pawn service charges would decrease or increase by approximately $3.2 million in fiscal 2017 and net income attributable to the Company would decrease or increase by approximately $2.1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Goods Sold</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consider our estimates of obsolete or slow moving inventory and shrinkage critical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estimates pertaining to jewelry inventory depending on the current price of gold. Future declines in gold prices may cause an increase in reserve rates pertaining to jewelry inventory. As of September 30, 2017, the gross balance of our inventory was $161.2 million for which we have included reserves of $6.8 million. Assuming the inventory reserve balance as of September 30, 2017 was underestimated or overestimated by 10%, merchandise cost of goods sold would increase or decrease by approximately $0.7 million in 2017 and net income attributable to the Company would decrease or increase by approximately $0.4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September 2017, we restructured our remaining outstanding notes receivable and accounted for such restructuring as new notes for which the modification was more than minor, recognizing $3.0 million of remaining discount as a gain, included under “Interest income” in our consolidated statements of operations. As part of the restructuring of the notes receivable, we negotiated a deferred compensation amount of up to $14.0 million which we will account for as “Interest income” under the effective interest method by adjusting the underlying basis of the notes accordingly, accreting to its ultimate estimated settlement amount through September 2020. We review the payment history, creditworthiness, projected cash flows and related assumptions of Grupo Finmart and AlphaCredit, as applicable, in determining whether our net notes receivable of $61.0 million and deferred compensation amounts are collectible. Through the date of this report, we have received all payments on these restructured notes receivable as contractually obligated. We regularly monitor and evaluate the timeliness of payments and other inputs to the valuation of the notes.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perform our impairment analyses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Of those reporting units with goodwill, we have determined that they are equivalent to our operating segments for fiscal 2017.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use discount rates that are commensurate with the risks and uncertainty inherent in the respective businesses and in our internally developed forecasts. Discount rates used in our fiscal 2017 goodwill and other intangible asset valuations ranged from 9% to 12%, down from 10% to 14% for fiscal 2016, representing an overall decrease in our weighted-average cost of capital as a result of improving business fundamentals in fiscal 2017 from 2016, as well as a result of our exit from Grupo Finmart and changes in our capital structure. In testing other intangible assets for potential impairment, we apply key assumptions which are consistent with those utilized in our goodwill impairment test. Changes in the economic conditions or regulatory environment could negatively affect our key assumptions.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perform a qualitative assessment in making our determination of whether it is more likely than not goodwill and other intangible assets are impaired under appropriate accounting guidance on an annual basis in future reporting periods. In addition to the assumptions discussed above pertaining to the income approach, we consider the assessment of potential triggering events to be a critical estimate.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Securities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accounting for our 2.875% Convertible Senior Notes Due 2024 (the “2024 Convertible Notes”) at issuance, we separated the Convertible Debt Securities into debt and equity components pursuant to the accounting standards for convertible debt instruments that may be fully or partially settled in cash upon conversion.</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carrying value of the liability component of the 2024 Convertible Notes was calculated by measuring the fair value of a similar liability that does not have an associated conversion feature, including discount rates slightly above 8%. A 50 basis point change in the discount rate used to record the initial carrying value of the liability would have resulted in an approximate $3 million change in the initial carrying value of the liability and associated equity classified conversion feature. The excess of the principal amount of the 2024 Convertible Notes over the fair value of the liability component was recorded as a discount with a corresponding increase in additional paid-in capital. The debt discount will be accreted to “Interest expense” over the term of the 2024 Convertible Notes using the effective interest method. The amount recorded to “Additional paid-in capital” will not be remeasured as long as it continues to meet the conditions for equity classification.</w:t>
      </w:r>
    </w:p>
    <w:p>
      <w:pPr>
        <w:spacing w:after="0" w:line="13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account for the conversion premium of the 2024 Convertible Notes under the treasury method in accordance with our accounting policy which assumes settlement of the conversion premium (equal to the as-converted value over the face principal amount) in shares of our Class A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measure share-based compensation expense at the grant date based on the fair value of the award and recognize it as expense, net of estimated forfeitures, ratably over the vesting or service period, as applicable, of the stock award. Our policy is to recognize expense on performance-based awards ratably over the awards’ vesting period and recognize expense on awards that only have service requirements on a straight-line basis. We recognize expense on performance-based awards for those awards with performance conditions which we consider probable of achievement.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adopted Financial Accounting Standards Board Accounting Standards Updates ("ASU") 2016-09, Compensation — Stock Compensation (Topic 718): Improvements to Employee Share-Based Payment Accounting, during the first quarter of fiscal 2017. This ASU simplifies several aspects of the accounting for share-based payment transactions, including income tax consequences, calculation of the dilutive impact of awards, classification of awards as either equity or liabilities and classification on the statement of cash flows. We prospectively applied the requirement to present excess tax benefits as an operating activity on the statement of cash flows. Further, we continue to estimate the number of award forfeitures in recording costs for share-based awards. The financial impact of adopting ASU 2016-09 was a $0.5 million income tax benefit for excess tax benefits on vested awards which previously would have been recorded to "Additional paid-in capital" prior to adoption of ASU 2016-09.</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adopted ASU 2014-12, Compensation — Stock Compensation (Topic 718): Accounting for Share-Based Payments When the Terms of an Award Provide That a Performance Target Could Be Achieved after the Requisite Service Period, during second quarter of fiscal 2016 and applied the amendments prospectively to all awards granted or modified after the effective date. This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ASU requires recognition of compensation costs for share-based awards with performance targets in the period in which it becomes probable that the performance targets will be achieved and should represent the compensation cost attributable to the periods for which the requisite service has already been rendered.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the future, we will make an adjustment to the valuation allowance that would be charged to earnings in the period such determination is made.</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w:t>
      </w:r>
    </w:p>
    <w:p>
      <w:pPr>
        <w:spacing w:after="0" w:line="1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spacing w:after="0" w:line="12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Concentration of business in Texas and Florida;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business, regulatory, political or social climate in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gold prices or volumes;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pawn redemption rates, loan default and collection rates or other important operating metrics;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continue growing our store count through acquisitions and de novo openings;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recruit, hire, retain and motivate talented executives and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Exposure to Grupo Finmart financial performance through promissory notes received in divestiture transaction;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outcome of current or future litigation and regulatory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controlled ownership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disruptive effect of acquisitions, investments and new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regulatory fines and penalties, lawsuits and related liabilities related to firearms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robberies, burglaries and other crimes at our stores;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exposure under anti-corruption, anti-money laundering and other general business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liquidity, capital requirements or access to debt and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design or acquire, deploy and maintain adequate information technology and other business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data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achieve adequate return on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uninsured property, casualty or other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Events beyond our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U.S. or international tax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statement impact of potential impairment of goodwill; and</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conversion of Convertible Notes into cash (which could adversely affect liquidity) or stock, (which will cause dilution of existing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these important risk factors, see "Part I, Item 1A — Risk Factors."</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240" w:top="125" w:right="6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primarily to gold values and changes in foreign currency exchange rates.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earnings and financial position are affected by changes in gold values, and to a lesser extent silver and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due to the timing of scrap sales, among other operational considerations.</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earnings and financial position are affected by foreign exchange rate fluctuations related to our equity investments and our foreign operations. Cash Converters International’s functional currency is the Australian dollar, Empeño Fácil’s functional currency is the Mexican peso and our Canadian operations’ functional currency is the Canadian dollar. Subsequent to September 30, 2017 as a result of the acquisition of GPMX, we are exposed to foreign exchange rate fluctuations related to the Guatemalan quetzal, Peruvian sol and Honduran lempira.</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translation adjustment from Cash Converters International through June 30, 2017 (included in our September 30, 2017 results on a three-month lag) was a $1.3 million increase to stockholders’ equity, excluding income tax impacts. During the fiscal year ended September 30, 2017, the Australian dollar strengthened to $1.00 Australian to $0.7834 U.S. from $0.7636 U.S. as of September 30, 2016.</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translation adjustment from Latin America representing the weakening of the Mexican peso during the year ended September 30, 2017 was a $4.7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 to stockholders’ equity. We have currently assumed indefinite reinvestment of earnings and capital in Mexico. Accumulated translation gains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losses related to any future repatriation of earnings or capital would impact our earnings in the period of repatriation. During the fiscal year ended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2017, the Mexican peso strengthened to $1.00 Mexican to $0.05495 U.S. from $0.05152 U.S. as of September 30, 2016. We have calculated the impact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effects on our fiscal 2017 Mexico Pawn results of operations and determined that revenues and operating contribution would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$108.4 million and $19.6 million, respectively, as compared to actual revenues and operating contribution of $101.2 million and $18.7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had foreign currency exchange rates remained consistent in fiscal 2017 with those in effect during fiscal 2016.</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translation adjustment from our Canadian operations representing the strengthening of the Canadian dollar during the year ended September 30, 2017 was a $0.2 million increase to stockholders’ equity. During the fiscal year ended September 30, 2017, the Canadian dollar strengthened to $1.00 Canadian to $0.8023 U.S. from $0.7636 U.S. as of September 30, 2016.</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cannot predict the future valuation of foreign currencies or how further movements in exchange rates could affect our future earnings or financial position due to the interrelationship of operating results and exchange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5"/>
              </w:rPr>
              <w:t>Page</w:t>
            </w:r>
          </w:p>
        </w:tc>
      </w:tr>
      <w:tr>
        <w:trPr>
          <w:trHeight w:val="202"/>
        </w:trPr>
        <w:tc>
          <w:tcPr>
            <w:tcW w:w="4220" w:type="dxa"/>
            <w:vAlign w:val="bottom"/>
            <w:gridSpan w:val="4"/>
          </w:tcPr>
          <w:p>
            <w:pPr>
              <w:spacing w:after="0" w:line="202"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Report of Independent Registered Public Accounting Firm</w:t>
              </w:r>
            </w:hyperlink>
          </w:p>
        </w:tc>
        <w:tc>
          <w:tcPr>
            <w:tcW w:w="6360" w:type="dxa"/>
            <w:vAlign w:val="bottom"/>
            <w:gridSpan w:val="6"/>
          </w:tcPr>
          <w:p>
            <w:pPr>
              <w:spacing w:after="0"/>
              <w:rPr>
                <w:sz w:val="17"/>
                <w:szCs w:val="17"/>
                <w:color w:val="auto"/>
              </w:rPr>
            </w:pPr>
          </w:p>
        </w:tc>
        <w:tc>
          <w:tcPr>
            <w:tcW w:w="500" w:type="dxa"/>
            <w:vAlign w:val="bottom"/>
            <w:gridSpan w:val="2"/>
          </w:tcPr>
          <w:p>
            <w:pPr>
              <w:jc w:val="center"/>
              <w:ind w:left="23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250"/>
        </w:trPr>
        <w:tc>
          <w:tcPr>
            <w:tcW w:w="4220" w:type="dxa"/>
            <w:vAlign w:val="bottom"/>
            <w:tcBorders>
              <w:top w:val="single" w:sz="8" w:color="0000EE"/>
            </w:tcBorders>
            <w:gridSpan w:val="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Consolidated Financial Statements:</w:t>
              </w:r>
            </w:hyperlink>
          </w:p>
        </w:tc>
        <w:tc>
          <w:tcPr>
            <w:tcW w:w="6360" w:type="dxa"/>
            <w:vAlign w:val="bottom"/>
            <w:gridSpan w:val="6"/>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680" w:type="dxa"/>
            <w:vAlign w:val="bottom"/>
            <w:gridSpan w:val="4"/>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Balance Sheets as of September 30, 2017 and 2016</w:t>
              </w:r>
            </w:hyperlink>
          </w:p>
        </w:tc>
        <w:tc>
          <w:tcPr>
            <w:tcW w:w="5660" w:type="dxa"/>
            <w:vAlign w:val="bottom"/>
            <w:gridSpan w:val="5"/>
          </w:tcPr>
          <w:p>
            <w:pPr>
              <w:spacing w:after="0"/>
              <w:rPr>
                <w:sz w:val="21"/>
                <w:szCs w:val="21"/>
                <w:color w:val="auto"/>
              </w:rPr>
            </w:pPr>
          </w:p>
        </w:tc>
        <w:tc>
          <w:tcPr>
            <w:tcW w:w="500" w:type="dxa"/>
            <w:vAlign w:val="bottom"/>
            <w:gridSpan w:val="2"/>
          </w:tcPr>
          <w:p>
            <w:pPr>
              <w:jc w:val="center"/>
              <w:ind w:left="232"/>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860" w:type="dxa"/>
            <w:vAlign w:val="bottom"/>
            <w:gridSpan w:val="5"/>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Consolidated Statements of Operations for each of the three years ended September 30, 2017, 2016 and 2015</w:t>
              </w:r>
            </w:hyperlink>
          </w:p>
        </w:tc>
        <w:tc>
          <w:tcPr>
            <w:tcW w:w="2480" w:type="dxa"/>
            <w:vAlign w:val="bottom"/>
            <w:gridSpan w:val="4"/>
          </w:tcPr>
          <w:p>
            <w:pPr>
              <w:spacing w:after="0"/>
              <w:rPr>
                <w:sz w:val="21"/>
                <w:szCs w:val="21"/>
                <w:color w:val="auto"/>
              </w:rPr>
            </w:pPr>
          </w:p>
        </w:tc>
        <w:tc>
          <w:tcPr>
            <w:tcW w:w="500" w:type="dxa"/>
            <w:vAlign w:val="bottom"/>
            <w:gridSpan w:val="2"/>
          </w:tcPr>
          <w:p>
            <w:pPr>
              <w:jc w:val="center"/>
              <w:ind w:left="232"/>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9"/>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Consolidated Statements of Comprehensive Income (Loss) for each of the three years ended September 30, 2017, 2016 and 2015</w:t>
              </w:r>
            </w:hyperlink>
          </w:p>
        </w:tc>
        <w:tc>
          <w:tcPr>
            <w:tcW w:w="500" w:type="dxa"/>
            <w:vAlign w:val="bottom"/>
            <w:gridSpan w:val="2"/>
          </w:tcPr>
          <w:p>
            <w:pPr>
              <w:jc w:val="center"/>
              <w:ind w:left="232"/>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7"/>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Stockholders’ Equity for each of the three years ended September 30, 2017, 2016 and 2015</w:t>
              </w:r>
            </w:hyperlink>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gridSpan w:val="2"/>
          </w:tcPr>
          <w:p>
            <w:pPr>
              <w:jc w:val="center"/>
              <w:ind w:left="232"/>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920" w:type="dxa"/>
            <w:vAlign w:val="bottom"/>
            <w:gridSpan w:val="6"/>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Statements of Cash Flows for each of the three years ended September 30, 2017, 2016 and 2015</w:t>
              </w:r>
            </w:hyperlink>
          </w:p>
        </w:tc>
        <w:tc>
          <w:tcPr>
            <w:tcW w:w="68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500" w:type="dxa"/>
            <w:vAlign w:val="bottom"/>
            <w:gridSpan w:val="2"/>
          </w:tcPr>
          <w:p>
            <w:pPr>
              <w:jc w:val="center"/>
              <w:ind w:left="232"/>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920" w:type="dxa"/>
            <w:vAlign w:val="bottom"/>
            <w:gridSpan w:val="6"/>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Notes to Consolidated Financial Statements</w:t>
              </w:r>
            </w:hyperlink>
          </w:p>
        </w:tc>
        <w:tc>
          <w:tcPr>
            <w:tcW w:w="2420" w:type="dxa"/>
            <w:vAlign w:val="bottom"/>
            <w:gridSpan w:val="3"/>
          </w:tcPr>
          <w:p>
            <w:pPr>
              <w:spacing w:after="0"/>
              <w:rPr>
                <w:sz w:val="21"/>
                <w:szCs w:val="21"/>
                <w:color w:val="auto"/>
              </w:rPr>
            </w:pPr>
          </w:p>
        </w:tc>
        <w:tc>
          <w:tcPr>
            <w:tcW w:w="500" w:type="dxa"/>
            <w:vAlign w:val="bottom"/>
            <w:gridSpan w:val="2"/>
          </w:tcPr>
          <w:p>
            <w:pPr>
              <w:jc w:val="center"/>
              <w:ind w:left="232"/>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300" w:type="dxa"/>
            <w:vAlign w:val="bottom"/>
          </w:tcPr>
          <w:p>
            <w:pPr>
              <w:spacing w:after="0"/>
              <w:rPr>
                <w:sz w:val="21"/>
                <w:szCs w:val="21"/>
                <w:color w:val="auto"/>
              </w:rPr>
            </w:pPr>
          </w:p>
        </w:tc>
      </w:tr>
      <w:tr>
        <w:trPr>
          <w:trHeight w:val="507"/>
        </w:trPr>
        <w:tc>
          <w:tcPr>
            <w:tcW w:w="240" w:type="dxa"/>
            <w:vAlign w:val="bottom"/>
          </w:tcPr>
          <w:p>
            <w:pPr>
              <w:spacing w:after="0"/>
              <w:rPr>
                <w:sz w:val="24"/>
                <w:szCs w:val="24"/>
                <w:color w:val="auto"/>
              </w:rPr>
            </w:pPr>
          </w:p>
        </w:tc>
        <w:tc>
          <w:tcPr>
            <w:tcW w:w="3140" w:type="dxa"/>
            <w:vAlign w:val="bottom"/>
            <w:tcBorders>
              <w:top w:val="single" w:sz="8" w:color="0000FF"/>
            </w:tcBorders>
            <w:gridSpan w:val="2"/>
          </w:tcPr>
          <w:p>
            <w:pPr>
              <w:spacing w:after="0"/>
              <w:rPr>
                <w:sz w:val="24"/>
                <w:szCs w:val="24"/>
                <w:color w:val="auto"/>
              </w:rPr>
            </w:pPr>
          </w:p>
        </w:tc>
        <w:tc>
          <w:tcPr>
            <w:tcW w:w="4720" w:type="dxa"/>
            <w:vAlign w:val="bottom"/>
            <w:gridSpan w:val="3"/>
          </w:tcPr>
          <w:p>
            <w:pPr>
              <w:jc w:val="right"/>
              <w:ind w:right="234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EZCORP, Inc. as of September 30, 2017 and 2016 and the related consolidated statements of operations and comprehensive income (loss), stockholders’ equity, and cash flows for each of the three years in the period ended September 30, 2017.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EZCORP, Inc. at September 30, 2017 and 2016, and the results of its operations and its cash flows for each of the three years in the period ended September 30, 2017</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EZCORP, Inc.’s internal control over financial reporting as of September 30,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and our report dated November 15, 2017, expressed an unqualified opinion thereon.</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discontinued operations in 2016, due to the adoption of Financial Accounting Standards Board’s (“FASB”) Accounting Standard Update No. 2014-08, “Presentation of Financial Statements (Topic 205) and Property, Plant, and Equipment (Topic 360): Reporting Discontinued Operations and Disclosures of Disposals of Components of an Entity.”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2016</w:t>
            </w:r>
          </w:p>
        </w:tc>
      </w:tr>
      <w:tr>
        <w:trPr>
          <w:trHeight w:val="121"/>
        </w:trPr>
        <w:tc>
          <w:tcPr>
            <w:tcW w:w="9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164,393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65,737</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Pawn loans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169,242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167,329</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31,548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31,062</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154,411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140,224</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32,598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41,946</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28,765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35,845</w:t>
            </w:r>
          </w:p>
        </w:tc>
      </w:tr>
      <w:tr>
        <w:trPr>
          <w:trHeight w:val="25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580,957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482,143</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Investment in unconsolidated affiliate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43,319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37,128</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57,959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58,455</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254,760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253,976</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32,420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30,681</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Notes receivable,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28,377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41,119</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16,856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35,303</w:t>
            </w: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44,439</w:t>
            </w:r>
          </w:p>
        </w:tc>
      </w:tr>
      <w:tr>
        <w:trPr>
          <w:trHeight w:val="24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1,024,363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983,244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6"/>
        </w:trPr>
        <w:tc>
          <w:tcPr>
            <w:tcW w:w="9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and equity:</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61,543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84,285</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Customer layaway deposits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11,032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10,693</w:t>
            </w:r>
          </w:p>
        </w:tc>
      </w:tr>
      <w:tr>
        <w:trPr>
          <w:trHeight w:val="25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72,575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94,978</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Long-term debt,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284,807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283,611</w:t>
            </w: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7,055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10,450</w:t>
            </w:r>
          </w:p>
        </w:tc>
      </w:tr>
      <w:tr>
        <w:trPr>
          <w:trHeight w:val="250"/>
        </w:trPr>
        <w:tc>
          <w:tcPr>
            <w:tcW w:w="9020" w:type="dxa"/>
            <w:vAlign w:val="bottom"/>
          </w:tcPr>
          <w:p>
            <w:pPr>
              <w:ind w:left="92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364,437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389,039</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contingencies (Note 14)</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63"/>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3"/>
              </w:rPr>
              <w:t>Class A Non-Voting Common Stock, par value $.01 per share; shares authorized: 100 million; issued and outstanding: 51,427,832 as of September</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94"/>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30, 2017 and 51,129,144 as of September 30, 2016</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Class B Voting Common Stock, convertible, par value $.01 per share; shares authorized: 3 million; issued and outstanding: 2,970,171</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348,532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318,723</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351,666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319,808</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(38,367)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(44,089)</w:t>
            </w: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EZCORP, Inc. stockholders’ equity</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662,375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594,983</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Noncontrolling interest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(2,449)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r>
      <w:tr>
        <w:trPr>
          <w:trHeight w:val="250"/>
        </w:trPr>
        <w:tc>
          <w:tcPr>
            <w:tcW w:w="902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Total equity</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659,926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594,205</w:t>
            </w:r>
          </w:p>
        </w:tc>
      </w:tr>
      <w:tr>
        <w:trPr>
          <w:trHeight w:val="24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1,024,363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983,244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48"/>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r>
      <w:tr>
        <w:trPr>
          <w:trHeight w:val="318"/>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7"/>
          </w:tcPr>
          <w:p>
            <w:pPr>
              <w:jc w:val="center"/>
              <w:ind w:right="148"/>
              <w:spacing w:after="0"/>
              <w:rPr>
                <w:sz w:val="20"/>
                <w:szCs w:val="20"/>
                <w:color w:val="auto"/>
              </w:rPr>
            </w:pPr>
            <w:r>
              <w:rPr>
                <w:rFonts w:ascii="Arial" w:cs="Arial" w:eastAsia="Arial" w:hAnsi="Arial"/>
                <w:sz w:val="14"/>
                <w:szCs w:val="14"/>
                <w:i w:val="1"/>
                <w:iCs w:val="1"/>
                <w:color w:val="auto"/>
                <w:w w:val="91"/>
              </w:rPr>
              <w:t>(in thousands, except per share amounts)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414,838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409,107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402,118</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57,973</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273,080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261,800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247,204</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8,847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9,485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12,705</w:t>
            </w:r>
          </w:p>
        </w:tc>
      </w:tr>
      <w:tr>
        <w:trPr>
          <w:trHeight w:val="250"/>
        </w:trPr>
        <w:tc>
          <w:tcPr>
            <w:tcW w:w="812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747,954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730,505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720,000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Merchandise cost of goods sold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266,525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258,271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267,789</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Jewelry scrapping cost of goods sold</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43,931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42,039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46,066</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cost of revenues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3,125</w:t>
            </w:r>
          </w:p>
        </w:tc>
      </w:tr>
      <w:tr>
        <w:trPr>
          <w:trHeight w:val="250"/>
        </w:trPr>
        <w:tc>
          <w:tcPr>
            <w:tcW w:w="8120" w:type="dxa"/>
            <w:vAlign w:val="bottom"/>
          </w:tcPr>
          <w:p>
            <w:pPr>
              <w:ind w:left="500"/>
              <w:spacing w:after="0"/>
              <w:rPr>
                <w:sz w:val="20"/>
                <w:szCs w:val="20"/>
                <w:color w:val="auto"/>
              </w:rPr>
            </w:pPr>
            <w:r>
              <w:rPr>
                <w:rFonts w:ascii="Arial" w:cs="Arial" w:eastAsia="Arial" w:hAnsi="Arial"/>
                <w:sz w:val="14"/>
                <w:szCs w:val="14"/>
                <w:color w:val="auto"/>
              </w:rPr>
              <w:t>Net revenues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435,510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428,230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403,020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304,636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301,387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294,939</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Administrative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72,986</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23,661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26,542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30,959</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sale or disposal of assets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2,659</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Restructuring</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17,080</w:t>
            </w:r>
          </w:p>
        </w:tc>
      </w:tr>
      <w:tr>
        <w:trPr>
          <w:trHeight w:val="250"/>
        </w:trPr>
        <w:tc>
          <w:tcPr>
            <w:tcW w:w="81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381,910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399,057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418,623</w:t>
            </w:r>
          </w:p>
        </w:tc>
      </w:tr>
      <w:tr>
        <w:trPr>
          <w:trHeight w:val="250"/>
        </w:trPr>
        <w:tc>
          <w:tcPr>
            <w:tcW w:w="8120" w:type="dxa"/>
            <w:vAlign w:val="bottom"/>
          </w:tcPr>
          <w:p>
            <w:pPr>
              <w:ind w:left="720"/>
              <w:spacing w:after="0"/>
              <w:rPr>
                <w:sz w:val="20"/>
                <w:szCs w:val="20"/>
                <w:color w:val="auto"/>
              </w:rPr>
            </w:pPr>
            <w:r>
              <w:rPr>
                <w:rFonts w:ascii="Arial" w:cs="Arial" w:eastAsia="Arial" w:hAnsi="Arial"/>
                <w:sz w:val="14"/>
                <w:szCs w:val="14"/>
                <w:color w:val="auto"/>
              </w:rPr>
              <w:t>Operating income (loss)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(15,603)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16,385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net (income) loss of unconsolidated affiliate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Impairment of investments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26,837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2,187</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Income (loss) from continuing operations before income taxes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(66,207)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11,206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9,361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(14,025)</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Income (loss) from continuing operations, net of tax</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32,033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(52,182)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(79,432)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(42,045)</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30,208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(88,430)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(94,227)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w:t>
            </w: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attributable to EZCORP, Inc.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31,858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(80,744)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(89,192)</w:t>
            </w:r>
          </w:p>
        </w:tc>
      </w:tr>
      <w:tr>
        <w:trPr>
          <w:trHeight w:val="264"/>
        </w:trPr>
        <w:tc>
          <w:tcPr>
            <w:tcW w:w="8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Basic earnings (loss) per share attributable to EZCORP, Inc. — 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0.62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(0.94)</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 attributable to EZCORP, Inc. — 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r>
      <w:tr>
        <w:trPr>
          <w:trHeight w:val="28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basic shares outstanding</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54,260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54,369</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Weighted-average diluted shares outstanding</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54,368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54,427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54,369</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32"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508"/>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(88,430)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(94,227)</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63"/>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Foreign currency translation gain (loss), net of income tax (expense) benefit for our investment in unconsolidated affiliate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4"/>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 ($446), $1,975 and $4,408 for the years ended September 30, 2017, 2016 and 2015, respectively</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(50,667)</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457</w:t>
            </w: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5,701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(14,558)</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(50,210)</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35,909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(102,988)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(144,437)</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(10,347)</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 (loss) attributable to EZCORP, Inc.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37,580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(94,910)</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(134,090)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5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3"/>
                <w:szCs w:val="13"/>
                <w:color w:val="auto"/>
              </w:rPr>
            </w:pPr>
          </w:p>
        </w:tc>
        <w:tc>
          <w:tcPr>
            <w:tcW w:w="8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Retained</w:t>
            </w:r>
          </w:p>
        </w:tc>
        <w:tc>
          <w:tcPr>
            <w:tcW w:w="14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3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ind w:left="700"/>
              <w:spacing w:after="0"/>
              <w:rPr>
                <w:sz w:val="20"/>
                <w:szCs w:val="20"/>
                <w:color w:val="auto"/>
              </w:rPr>
            </w:pPr>
            <w:r>
              <w:rPr>
                <w:rFonts w:ascii="Arial" w:cs="Arial" w:eastAsia="Arial" w:hAnsi="Arial"/>
                <w:sz w:val="13"/>
                <w:szCs w:val="13"/>
                <w:i w:val="1"/>
                <w:iCs w:val="1"/>
                <w:color w:val="auto"/>
              </w:rPr>
              <w:t>(in thousands)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October 1, 2014</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53,585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332,264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489,744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812,346</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Stock compensation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3"/>
              </w:rPr>
              <w:t>Purchase of subsidiary shares from noncontrolling interest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(20,293)</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Release of restricted stock</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deficiency from stock compensation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rPr>
              <w:t>Taxes paid related to net share settlement of equity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awards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Amounts reclassified from accumulated other</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(45,255)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(45,255)</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(89,192)</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(89,192)</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as of September 30, 2015</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53,696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310,038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400,552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(55,096)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656,031</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compensation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9,152</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Release of restricted stock</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deficiency from stock compensation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rPr>
              <w:t>Taxes paid related to net share settlement of equity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awards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Amounts reclassified from accumulated other</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(14,187)</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reclassification upon</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disposition of Grupo Finmart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25,173</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Acquisition of noncontrolling interest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(80,744)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(81,768)</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as of September 30, 2016</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54,099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541</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318,723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319,808</w:t>
            </w:r>
          </w:p>
        </w:tc>
        <w:tc>
          <w:tcPr>
            <w:tcW w:w="1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(44,089)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594,205</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compensation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5,831</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Release of restricted stock</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related to net share settlement of equity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awards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w w:val="99"/>
              </w:rPr>
              <w:t>Reclassification of 2019 Convertible Notes Warrants to</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liabilities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5,701</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w w:val="97"/>
              </w:rPr>
              <w:t>Equity classified conversion feature of 2024 Convertible</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Notes, net of tax</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25,268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25,268</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31,858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4"/>
                <w:szCs w:val="14"/>
                <w:color w:val="auto"/>
              </w:rPr>
              <w:t>Balances as of September 30, 2017</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54,398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348,532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351,666</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(38,367)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659,926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37"/>
              <w:spacing w:after="0"/>
              <w:rPr>
                <w:sz w:val="20"/>
                <w:szCs w:val="20"/>
                <w:color w:val="auto"/>
              </w:rPr>
            </w:pPr>
            <w:r>
              <w:rPr>
                <w:rFonts w:ascii="Arial" w:cs="Arial" w:eastAsia="Arial" w:hAnsi="Arial"/>
                <w:sz w:val="14"/>
                <w:szCs w:val="14"/>
                <w:b w:val="1"/>
                <w:bCs w:val="1"/>
                <w:color w:val="auto"/>
                <w:w w:val="91"/>
              </w:rPr>
              <w:t>Fiscal Year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6"/>
              </w:rPr>
              <w:t>2015</w:t>
            </w:r>
          </w:p>
        </w:tc>
      </w:tr>
      <w:tr>
        <w:trPr>
          <w:trHeight w:val="318"/>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Net income (loss)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30,208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(88,430)</w:t>
            </w:r>
          </w:p>
        </w:tc>
        <w:tc>
          <w:tcPr>
            <w:tcW w:w="100" w:type="dxa"/>
            <w:vAlign w:val="bottom"/>
          </w:tcPr>
          <w:p>
            <w:pPr>
              <w:spacing w:after="0"/>
              <w:rPr>
                <w:sz w:val="22"/>
                <w:szCs w:val="22"/>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(94,227)</w:t>
            </w:r>
          </w:p>
        </w:tc>
      </w:tr>
      <w:tr>
        <w:trPr>
          <w:trHeight w:val="278"/>
        </w:trPr>
        <w:tc>
          <w:tcPr>
            <w:tcW w:w="77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23,661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28,651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37,034</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Amortization of debt discount and deferred financing costs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13,038</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Amortization of prepaid commissions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13,083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13,702</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Accretion of notes receivable discount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Consumer loan loss provision</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1,988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27,917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51,966</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Deferred income taxes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(2,124)</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Impairment of goodwill and long-lived assets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73,244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30,782</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Other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7,289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13,925</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Gain on restructured notes receivable</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(3,048)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Gain on disposition of Grupo Finmart, net of loss on extinguishment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(32,172)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Loss on extinguishment of debt and other</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5,250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Loss on sale or disposal of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2,893</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Stock compensation expense</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5,866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5,346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2,374</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(Income) loss from investments in unconsolidated affiliate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5,473</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Impairment of investments in unconsolidated affiliate</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10,957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26,837</w:t>
            </w:r>
          </w:p>
        </w:tc>
      </w:tr>
      <w:tr>
        <w:trPr>
          <w:trHeight w:val="278"/>
        </w:trPr>
        <w:tc>
          <w:tcPr>
            <w:tcW w:w="7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operating assets and liabilities, net of business acquisitions: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500"/>
              <w:spacing w:after="0"/>
              <w:rPr>
                <w:sz w:val="20"/>
                <w:szCs w:val="20"/>
                <w:color w:val="auto"/>
              </w:rPr>
            </w:pPr>
            <w:r>
              <w:rPr>
                <w:rFonts w:ascii="Arial" w:cs="Arial" w:eastAsia="Arial" w:hAnsi="Arial"/>
                <w:sz w:val="13"/>
                <w:szCs w:val="13"/>
                <w:color w:val="auto"/>
              </w:rPr>
              <w:t>Service charges and fees receivable</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7,677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(9,987)</w:t>
            </w: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Inventory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433</w:t>
            </w:r>
          </w:p>
        </w:tc>
      </w:tr>
      <w:tr>
        <w:trPr>
          <w:trHeight w:val="262"/>
        </w:trPr>
        <w:tc>
          <w:tcPr>
            <w:tcW w:w="7780" w:type="dxa"/>
            <w:vAlign w:val="bottom"/>
          </w:tcPr>
          <w:p>
            <w:pPr>
              <w:ind w:left="500"/>
              <w:spacing w:after="0"/>
              <w:rPr>
                <w:sz w:val="20"/>
                <w:szCs w:val="20"/>
                <w:color w:val="auto"/>
              </w:rPr>
            </w:pPr>
            <w:r>
              <w:rPr>
                <w:rFonts w:ascii="Arial" w:cs="Arial" w:eastAsia="Arial" w:hAnsi="Arial"/>
                <w:sz w:val="13"/>
                <w:szCs w:val="13"/>
                <w:color w:val="auto"/>
              </w:rPr>
              <w:t>Prepaid expenses, other current assets and other assets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5,166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(15,397)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(11,980)</w:t>
            </w: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Accounts payable, accrued expenses and other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(31,041)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(26,297)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15,564</w:t>
            </w:r>
          </w:p>
        </w:tc>
      </w:tr>
      <w:tr>
        <w:trPr>
          <w:trHeight w:val="262"/>
        </w:trPr>
        <w:tc>
          <w:tcPr>
            <w:tcW w:w="7780" w:type="dxa"/>
            <w:vAlign w:val="bottom"/>
          </w:tcPr>
          <w:p>
            <w:pPr>
              <w:ind w:left="500"/>
              <w:spacing w:after="0"/>
              <w:rPr>
                <w:sz w:val="20"/>
                <w:szCs w:val="20"/>
                <w:color w:val="auto"/>
              </w:rPr>
            </w:pPr>
            <w:r>
              <w:rPr>
                <w:rFonts w:ascii="Arial" w:cs="Arial" w:eastAsia="Arial" w:hAnsi="Arial"/>
                <w:sz w:val="13"/>
                <w:szCs w:val="13"/>
                <w:color w:val="auto"/>
              </w:rPr>
              <w:t>Customer layaway deposits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1,997</w:t>
            </w: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Income taxes, net of excess tax benefit from stock compensation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37,334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(23,144)</w:t>
            </w:r>
          </w:p>
        </w:tc>
      </w:tr>
      <w:tr>
        <w:trPr>
          <w:trHeight w:val="264"/>
        </w:trPr>
        <w:tc>
          <w:tcPr>
            <w:tcW w:w="7780" w:type="dxa"/>
            <w:vAlign w:val="bottom"/>
          </w:tcPr>
          <w:p>
            <w:pPr>
              <w:ind w:left="180"/>
              <w:spacing w:after="0"/>
              <w:rPr>
                <w:sz w:val="20"/>
                <w:szCs w:val="20"/>
                <w:color w:val="auto"/>
              </w:rPr>
            </w:pPr>
            <w:r>
              <w:rPr>
                <w:rFonts w:ascii="Arial" w:cs="Arial" w:eastAsia="Arial" w:hAnsi="Arial"/>
                <w:sz w:val="13"/>
                <w:szCs w:val="13"/>
                <w:color w:val="auto"/>
              </w:rPr>
              <w:t>Dividends from unconsolidated affiliate</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2,197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4,842</w:t>
            </w:r>
          </w:p>
        </w:tc>
      </w:tr>
      <w:tr>
        <w:trPr>
          <w:trHeight w:val="257"/>
        </w:trPr>
        <w:tc>
          <w:tcPr>
            <w:tcW w:w="778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Net cash provided by operating activities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51,836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64,403</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79,398</w:t>
            </w: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Investing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Loans made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(646,625)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(676,375)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(842,074)</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Loans repaid</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386,383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428,196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574,353</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Recovery of pawn loan principal through sale of forfeited collateral</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244,632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235,168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243,692</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Additions to property and equipment, net of proceeds from sale of assets</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(18,853)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(9,550)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(23,722)</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Acquisitions, net of cash acquired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(7,802)</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Investments in unconsolidated affiliate</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(12,140)</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disposition of Grupo Finmart, net of cash disposed</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3"/>
                <w:szCs w:val="13"/>
                <w:color w:val="auto"/>
              </w:rPr>
              <w:t>Principal collections on notes receivable</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29,458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778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Net cash (used in) provided by investing activities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(7,255)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6,716</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(67,693)</w:t>
            </w: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Taxes paid related to net share settlement of equity awards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Payout of deferred consideration</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(15,000)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(6,000)</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 of subsidiary shares from noncontrolling interest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(32,411)</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Proceeds from settlement of forward currency contracts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3,557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2,313</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 in restricted cash</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8,199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40,949</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Proceeds from borrowings, net of issuance costs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139,506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64,133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70,130</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Payments on borrowings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(85,388)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(112,123)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(72,369)</w:t>
            </w:r>
          </w:p>
        </w:tc>
      </w:tr>
      <w:tr>
        <w:trPr>
          <w:trHeight w:val="264"/>
        </w:trPr>
        <w:tc>
          <w:tcPr>
            <w:tcW w:w="7780" w:type="dxa"/>
            <w:vAlign w:val="bottom"/>
          </w:tcPr>
          <w:p>
            <w:pPr>
              <w:ind w:left="180"/>
              <w:spacing w:after="0"/>
              <w:rPr>
                <w:sz w:val="20"/>
                <w:szCs w:val="20"/>
                <w:color w:val="auto"/>
              </w:rPr>
            </w:pPr>
            <w:r>
              <w:rPr>
                <w:rFonts w:ascii="Arial" w:cs="Arial" w:eastAsia="Arial" w:hAnsi="Arial"/>
                <w:sz w:val="13"/>
                <w:szCs w:val="13"/>
                <w:color w:val="auto"/>
              </w:rPr>
              <w:t>Repurchase of common stock</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(11,750)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778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Net cash provided by (used in) financing activities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53,351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(63,156)</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2,402</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Effect of exchange rate changes on cash and cash equivalents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(1,350)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(10,308)</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increase in cash and cash equivalents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98,656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6,613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3,799</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Cash and cash equivalents at beginning of period</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65,737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59,124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55,325</w:t>
            </w:r>
          </w:p>
        </w:tc>
      </w:tr>
      <w:tr>
        <w:trPr>
          <w:trHeight w:val="242"/>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Cash and cash equivalents at end of period</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164,393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65,737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59,124</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1"/>
          <w:szCs w:val="11"/>
          <w:color w:val="auto"/>
        </w:rPr>
        <w:t>Cash paid (refunded) during the period for:</w:t>
      </w:r>
    </w:p>
    <w:p>
      <w:pPr>
        <w:sectPr>
          <w:pgSz w:w="11900" w:h="16838" w:orient="portrait"/>
          <w:cols w:equalWidth="0" w:num="1">
            <w:col w:w="11420"/>
          </w:cols>
          <w:pgMar w:left="240" w:top="125" w:right="239" w:bottom="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60"/>
        </w:trPr>
        <w:tc>
          <w:tcPr>
            <w:tcW w:w="6140" w:type="dxa"/>
            <w:vAlign w:val="bottom"/>
          </w:tcPr>
          <w:p>
            <w:pPr>
              <w:ind w:left="180"/>
              <w:spacing w:after="0"/>
              <w:rPr>
                <w:sz w:val="20"/>
                <w:szCs w:val="20"/>
                <w:color w:val="auto"/>
              </w:rPr>
            </w:pPr>
            <w:r>
              <w:rPr>
                <w:rFonts w:ascii="Arial" w:cs="Arial" w:eastAsia="Arial" w:hAnsi="Arial"/>
                <w:sz w:val="13"/>
                <w:szCs w:val="13"/>
                <w:color w:val="auto"/>
              </w:rPr>
              <w:t>Interest</w:t>
            </w:r>
          </w:p>
        </w:tc>
        <w:tc>
          <w:tcPr>
            <w:tcW w:w="20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9,068</w:t>
            </w:r>
          </w:p>
        </w:tc>
        <w:tc>
          <w:tcPr>
            <w:tcW w:w="4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18,722</w:t>
            </w:r>
          </w:p>
        </w:tc>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16,472</w:t>
            </w:r>
          </w:p>
        </w:tc>
      </w:tr>
      <w:tr>
        <w:trPr>
          <w:trHeight w:val="97"/>
        </w:trPr>
        <w:tc>
          <w:tcPr>
            <w:tcW w:w="61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70"/>
        </w:trPr>
        <w:tc>
          <w:tcPr>
            <w:tcW w:w="6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 net</w:t>
            </w:r>
          </w:p>
        </w:tc>
        <w:tc>
          <w:tcPr>
            <w:tcW w:w="20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8,866</w:t>
            </w: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2,962</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(8,042)</w:t>
            </w:r>
          </w:p>
        </w:tc>
      </w:tr>
      <w:tr>
        <w:trPr>
          <w:trHeight w:val="122"/>
        </w:trPr>
        <w:tc>
          <w:tcPr>
            <w:tcW w:w="61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0"/>
        </w:trPr>
        <w:tc>
          <w:tcPr>
            <w:tcW w:w="6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Non-cash investing and financing activities:</w:t>
            </w:r>
          </w:p>
        </w:tc>
        <w:tc>
          <w:tcPr>
            <w:tcW w:w="20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2"/>
        </w:trPr>
        <w:tc>
          <w:tcPr>
            <w:tcW w:w="6140" w:type="dxa"/>
            <w:vAlign w:val="bottom"/>
          </w:tcPr>
          <w:p>
            <w:pPr>
              <w:ind w:left="180"/>
              <w:spacing w:after="0"/>
              <w:rPr>
                <w:sz w:val="20"/>
                <w:szCs w:val="20"/>
                <w:color w:val="auto"/>
              </w:rPr>
            </w:pPr>
            <w:r>
              <w:rPr>
                <w:rFonts w:ascii="Arial" w:cs="Arial" w:eastAsia="Arial" w:hAnsi="Arial"/>
                <w:sz w:val="13"/>
                <w:szCs w:val="13"/>
                <w:color w:val="auto"/>
              </w:rPr>
              <w:t>Pawn loans forfeited and transferred to inventory</w:t>
            </w:r>
          </w:p>
        </w:tc>
        <w:tc>
          <w:tcPr>
            <w:tcW w:w="20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257,388</w:t>
            </w:r>
          </w:p>
        </w:tc>
        <w:tc>
          <w:tcPr>
            <w:tcW w:w="4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249,316</w:t>
            </w:r>
          </w:p>
        </w:tc>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230,998</w:t>
            </w:r>
          </w:p>
        </w:tc>
      </w:tr>
      <w:tr>
        <w:trPr>
          <w:trHeight w:val="278"/>
        </w:trPr>
        <w:tc>
          <w:tcPr>
            <w:tcW w:w="6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 reinvestment acquisition of additional ownership in unconsolidated affiliate</w:t>
            </w:r>
          </w:p>
        </w:tc>
        <w:tc>
          <w:tcPr>
            <w:tcW w:w="20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1,153</w:t>
            </w: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140" w:type="dxa"/>
            <w:vAlign w:val="bottom"/>
          </w:tcPr>
          <w:p>
            <w:pPr>
              <w:ind w:left="180"/>
              <w:spacing w:after="0"/>
              <w:rPr>
                <w:sz w:val="20"/>
                <w:szCs w:val="20"/>
                <w:color w:val="auto"/>
              </w:rPr>
            </w:pPr>
            <w:r>
              <w:rPr>
                <w:rFonts w:ascii="Arial" w:cs="Arial" w:eastAsia="Arial" w:hAnsi="Arial"/>
                <w:sz w:val="13"/>
                <w:szCs w:val="13"/>
                <w:color w:val="auto"/>
              </w:rPr>
              <w:t>Issuance of common stock due to acquisitions</w:t>
            </w:r>
          </w:p>
        </w:tc>
        <w:tc>
          <w:tcPr>
            <w:tcW w:w="20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11,696</w:t>
            </w:r>
          </w:p>
        </w:tc>
      </w:tr>
      <w:tr>
        <w:trPr>
          <w:trHeight w:val="278"/>
        </w:trPr>
        <w:tc>
          <w:tcPr>
            <w:tcW w:w="6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consideration</w:t>
            </w:r>
          </w:p>
        </w:tc>
        <w:tc>
          <w:tcPr>
            <w:tcW w:w="20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9,500</w:t>
            </w:r>
          </w:p>
        </w:tc>
      </w:tr>
      <w:tr>
        <w:trPr>
          <w:trHeight w:val="254"/>
        </w:trPr>
        <w:tc>
          <w:tcPr>
            <w:tcW w:w="6140" w:type="dxa"/>
            <w:vAlign w:val="bottom"/>
          </w:tcPr>
          <w:p>
            <w:pPr>
              <w:ind w:left="180"/>
              <w:spacing w:after="0"/>
              <w:rPr>
                <w:sz w:val="20"/>
                <w:szCs w:val="20"/>
                <w:color w:val="auto"/>
              </w:rPr>
            </w:pPr>
            <w:r>
              <w:rPr>
                <w:rFonts w:ascii="Arial" w:cs="Arial" w:eastAsia="Arial" w:hAnsi="Arial"/>
                <w:sz w:val="13"/>
                <w:szCs w:val="13"/>
                <w:color w:val="auto"/>
              </w:rPr>
              <w:t>Equity adjustment due to noncontrolling interest purchase</w:t>
            </w:r>
          </w:p>
        </w:tc>
        <w:tc>
          <w:tcPr>
            <w:tcW w:w="20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23,251</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 leading provider of pawn loans in the United States and Mexico.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operated a total of 786 locations, consisting of:</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513 United States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246 Mexico pawn stores (operating as Empeño Fácil);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27 financial services stores in Canada (operating as CASHMAX).</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also own approximately 32% of Cash Converters International Limited (“Cash Converters International”), based in Australia and publicly-traded on the Australian Stock Exchange, which franchises and operates a worldwide network of nearly 700 locations that provide pawn loans, short-term unsecured loans and other consumer finance products, and buy and sell second-hand goods.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consolidated financial statements include the accounts of EZCORP, Inc. and its consolidated subsidiaries. All inter-company accounts and transactions have been eliminated in consolidation.</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adopted Financial Accounting Standards Board ("FASB") Accounting Standards Updates ("ASUs") 2014-15, Presentation of Financial Statements — Going Concern (Subtopic 205-40) during the first quarter of fiscal 2017. Upon adoption of the ASU, management has the responsibility to evaluate whether there is substantial doubt about our ability to continue as a going concern for a period of one year after the date that the financial statements are issued (or available to be issued) or to provide related footnote disclosures.</w:t>
      </w:r>
    </w:p>
    <w:p>
      <w:pPr>
        <w:spacing w:after="0" w:line="13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w:t>
      </w:r>
    </w:p>
    <w:p>
      <w:pPr>
        <w:spacing w:after="0" w:line="1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evaluating whether we have the power to direct the activities of a VIE that most significantly impact its economic performance, we consider the purpose for which the VIE was created, the importance of each of the activities in which it is engaged and our decision-making role, if any, in those activities that significantly determine the entity’s economic performance as compared to other economic interest holders. This evaluation requires consideration of all facts and circumstances relevant to decision-making that affects the entity’s future performance and the exercise of professional judgment in deciding which decision-making rights are most important.</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determining whether we have the right to receive benefits or the obligation to absorb losses that could potentially be significant to a VIE, we evaluate all of our economic interests in the entity, regardless of form (debt, equity, management and servicing fees and other contractual arrangements). This evaluation considers all relevant factors of the entity’s design, including the entity’s capital structure, contractual rights to earnings or losses, subordination of our interests relative to those of other investors, as well as any other contractual arrangements that might exist that could have the potential to be economically significant. The evaluation of each of these factors in reaching a conclusion about the potential significance of our economic interests is a matter that requires the exercise of professional judgment.</w:t>
      </w:r>
    </w:p>
    <w:p>
      <w:pPr>
        <w:spacing w:after="0" w:line="13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Our fiscal 2017 noncontrolling interest is comprised of activities of an insignificant consolidated VIE of which we have majority ownership and are the primary funding source. In addition, see “Notes Receivable from Grupo Finmart Divestiture” in Note 5 for discussion of the nonconsolidated VIE Prestaciones Finmart, S.A.P.I. de C.V., SOFOM, E.N.R. ("Grupo Finmart").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to Prior Period Financial Statements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Certain reclassifications of prior period amounts have been made. These reclassifications, other than those pertaining to the adoption of ASUs discussed below, were made to conform to the current period presentation.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Loan and Sales Revenue Recognition</w:t>
      </w:r>
    </w:p>
    <w:p>
      <w:pPr>
        <w:spacing w:after="0" w:line="171"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We record pawn service charges using the effective interest method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If a pawn loan is not repaid, we value the forfeited collateral (inventory) at the lower of cost (pawn loan principal) or net realizable value of the item.</w:t>
      </w:r>
    </w:p>
    <w:p>
      <w:pPr>
        <w:spacing w:after="0" w:line="10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record sales revenue and the related cost when merchandise inventory is sold, or when we receive the final payment on a layaway sale. We record sales revenue and the related cost when scrap inventory is sold and the proceeds to be received are fixed and determinable and ownership is transferred. Sales tax collected on the sale of inventory is excluded from the amount recognized as sales and instead recorded as a liability in “Accounts payable, accrued expenses and other current liabilities” in our consolidated balance sheets until remitted to the appropriate governmental authorities.</w:t>
      </w:r>
    </w:p>
    <w:p>
      <w:pPr>
        <w:spacing w:after="0" w:line="10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Customers may purchase a product protection plan that allows them to exchange certain general merchandise (non-jewelry) sold through our retail pawn operations within six months of purchase. We recognize the fees for this service as revenue ratably over the three to six month period of the plan. We also offer a jewelry VIP package, which guarantees customers a minimum future pawn loan amount on the item sold, allows them full credit if they trade in the item to purchase a more expensive piece of jewelry, and provides minor repair service on the item sold. These fees are recognized upon sale. Customers may also purchase an item on layaway by paying a minimum layaway deposit of typically 10% of the item’s sale price. We hold the item for a 60 to 180-day period, during which the customer is required to pay the balance of the sales price. The initial deposit and subsequent payments are recorded as customer layaway deposits. Layaways are recorded as sales when paid in full. We record product protection, jewelry VIP and layaway fees as merchandise sales revenue, as they are incidental to sales of merchandise.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Goods Sold</w:t>
      </w:r>
    </w:p>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a pawn loan is not redeemed, we record the forfeited collateral at cost (the principal amount of the pawn loan) in "Inventory, net" in our consolidated balance sheets. We do not record loan loss allowances or charge-offs on the principal portion of pawn loans, as they are fully collateralized. We record our inventory using the specific identification method of accounting.</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order to state inventory at the lower of cost or net realizable value, we record an allowance for excess, obsolete or slow moving inventory based on the type and age of merchandise. Our inventory consists primarily of general merchandise and jewelry. Our "Merchandise cost of goods sold" includes the historical cost of inventory sold, inventory shrinkage and any change in the allowance for inventory shrinkage and valuation. We include the cost of operating our central jewelry processing unit under “Jewelry scrapping cost of goods sold,” as it relates directly to sales of precious metals to refiners.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consider our estimates of obsolete or slow moving inventory and shrinkage critical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monitor our reserve estimates pertaining to jewelry inventory depending on the current and projected prices of gold. Future declines in the value of gold prices may cause an increase in reserve rates pertaining to jewelry inventory.</w:t>
      </w:r>
    </w:p>
    <w:p>
      <w:pPr>
        <w:spacing w:after="0" w:line="1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respect to our Mexico pawn operations, we do not own the forfeited collateral; however, we assume the risk of loss on such collateral and are solely responsible for its care and disposition and as such, record such collateral under “Inventory, net” in our consolidated balance sheets. The amount of inventory from our Mexico pawn operations classified as “Inventory, net” in our consolidated balance sheets was $21.8 million and $19.0 million as of September 30, 2017 and 2016, respectively.</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adopted ASU 2015-11, Inventory (Topic 330): Simplifying the Measurement of Inventory, during the first quarter of fiscal 2017 on a prospective basis, and such adoption did not have a material impact on our consolidated financial position, results of operations or cash flows. We now measure our inventories at the 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Cash Concentrations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Cash and cash equivalents consist primarily of cash on deposit or highly liquid investments with original contractual maturities of three months or less, or money market mutual funds. We hold cash at major financial institutions that often exceed FDIC insured limits. We manage our credit risk associated with cash and cash equivalents and cash concentrations by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7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As discussed under “Notes Receivable from Grupo Finmart Divestiture” in Note 5, in September 2017 we restructured the repayment arrangements for certain promissory notes that we had received from Grupo Finmart in connection with such divestiture. We accounted for the restructuring as new notes receivable for which the modification was more than minor, recognizing $3.0 million of discount remaining on the original notes receivable as a gain, included in our income statement as a component of “Interest income.” As part of the restructuring of the notes receivable, we negotiated a deferred compensation amount of up to $14.0 million which we will account for as “Interest income” under the effective interest method, accreting to its ultimate estimated settlement amount at September 2020. We review the payment history, creditworthiness, projected cash flows and related assumptions of Grupo Finmart and AlphaCredit (the guarantor of such notes receivable) in determining whether our notes receivable and deferred compensation amounts are collectible. Prior to the restructuring, we amortized the discount on our notes receivable into “Interest income” under the effective interest method over the life of the notes receivable. We currently accrue interest under the terms of the repayment schedules. These items are included in “Corporate items” and “Mexico Pawn” within our segment disclosure in Note 5. As of September 30, 2017, we have included no impairment due to non-collectability on our notes receivable.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account for our investment in Cash Converters International using the equity method. Since Cash Converters International’s fiscal year ends three months prior to ours, we report the income from this investment on a three-month lag. Thus, income reported for fiscal years ended September 30, 2017, 2016 and 2015 represents our percentage interest in the results of Cash Converters International’s operations from July 1, 2016 to June 30, 2017, July 1, 2015 to June 30, 2016 and July 1, 2014 to June 30, 2015, respectively. Because Cash Converters International publicly files semi-annual financial reports with the Australian Securities &amp; Investments Commission as of and for the periods ended June 30 and December 31, we make estimates for our equity in Cash Converters International’s net income (loss) for Cash Converters International three-month periods ended March 31 (our reporting period ended June 30) and September 30 (our reporting period ended December 31). Those estimates may vary from actual results. We adjust our estimates as necessary in our reporting periods ended March 31 and September 30 to conform to Cash Converters International actual results as shown in their published semi-annual reports. We record all other-than-temporary impairments as of the date of our reporting period.</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Converters International records its results of operations under International Financial Reporting Standards (“IFRS”). There have historically been and currently are no material differences between Cash Converters International results of operations based upon IFRS versus results of operations as converted to accounting principles generally accepted in the United States of America (“GAAP”). We will continue to monitor for any potential IFRS to GAAP differences.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Impairments and other items recognized in prior years have created a negative basis in our investment in Cash Converters International of $20.7 million as compared to our proportionate share of equity. We accounted for this negative basis as a reduction in our portion of Cash Converters International goodwill. We will increase our equity in Cash Converters International’s net income in future reporting periods for our portion of any impairments of goodwill that may be recorded by Cash Converters International until such negative basis is restored.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Goodwill and other intangible assets having indefinite lives are not subject to amortization. We test goodwill and intangible assets with indefinite useful lives for potential impairment annually as of September 30, or more frequently if an event occurs or circumstances change that would more likely than not reduce the fair value of a reporting unit below its carrying amount. We adopted ASU 2017-04, Intangibles — Goodwill and Other (Topic 350): Simplifying the Test for Goodwill Impairment, during the fourth quarter of fiscal 2017, and such adoption did not have a material impact on our consolidated financial position, results of operations or cash flows. This ASU eliminates Step 2 from the goodwill impairment test which previously required measurement of any goodwill impairment loss by comparing the implied fair value of a reporting unit’s goodwill with the carrying amount of that goodwill. Under the new standard we compare the fair value of our reporting units with their carrying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amount and recognize an impairment charge for the amount by which the carrying amount exceeds the reporting unit’s fair value, without exceeding the total amount of goodwill allocated to that reporting unit.</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perform our impairment analyses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We have determined that our reporting units are equivalent to our operating segments for fiscal 2017.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use discount rates that are commensurate with the risks and uncertainty inherent in the respective businesses and in our internally developed forecasts. Discount rates used in fiscal 2017 goodwill and other intangible asset valuations ranged from 9% to 12%. In testing other intangible assets for potential impairment, we apply key assumptions that are consistent with those utilized in our goodwill impairment test. Changes in the economic conditions or regulatory environment could negatively affect our key assumptions.</w:t>
      </w:r>
    </w:p>
    <w:p>
      <w:pPr>
        <w:spacing w:after="0" w:line="12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assumptions discussed above pertaining to the income approach, we consider the assessment of potential triggering events to be a critical estimate.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record property and equipment at cost. We depreciate these assets on a straight-line basis using estimated useful lives of 30 years for buildings and two to seven years for furniture, equipment and software development costs. We depreciate leasehold improvements over the shorter of their estimated useful life (typically 10 years) or the reasonably assured lease term at the inception of the lease.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Tangible Long-Lived Assets</w:t>
      </w:r>
    </w:p>
    <w:p>
      <w:pPr>
        <w:spacing w:after="0" w:line="17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or significant negative industry trends or legislative changes prohibiting us from offering our loan products. An impairment loss is recognized if the future undiscounted cash flows associated with the asset and the estimated fair value of the asset are less than the asset's carrying value.</w:t>
      </w:r>
    </w:p>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the assumptions associated with the determination of projected future cash flows, we consider the assessment of potential triggering events to be a critical estimate.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and Cloud Computing Arrangements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capitalize certain costs incurred in connection with developing or obtaining software for internal use and amortize the costs on a straight-line basis over the estimated useful lives of each system, typically five years.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adopted ASU 2015-05, Intangibles — Goodwill and Other — Internal-Use Software (Subtopic 350-40): Customer's Accounting for Fees Paid in a Cloud Computing Arrangement, during the first quarter of fiscal 2017 on a prospective basis for all arrangements entered into or materially modified after adoption of the ASU, and such adoption did not have a material impact on our consolidated financial position, results of operations or cash flows. We now consider whether cloud computing arrangements include a software license. In evaluating whether our arrangements include a software license, we consider whether we have the contractual right to take possession of the software at any time during the hosting period without significant penalty and whether it is feasible for us to either run the software on our own hardware or contract with another party unrelated to the vendor to host the software. If a cloud computing arrangement includes a software license, then we account for the software license element of the arrangement consistent with the acquisition of other software licenses. If a cloud computing arrangement does not include a software license, we account for the arrangement as a service contract.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Layaways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Customer layaway deposits are recorded as deferred revenue until we collect the entire related sales price and deliver the related merchandise to the customer.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Recoveries</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incur legal costs with respect to a variety of issues on an ongoing basis. To the extent that such costs are reimbursable under applicable insurance policies, we believe it is probable such costs will be reimbursed and such reimbursements can be reasonably estimated, we record a receivable from the insurance enterprise and a recovery of the costs in our statements of operations. All loss contingencies are recorded gross of the insured recoveries as applicable.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have elected not to measure at fair value any eligible items for which fair value measurement is optional. We determine the fair value of financial instruments by reference to various market data and other valuation techniques, as appropriate.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allocate the total acquisition price to the fair value of assets and liabilities acquired and immediately expense transaction costs. We adopted ASU 2015-16, Business Combinations (Topic 805), during the second quarter of fiscal 2016 to reduce the cost and complexity of accounting for and reporting business combinations, and such adoption did not have a material impact on our consolidated financial position, results of operations or cash flows. This ASU requires recognition of adjustments to provisional amounts that are identified during the measurement period in the reporting period in which the adjustment amounts are determined, with the effect on earnings of changes in depreciation, amortization, or other income effects, if any, as a result of the change to the provisional amounts, calculated as if the accounting had been completed at the acquisition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Securities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accounting for our 2.875% Convertible Senior Notes Due 2024 (the “2024 Convertible Notes”) at issuance, we separated the 2024 Convertible Notes into debt and equity components pursuant to the accounting standards for convertible debt instruments that may be fully or partially settled in cash upon conversion. The carrying value of the liability component was calculated by measuring the fair value of a similar liability that does not have an associated conversion feature, including discount rates slightly above 8%. The excess of the principal amount of the 2024 Convertible Notes over the fair value of the liability component was recorded as a discount with a corresponding increase in additional paid-in capital. The debt discount will be accreted to “Interest expense” over the term of the 2024 Convertible Notes using the effective interest method. The amount recorded to “Additional paid-in capital” will not be remeasured as long as it continues to meet the conditions for equity classification.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Our equity investment in Cash Converters International is translated from Australian dollars into United States dollars at the exchange rates as of Cash Converters International’s balance sheet date each reporting period. The related interest in Cash Converters International’s net income is translated at the average exchange rate for each six-month period reported by Cash Converters International.</w:t>
      </w:r>
    </w:p>
    <w:p>
      <w:pPr>
        <w:spacing w:after="0" w:line="12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functional currency of Mexico Pawn is the Mexican peso. The functional currency of our wholly owned foreign subsidiary in Canada is the Canadian dollar. Our foreign subsidiaries' balance sheet accounts are translated from their respective functional currencies into United States dollars at the exchange rate at the end of each quarter, and their earnings are translated into United States dollars at the average exchange rate each quarter. We present resulting translation adjustments as a separate component of stockholders’ equity.</w:t>
      </w:r>
    </w:p>
    <w:p>
      <w:pPr>
        <w:spacing w:after="0" w:line="1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Foreign currency transaction gains and losses not accounted for as translations as discussed above are included under “Other expense” in our consolidated statements of operations. These (gains) losses included in continuing operations were $(0.5) million, $1.1 million and $2.2 million for fiscal 2017, 2016 and 2015,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Expense</w:t>
      </w:r>
    </w:p>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Included in “Operations” expense are costs related to operating our stores and any direct costs of support offices. These costs include labor, other direct expenses such as utilities, supplies and banking fees and indirect expenses such as store rent, building repairs and maintenance, advertising, store property taxes and insurance and regional and area management expenses.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Included in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7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Advertising costs are expensed as incurred and included primarily under “Operations” expense in our consolidated statements of operations. These costs included in continuing operations were $1.9 million, $2.1 million and $3.1 million for fiscal 2017, 2016 and 2015,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measure share-based compensation expense at the grant date based on the fair value of the award and recognize it as expense, net of estimated forfeitures, ratably over the vesting or service period, as applicable, of the stock award. Our policy is to recognize expense on performance-based awards ratably over the awards’ vesting period and recognize expense on awards that only have service requirements on a straight-line basis.</w:t>
      </w:r>
    </w:p>
    <w:p>
      <w:pPr>
        <w:spacing w:after="0" w:line="11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adopted ASU 2016-09, Compensation — Stock Compensation (Topic 718): Improvements to Employee Share-Based Payment Accounting, during the first quarter of fiscal 2017. This ASU simplifies several aspects of the accounting for share-based payment transactions, including income tax consequences, calculation of the dilutive impact of awards, classification of awards as either equity or liabilities and classification on the statement of cash flows. We prospectively applied the requirement to present excess tax benefits as an operating activity on the statement of cash flows. Further, we continue to estimate the number of award forfeitures in recording costs for share-based awards. The financial impact of adopting the ASU was a $0.5 million income tax benefit for excess tax benefits on vested awards which previously would have been recorded to "Additional paid-in capital" prior to adoption of the ASU.</w:t>
      </w:r>
    </w:p>
    <w:p>
      <w:pPr>
        <w:spacing w:after="0" w:line="1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adopted ASU 2014-12, Compensation — Stock Compensation (Topic 718): Accounting for Share-Based Payments When the Terms of an Award Provide That a Performance Target Could Be Achieved after the Requisite Service Period, during the second quarter of fiscal 2016 and applied the amendments prospectively to all awards granted or modified after the effective date. This ASU requires recognition of compensation costs for share-based awards with performance targets in the period in which it becomes probable that the performance targets will be achieved and should represent the compensation cost attributable to the periods for which the requisite service has already been rendered.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w:t>
      </w:r>
    </w:p>
    <w:p>
      <w:pPr>
        <w:spacing w:after="0" w:line="1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We recognize interest and penalties related to unrecognized tax benefits as “Income tax expense” in our consolidated statements of operations, which were $0.2 million, $0.2 million and $0.1 million during fiscal 2017, 2016 and 2015, respectively.</w:t>
      </w:r>
    </w:p>
    <w:p>
      <w:pPr>
        <w:spacing w:after="0" w:line="124" w:lineRule="exact"/>
        <w:rPr>
          <w:sz w:val="20"/>
          <w:szCs w:val="20"/>
          <w:color w:val="auto"/>
        </w:rPr>
      </w:pPr>
    </w:p>
    <w:p>
      <w:pPr>
        <w:ind w:right="1460"/>
        <w:spacing w:after="0" w:line="438" w:lineRule="auto"/>
        <w:rPr>
          <w:sz w:val="20"/>
          <w:szCs w:val="20"/>
          <w:color w:val="auto"/>
        </w:rPr>
      </w:pPr>
      <w:r>
        <w:rPr>
          <w:rFonts w:ascii="Arial" w:cs="Arial" w:eastAsia="Arial" w:hAnsi="Arial"/>
          <w:sz w:val="18"/>
          <w:szCs w:val="18"/>
          <w:color w:val="auto"/>
        </w:rPr>
        <w:t xml:space="preserve">We consider our assessment of the recognition of deferred tax assets as well as estimates of uncertain tax positions to be critical estimates. </w:t>
      </w:r>
      <w:r>
        <w:rPr>
          <w:rFonts w:ascii="Arial" w:cs="Arial" w:eastAsia="Arial" w:hAnsi="Arial"/>
          <w:sz w:val="18"/>
          <w:szCs w:val="18"/>
          <w:b w:val="1"/>
          <w:bCs w:val="1"/>
          <w:i w:val="1"/>
          <w:iCs w:val="1"/>
          <w:color w:val="auto"/>
        </w:rPr>
        <w:t>Earnings per Share and Common Stock</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including conversion features embedded in our outstanding convertible debt, during the period using the treasury stock method. Dilutive potential common shares include outstanding restricted stock awards, as well as shares issuable on conversion of our outstanding convertible debt securities and exercise of outstanding warrants. Potential common shares are required to be excluded from the computation of diluted earnings per share if the assumed proceeds upon exercise or vest are greater than the cost to re-acquire the same number of shares at the average market price, and therefore the effect would be anti-dilutive. There were no participating securities outstanding during fiscal 2017, 2016 and 2015 requiring the application of the two-class method.</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collectability of notes receivable,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adopted ASU 2014-08, Presentation of Financial Statements (Topic 205) and Property, Plant, and Equipment (Topic 360) — Reporting Discontinued Operations and Disclosures of Disposals of Components of an Entity, during the first quarter of fiscal 2016. There was no impact of adopting the ASU on our consolidated financial position, results of operations or cash flows. We have presented our Grupo Finmart segment classified as a discontinued operation as held for sale under the ASU, and our operations discontinued prior to adoption of the ASU including our U.S. Financial Services business ("USFS") under the accounting guidance in effect before the adoption of the ASU.</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71" w:lineRule="exact"/>
        <w:rPr>
          <w:sz w:val="20"/>
          <w:szCs w:val="20"/>
          <w:color w:val="auto"/>
        </w:rPr>
      </w:pPr>
    </w:p>
    <w:p>
      <w:pPr>
        <w:ind w:left="660" w:right="200" w:hanging="328"/>
        <w:spacing w:after="0" w:line="297"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May 2017, the FASB issued ASU 2017-09, Compensation — Stock Compensation (Topic 718). This ASU provides guidance about which changes to the terms or conditions of a share-based payment award require an entity to apply modification accounting. The provisions of this ASU are effective for fiscal years, and interim periods within those fiscal years, beginning after December 15, 2017. Early adoption is permitted based upon guidance issued within the ASU. A reporting entity should apply the amendment to awards modified after the adoption date on a prospective basis. We do not anticipate that the adoption of the ASU will have a material effect on our financial position, results of operations or cash flows.</w:t>
      </w:r>
    </w:p>
    <w:p>
      <w:pPr>
        <w:spacing w:after="0" w:line="104" w:lineRule="exact"/>
        <w:rPr>
          <w:rFonts w:ascii="Arial" w:cs="Arial" w:eastAsia="Arial" w:hAnsi="Arial"/>
          <w:sz w:val="16"/>
          <w:szCs w:val="16"/>
          <w:color w:val="auto"/>
        </w:rPr>
      </w:pPr>
    </w:p>
    <w:p>
      <w:pPr>
        <w:ind w:left="660" w:right="40" w:hanging="328"/>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November 2016, the FASB issued ASU 2016-18 Statement of Cash Flows (Topic 230): Restricted Cash. This ASU requires the inclusion of restricted cash with cash and cash equivalents when reconciling the beginning-of-period and end-of-period total amounts shown on the statement of cash flows. The provisions of this ASU are effective for fiscal years, and interim periods within those fiscal years, beginning after December 15, 2017. Early adoption is permitted, including within interim periods. A reporting entity should apply the amendment on a retrospective basis as of the beginning of the fiscal year for which the amendments are effective. We are in the process of evaluating the impact of adopting the on our consolidated financial position, results of operations and cash flows.</w:t>
      </w:r>
    </w:p>
    <w:p>
      <w:pPr>
        <w:spacing w:after="0" w:line="139" w:lineRule="exact"/>
        <w:rPr>
          <w:rFonts w:ascii="Arial" w:cs="Arial" w:eastAsia="Arial" w:hAnsi="Arial"/>
          <w:sz w:val="18"/>
          <w:szCs w:val="18"/>
          <w:color w:val="auto"/>
        </w:rPr>
      </w:pPr>
    </w:p>
    <w:p>
      <w:pPr>
        <w:ind w:left="660" w:right="40" w:hanging="328"/>
        <w:spacing w:after="0" w:line="27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August 2016, the FASB issued ASU 2016-15 Statement of Cash Flows (Topic 230): Classification of Certain Cash Receipts and Cash Payments. This ASU provides guidance on eight specific cash flow issues. The provisions of this ASU are effective for fiscal years, and interim periods within those fiscal years, beginning after December 15, 2017. Early adoption is permitted, including within interim periods. A reporting entity should apply the amendment on a retrospective basis as of the beginning of the fiscal year for which the amendments are effective. We are in the process of evaluating the impact of adopting the ASU on our consolidated financial position, results of operations and cash flows.</w:t>
      </w:r>
    </w:p>
    <w:p>
      <w:pPr>
        <w:spacing w:after="0" w:line="186" w:lineRule="exact"/>
        <w:rPr>
          <w:rFonts w:ascii="Arial" w:cs="Arial" w:eastAsia="Arial" w:hAnsi="Arial"/>
          <w:sz w:val="17"/>
          <w:szCs w:val="17"/>
          <w:color w:val="auto"/>
        </w:rPr>
      </w:pPr>
    </w:p>
    <w:p>
      <w:pPr>
        <w:ind w:left="660" w:right="120" w:hanging="328"/>
        <w:spacing w:after="0" w:line="25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This ASU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as of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have not identified any impacts to our financial statements that we believe will be material as a result of the adoption of the ASU, although we continue to evaluate the impact of adoption</w:t>
      </w:r>
    </w:p>
    <w:p>
      <w:pPr>
        <w:spacing w:after="0" w:line="205" w:lineRule="exact"/>
        <w:rPr>
          <w:rFonts w:ascii="Arial" w:cs="Arial" w:eastAsia="Arial" w:hAnsi="Arial"/>
          <w:sz w:val="18"/>
          <w:szCs w:val="18"/>
          <w:color w:val="auto"/>
        </w:rPr>
      </w:pPr>
    </w:p>
    <w:p>
      <w:pPr>
        <w:jc w:val="both"/>
        <w:ind w:left="660" w:right="300" w:hanging="328"/>
        <w:spacing w:after="0" w:line="288"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beginning after December 15, 2018, and interim periods within those fiscal years. Early adoption is permitted based upon guidance issued within the ASU.</w:t>
      </w:r>
    </w:p>
    <w:p>
      <w:pPr>
        <w:ind w:left="660" w:right="100"/>
        <w:spacing w:after="0" w:line="271" w:lineRule="auto"/>
        <w:rPr>
          <w:rFonts w:ascii="Arial" w:cs="Arial" w:eastAsia="Arial" w:hAnsi="Arial"/>
          <w:sz w:val="16"/>
          <w:szCs w:val="16"/>
          <w:color w:val="auto"/>
        </w:rPr>
      </w:pPr>
      <w:r>
        <w:rPr>
          <w:rFonts w:ascii="Arial" w:cs="Arial" w:eastAsia="Arial" w:hAnsi="Arial"/>
          <w:sz w:val="17"/>
          <w:szCs w:val="17"/>
          <w:color w:val="auto"/>
        </w:rPr>
        <w:t>Although we are in the process of evaluating the impact of adopting the ASU on our consolidated financial position, results of operations and cash flows, we anticipate a material impact on our consolidated financial position. Additionally, we are evaluating the disclosure requirements under this ASU and are identifying and preparing to implement changes to our accounting policies, practices and controls to support adoption of the ASU and are evaluating upgrades to our third party software solution concurrently with our adoption. We believe we are following an appropriate timeline to allow for proper recognition, presentation and disclosure upon adoption of the ASU which is effective for fiscal 2020.</w:t>
      </w:r>
    </w:p>
    <w:p>
      <w:pPr>
        <w:spacing w:after="0" w:line="192" w:lineRule="exact"/>
        <w:rPr>
          <w:rFonts w:ascii="Arial" w:cs="Arial" w:eastAsia="Arial" w:hAnsi="Arial"/>
          <w:sz w:val="16"/>
          <w:szCs w:val="16"/>
          <w:color w:val="auto"/>
        </w:rPr>
      </w:pPr>
    </w:p>
    <w:p>
      <w:pPr>
        <w:ind w:left="660" w:right="20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with early adoption permitted, but not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60"/>
        <w:spacing w:after="0" w:line="334" w:lineRule="auto"/>
        <w:rPr>
          <w:sz w:val="20"/>
          <w:szCs w:val="20"/>
          <w:color w:val="auto"/>
        </w:rPr>
      </w:pPr>
      <w:r>
        <w:rPr>
          <w:rFonts w:ascii="Arial" w:cs="Arial" w:eastAsia="Arial" w:hAnsi="Arial"/>
          <w:sz w:val="16"/>
          <w:szCs w:val="16"/>
          <w:color w:val="auto"/>
        </w:rPr>
        <w:t>before the original effective date of December 15, 2016. The core principle of the ASU, and the subsequently issued ASUs modifying or clarifying the ASU,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w:t>
      </w:r>
    </w:p>
    <w:p>
      <w:pPr>
        <w:spacing w:after="0" w:line="2" w:lineRule="exact"/>
        <w:rPr>
          <w:sz w:val="20"/>
          <w:szCs w:val="20"/>
          <w:color w:val="auto"/>
        </w:rPr>
      </w:pPr>
    </w:p>
    <w:p>
      <w:pPr>
        <w:ind w:left="660" w:right="20" w:hanging="4"/>
        <w:spacing w:after="0" w:line="306" w:lineRule="auto"/>
        <w:tabs>
          <w:tab w:leader="none" w:pos="9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 the transaction price; (4) allocate the transaction price to the performance obligations in the contract; and (5) recognize revenue when, or as, the entity satisfies a performance obligation. The new standard allows for two methods of adoption: (a) full retrospective adoption, meaning the standard is applied to all periods presented, or (b) modified retrospective adoption, meaning the cumulative effect of applying the new standard is recognized as an adjustment to the opening retained earnings balance.</w:t>
      </w:r>
    </w:p>
    <w:p>
      <w:pPr>
        <w:spacing w:after="0" w:line="173"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We are evaluating the impact that will result from adopting the ASU on our consolidated financial position, results of operations, and cash flows. We currently anticipate adopting the ASU using the modified retrospective method. We do not believe the adoption will have an impact on our pawn service charges recognition as we do not believe such charges are within the scope of the ASU. Further, we have not identified any impacts to our financial statements that we believe will be material as a result of the adoption of the ASU for other revenue streams, although we continue to evaluate the impact of adoption. We believe we are following an appropriate timeline to allow for proper recognition, presentation and disclosure upon adoption of the ASU which is effective for fiscal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concluded that the acquisitions described below were immaterial to our overall consolidated financial results and, therefore, have omitted the information that would otherwise be required by ASC 805-10-50-2(h). See Note 18, Subsequent Events, for discussion of an acquisition completed in October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August 2017, we acquired certain assets related to two pawn stores in Central Texas and one pawn store in Las Vegas, Nevada, of which two were ultimately placed into operation. The aggregate purchase price for these transactions in total was $2.3 million in cash, of which $0.4 million was recorded as goodwill. For additional discussion of the Central Texas acquisition, see Note 11.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February 1, 2016, we acquired six pawn stores in the Houston, Texas area doing business under the "Pawn One" brand. The aggregate purchase price was $6.2 million in cash, inclusive of all ancillary arrangements, of which $3.2 million was recorded as goodwill.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August 17, 2015, we completed the acquisition of 13 pawn stores in Oregon and Arizona doing business under the "USA Pawn" brand. The aggregate purchase price was $12.3 million in cash, inclusive of a $0.2 million reduction for imputed interest and all ancillary arrangements. Of the total purchase price, $3.0 million was paid at closing, $3.0 million was paid in December 2015, and $6.5 million was paid in February 2016.</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19, 2015, we completed the acquisition of 12 pawn stores in Central Texas doing business under the "Cash Pawn" brand. The aggregate purchase price for the acquisition was $16.5 million, comprised of $5.0 million cash and 1,168,456 shares of our Class A Common Stock, valued at $10.01 per share less a $0.2 million Holding Period Adjustment. On the first anniversary of the closing date, the sellers exercised their right to require us to repurchase the Class A Common Stock for an aggregate price of $11.8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(loss)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413"/>
              <w:spacing w:after="0"/>
              <w:rPr>
                <w:sz w:val="20"/>
                <w:szCs w:val="20"/>
                <w:color w:val="auto"/>
              </w:rPr>
            </w:pPr>
            <w:r>
              <w:rPr>
                <w:rFonts w:ascii="Arial" w:cs="Arial" w:eastAsia="Arial" w:hAnsi="Arial"/>
                <w:sz w:val="14"/>
                <w:szCs w:val="14"/>
                <w:b w:val="1"/>
                <w:bCs w:val="1"/>
                <w:color w:val="auto"/>
                <w:w w:val="92"/>
              </w:rPr>
              <w:t>Fiscal Year Ended September 30,</w:t>
            </w:r>
          </w:p>
        </w:tc>
        <w:tc>
          <w:tcPr>
            <w:tcW w:w="7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2015</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left="413"/>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78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attributable to EZCORP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(51,298)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(37,894)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EZCORP (C)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31,858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54,369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stock and common stock equivalents (E)</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54,368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54,427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54,369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EZCORP:</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97"/>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earnings (loss) per share (C / 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311"/>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(loss) per share attributable to EZCORP:</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earnings (loss) per share (C / 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earnings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2019 Convertible Notes Warrants***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14,317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28,869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15,157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14,317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required by ASC 260-10-45-19, amount excludes all potential common shares for periods when there is a loss from continuing operations.</w:t>
      </w:r>
    </w:p>
    <w:p>
      <w:pPr>
        <w:spacing w:after="0" w:line="163" w:lineRule="exact"/>
        <w:rPr>
          <w:sz w:val="20"/>
          <w:szCs w:val="20"/>
          <w:color w:val="auto"/>
        </w:rPr>
      </w:pPr>
    </w:p>
    <w:p>
      <w:pPr>
        <w:ind w:left="340" w:right="140" w:hanging="332"/>
        <w:spacing w:after="0" w:line="273"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119" w:lineRule="exact"/>
        <w:rPr>
          <w:rFonts w:ascii="Arial" w:cs="Arial" w:eastAsia="Arial" w:hAnsi="Arial"/>
          <w:sz w:val="14"/>
          <w:szCs w:val="14"/>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See Note 8 for discussion of the terms and conditions of these potential common shares.</w:t>
      </w:r>
    </w:p>
    <w:p>
      <w:pPr>
        <w:spacing w:after="0" w:line="16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Weighted-average outstanding shares of common stock for fiscal 2016 include the impact of redeemable common stock repurchased as discussed in Note 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17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of September 30, 2017, we owned 156,552,484 shares, or approximately 32%, of our unconsolidated affiliate Cash Converters International. Our total investment in Cash Converters International was acquired between November 2009 and October 2016 for approximately $82.1 million.</w:t>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equity in Cash Converters International’s net income (loss) was $4.9 million, $(0.3) million and $(5.5) million in fiscal 2017, 2016 and 2015, respectively. We recorded dividends from Cash Converters International of $1.2 million, $2.2 million and $4.8 million in fiscal 2017, 2016 and 2015, respectively, of which the fiscal 2017 dividend was reinvested. Cash Converters International’s accumulated undistributed after-tax earnings included in our consolidated retained earnings were $10.3 million as of September 30, 2017.</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present summary financial information for Cash Converters International’s most recently reported results as of September 30, 2017, 2016 and 2015 as applicable after translation to U.S. dollars: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center"/>
              <w:ind w:left="235"/>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6"/>
          </w:tcPr>
          <w:p>
            <w:pPr>
              <w:jc w:val="center"/>
              <w:ind w:left="235"/>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155,749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173,830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w w:val="98"/>
              </w:rPr>
              <w:t>150,843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141,028</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8"/>
              </w:rPr>
              <w:t>306,592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314,858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57,387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83,275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48,698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51,873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200,507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179,710</w:t>
            </w:r>
          </w:p>
        </w:tc>
      </w:tr>
      <w:tr>
        <w:trPr>
          <w:trHeight w:val="257"/>
        </w:trPr>
        <w:tc>
          <w:tcPr>
            <w:tcW w:w="778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8"/>
              </w:rPr>
              <w:t>306,592</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314,858</w:t>
            </w: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9"/>
        </w:trPr>
        <w:tc>
          <w:tcPr>
            <w:tcW w:w="7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center"/>
              <w:ind w:left="39"/>
              <w:spacing w:after="0"/>
              <w:rPr>
                <w:sz w:val="20"/>
                <w:szCs w:val="20"/>
                <w:color w:val="auto"/>
              </w:rPr>
            </w:pPr>
            <w:r>
              <w:rPr>
                <w:rFonts w:ascii="Arial" w:cs="Arial" w:eastAsia="Arial" w:hAnsi="Arial"/>
                <w:sz w:val="14"/>
                <w:szCs w:val="14"/>
                <w:b w:val="1"/>
                <w:bCs w:val="1"/>
                <w:color w:val="auto"/>
                <w:w w:val="91"/>
              </w:rPr>
              <w:t>Fiscal Year Ended June 30,</w:t>
            </w:r>
          </w:p>
        </w:tc>
        <w:tc>
          <w:tcPr>
            <w:tcW w:w="900" w:type="dxa"/>
            <w:vAlign w:val="bottom"/>
            <w:tcBorders>
              <w:bottom w:val="single" w:sz="8" w:color="auto"/>
            </w:tcBorders>
          </w:tcPr>
          <w:p>
            <w:pPr>
              <w:spacing w:after="0"/>
              <w:rPr>
                <w:sz w:val="24"/>
                <w:szCs w:val="24"/>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204,684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225,712</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241,584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8"/>
                <w:szCs w:val="18"/>
                <w:color w:val="auto"/>
              </w:rPr>
              <w:t>130,943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146,286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174,101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profit (loss)</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15,546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(18,149)</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Fiscal 2016 amounts recast by Cash Converters International during fiscal 2017.</w:t>
      </w:r>
    </w:p>
    <w:p>
      <w:pPr>
        <w:spacing w:after="0" w:line="1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2017, the fair value of our investment in Cash Converters International exceeded its carrying value, though during fiscal 2017 the fair value of our investment in Cash Converters International declined below its carrying value. We continue to monitor the fair value of our investment in Cash Converters International for other-than-temporary impairments in future reporting periods and may record additional impairment charges should the fair value of our investment in Cash Converters International further decline below its carrying value for an extended period of time. See Note 5 for the fair value and carrying value of our investment in Cash Converters International.</w:t>
      </w:r>
    </w:p>
    <w:p>
      <w:pPr>
        <w:spacing w:after="0" w:line="13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During fiscal 2016 and 2015, the fair value of our investment in Cash Converters International continued to decline from its previous values and remained below its carrying value as of September 30, 2016 and 2015. As of September 30, 2016 and 2015, we determined that our investment was impaired and that such impairment was other-than-temporary and recognized an other-than-temporary impairment in Cash Converters International of $11.0 million ($7.2 million, net of taxes) in fiscal 2016 and $26.8 million ($17.4 million, net of taxes) in fiscal 2015. These impairments increased the difference between the amount at which our investment was carried and the amount of underlying equity in net assets of Cash Converters International as discussed in Note 1 and were recorded under “Impairment of investment” in our consolidated statements of operations in the “Other International” segment.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accordance with ASC 820-10, our assets and liabilities discussed below are classified in one of the following three categories based on the inputs used to develop their fair values: Level 1 — quoted market prices in active markets for identical assets or liabilities; Level 2 — other observable inputs other than quoted market prices; and Level 3 — unobservable inputs that are not corroborated by market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financial assets (liabilities) that were carried and measured at fair value on a recurring basis: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Financial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67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Guarantee asset — Level 3</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Guarantee liability — Level 3</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 Convertible Notes Hedges — Level 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 Convertible Notes Embedded Derivative — Level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280670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23495</wp:posOffset>
            </wp:positionV>
            <wp:extent cx="2169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w:t>
      </w:r>
    </w:p>
    <w:p>
      <w:pPr>
        <w:spacing w:after="0" w:line="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payable, 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-1905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assets,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2016</w:t>
            </w:r>
          </w:p>
        </w:tc>
      </w:tr>
      <w:tr>
        <w:trPr>
          <w:trHeight w:val="379"/>
        </w:trPr>
        <w:tc>
          <w:tcPr>
            <w:tcW w:w="400" w:type="dxa"/>
            <w:vAlign w:val="bottom"/>
          </w:tcPr>
          <w:p>
            <w:pPr>
              <w:spacing w:after="0"/>
              <w:rPr>
                <w:sz w:val="24"/>
                <w:szCs w:val="24"/>
                <w:color w:val="auto"/>
              </w:rPr>
            </w:pPr>
          </w:p>
        </w:tc>
        <w:tc>
          <w:tcPr>
            <w:tcW w:w="1440" w:type="dxa"/>
            <w:vAlign w:val="bottom"/>
            <w:gridSpan w:val="3"/>
          </w:tcPr>
          <w:p>
            <w:pPr>
              <w:ind w:left="500"/>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r>
      <w:tr>
        <w:trPr>
          <w:trHeight w:val="255"/>
        </w:trPr>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1,209</w:t>
            </w:r>
          </w:p>
        </w:tc>
      </w:tr>
      <w:tr>
        <w:trPr>
          <w:trHeight w:val="378"/>
        </w:trPr>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378"/>
        </w:trPr>
        <w:tc>
          <w:tcPr>
            <w:tcW w:w="40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37,692</w:t>
            </w:r>
          </w:p>
        </w:tc>
      </w:tr>
      <w:tr>
        <w:trPr>
          <w:trHeight w:val="270"/>
        </w:trPr>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(37,692)</w:t>
            </w:r>
          </w:p>
        </w:tc>
      </w:tr>
    </w:tbl>
    <w:p>
      <w:pPr>
        <w:spacing w:after="0" w:line="175" w:lineRule="exact"/>
        <w:rPr>
          <w:sz w:val="20"/>
          <w:szCs w:val="20"/>
          <w:color w:val="auto"/>
        </w:rPr>
      </w:pPr>
    </w:p>
    <w:p>
      <w:pPr>
        <w:sectPr>
          <w:pgSz w:w="11900" w:h="16838" w:orient="portrait"/>
          <w:cols w:equalWidth="0" w:num="3">
            <w:col w:w="4580" w:space="720"/>
            <w:col w:w="3360" w:space="140"/>
            <w:col w:w="2620"/>
          </w:cols>
          <w:pgMar w:left="240" w:top="125" w:right="239" w:bottom="1440" w:gutter="0" w:footer="0" w:header="0"/>
          <w:type w:val="continuous"/>
        </w:sectPr>
      </w:pPr>
    </w:p>
    <w:p>
      <w:pPr>
        <w:ind w:right="20"/>
        <w:spacing w:after="0" w:line="279" w:lineRule="auto"/>
        <w:rPr>
          <w:sz w:val="20"/>
          <w:szCs w:val="20"/>
          <w:color w:val="auto"/>
        </w:rPr>
      </w:pPr>
      <w:r>
        <w:rPr>
          <w:rFonts w:ascii="Arial" w:cs="Arial" w:eastAsia="Arial" w:hAnsi="Arial"/>
          <w:sz w:val="17"/>
          <w:szCs w:val="17"/>
          <w:color w:val="auto"/>
        </w:rPr>
        <w:t xml:space="preserve">We initially measured the guarantee asset and liability, discussed below under “Notes Receivable from Grupo Finmart Divestiture,” at fair value and subsequently amortized the guarantees based upon the principal payments received on the associated notes receivable, which approximated the fair value of the guarantees on a recurring basis. </w:t>
      </w:r>
      <w:r>
        <w:rPr>
          <w:rFonts w:ascii="Arial" w:cs="Arial" w:eastAsia="Arial" w:hAnsi="Arial"/>
          <w:sz w:val="17"/>
          <w:szCs w:val="17"/>
          <w:color w:val="252525"/>
        </w:rPr>
        <w:t>As a result of the early repayment in July 2017 of notes receivable from the divestiture of Grupo Finmart discussed below,</w:t>
      </w:r>
      <w:r>
        <w:rPr>
          <w:rFonts w:ascii="Arial" w:cs="Arial" w:eastAsia="Arial" w:hAnsi="Arial"/>
          <w:sz w:val="17"/>
          <w:szCs w:val="17"/>
          <w:color w:val="auto"/>
        </w:rPr>
        <w:t xml:space="preserve"> </w:t>
      </w:r>
      <w:r>
        <w:rPr>
          <w:rFonts w:ascii="Arial" w:cs="Arial" w:eastAsia="Arial" w:hAnsi="Arial"/>
          <w:sz w:val="17"/>
          <w:szCs w:val="17"/>
          <w:color w:val="252525"/>
        </w:rPr>
        <w:t>we wrote-off the remaining associated guarantee asset and liability in the fourth quarter of fiscal 2017.</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measured the fair value of the 2019 Convertible Notes Hedges and the 2019 Convertible Notes Embedded Derivative using the Black-Scholes-Merton model based on observable Level 1 and Level 2 inputs such as conversion price of underlying shares, current share price, implied volatility, risk free interest rate and other factors. As of September 30, 2017 the volatility input was revised downward to 36%, based on observed market inputs including inputs from our recent 2024 Convertible Notes issuance, from 55% as of September 30, 2016. In July 2017, we cash settled the portion of the 2019 Convertible Notes Hedges and 2019 Convertible Notes Warrants relating to $35 million aggregate principal amount of 2019 Convertible Notes that we repurchased and retired, as further discussed in Note 8.</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tables below present our financial assets and liabilities that were not measured at fair value (including those discussed below the following tables)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Carrying Value</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48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5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820" w:type="dxa"/>
            <w:vAlign w:val="bottom"/>
            <w:tcBorders>
              <w:top w:val="single" w:sz="8" w:color="auto"/>
              <w:bottom w:val="single" w:sz="8" w:color="auto"/>
            </w:tcBorders>
          </w:tcPr>
          <w:p>
            <w:pPr>
              <w:spacing w:after="0"/>
              <w:rPr>
                <w:sz w:val="22"/>
                <w:szCs w:val="22"/>
                <w:color w:val="auto"/>
              </w:rPr>
            </w:pPr>
          </w:p>
        </w:tc>
      </w:tr>
      <w:tr>
        <w:trPr>
          <w:trHeight w:val="264"/>
        </w:trPr>
        <w:tc>
          <w:tcPr>
            <w:tcW w:w="4820" w:type="dxa"/>
            <w:vAlign w:val="bottom"/>
          </w:tcPr>
          <w:p>
            <w:pPr>
              <w:spacing w:after="0"/>
              <w:rPr>
                <w:sz w:val="22"/>
                <w:szCs w:val="22"/>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6"/>
              </w:rPr>
              <w:t>Level 3</w:t>
            </w:r>
          </w:p>
        </w:tc>
      </w:tr>
      <w:tr>
        <w:trPr>
          <w:trHeight w:val="385"/>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Notes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60,975</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74,262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74,262</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324"/>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2019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177,346</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193,811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193,811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100,870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175,016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459"/>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Notes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83,065</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83,065</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83,065</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97"/>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2019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197,954</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227,332</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227,332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 Loan Facility</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47,965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48,688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Based on the short-term nature of cash and cash equivalents, pawn loans, pawn service charges receivable and current consumer loans, fees and interest receivable, we estimate that their carrying value approximates fair value. We consider our cash and cash equivalents to be measured using Level 1 inputs and our pawn loans, pawn service charges receivable and current consumer loans, fees and interest receivable to be measured using Level 3 inputs. Significant increases or decreases in the underlying assumptions used to value pawn loans, pawn service charges receivable and current consumer loans, fees and interest receivable could significantly increase or decrease these fair value estimates.</w:t>
      </w:r>
    </w:p>
    <w:p>
      <w:pPr>
        <w:spacing w:after="0" w:line="11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For background information regarding the notes receivable, see “Notes Receivable from Grupo Finmart Divestiture” below. The fair value of the notes receivable as of September 30, 2017 approximated their carrying value taking into account the stated interest rates of 10% and 14.5% and estimated credit ratings for Grupo Finmart and AlphaCredit. We measured the fair value of the notes receivable as of September 30, 2016 under a discounted cash flow approach considering the estimated credit ratings for Grupo Finmart and AlphaCredit and as determined with external consultation, with discount rates ranging primarily from 8% to 15%. Certain of the significant inputs used for the valuation were not observable in the market. Included in the fair value of the notes receivable as of September 30, 2017 is the estimated fair value of the deferred compensation fee negotiated in September 2017, of which the ultimate amount to be received is dependent upon the timing of payment of the notes receivable as discussed in “Notes Receivable from Grupo Finmart Divestiture” below. Significant increases or decreases in the underlying assumptions used to value the notes receivable could significantly increase or decrease these fair value estimates.</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3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measured the fair value of the 2019 Convertible Notes and the 2024 Convertible Notes using quoted price inputs from Bloomberg. Neither the 2019 Convertible Notes nor the 2014 Convertible Notes are actively traded, and thus the price inputs represent a Level 2 measurement. The quoted price inputs obtained from Bloomberg are highly variable from day to day, and thus the fair value estimates disclosed above could significantly increase or decrease. See Note 8 for discussion of the use of proceeds from the 2024 Convertible Notes to repurchase and retire a portion of the 2019 Convertible Notes in July 2017.</w:t>
      </w:r>
    </w:p>
    <w:p>
      <w:pPr>
        <w:spacing w:after="0" w:line="1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the Term Loan Facility, described in Note 8, approximated its carrying value, inclusive of issuance costs and exclusive of deferred financing costs, as of September 30, 2016. See Note 8 for discussion of the repayment of the Term Loan Facility in July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 from Grupo Finmart Divestiture</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Subsequent to the sale of Grupo Finmart in September 2016, we determined that we retained a variable interest in Grupo Finmart, including notes receivable and a guarantee liability of the future cash outflows of certain Grupo Finmart foreign exchange forward contracts with a backup guarantee provided by AlphaCredit for any payments we make under the guarantee. We determined that we are not the primary beneficiary of Grupo Finmart subsequent to its disposition as we lack a controlling financial interest in Grupo Finmart.</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fiscal 2017, we collected $29.5 million in principal on these notes receivable. As of September 30, 2017, all of the notes receivable (other than the Parent Loan Notes discussed below) had been repaid and the guarantee liability had been extinguished.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September 30, 2017, only two promissory notes (referred to as the “Parent Loan Notes”), one of which was denominated in Mexican Pesos, remained outstanding from the Grupo Finmart sale, with a total aggregate principal amount of $60.9 million. In September 2017, we and AlphaCredit amended the Parent Loan Notes as follows:</w:t>
      </w:r>
    </w:p>
    <w:p>
      <w:pPr>
        <w:spacing w:after="0" w:line="127" w:lineRule="exact"/>
        <w:rPr>
          <w:sz w:val="20"/>
          <w:szCs w:val="20"/>
          <w:color w:val="auto"/>
        </w:rPr>
      </w:pPr>
    </w:p>
    <w:p>
      <w:pPr>
        <w:ind w:left="660" w:right="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outstanding principal amount (including the $18.3 million that would otherwise have been payable on September 27, 2017) will be payable on a monthly basis over the remaining two years, commencing October 27, 2017.</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 annum interest rate has been increased from 4% to 10% for the dollar-denominated note and from 7.5% to 14.5% for the peso-denominated note. Accrued interest is also payable monthly, commencing October 27, 2017.</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receive an additional deferred compensation fee of $14.0 million, payable $6.0 million on September 27, 2019, $4.0 million on March 27, 2020 and $4.0 million on September 27, 2020.</w:t>
      </w:r>
    </w:p>
    <w:p>
      <w:pPr>
        <w:spacing w:after="0" w:line="116" w:lineRule="exact"/>
        <w:rPr>
          <w:rFonts w:ascii="Arial" w:cs="Arial" w:eastAsia="Arial" w:hAnsi="Arial"/>
          <w:sz w:val="18"/>
          <w:szCs w:val="18"/>
          <w:color w:val="auto"/>
        </w:rPr>
      </w:pPr>
    </w:p>
    <w:p>
      <w:pPr>
        <w:ind w:left="660" w:right="60" w:hanging="328"/>
        <w:spacing w:after="0" w:line="279"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Parent Loan Notes may be prepaid in full voluntarily at any time and are subject to mandatory prepayment in certain circumstances. Upon any prepayment, whether voluntary or mandatory, Grupo Finmart must pay all outstanding principal, all accrued but unpaid interest and an amount equal to the sum of (1) all remaining interest payments that would otherwise be due through the end of the term and (2) the deferred compensation fee. (If the prepayment occurs on or prior to June 30, 2019, the deferred compensation fee will be reduced to $10.0 million).</w:t>
      </w:r>
    </w:p>
    <w:p>
      <w:pPr>
        <w:spacing w:after="0" w:line="117"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Parent Loan Notes, as amended, are now guaranteed by AlphaCredit.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further consideration for these amendments, AlphaCredit agreed to terminate our indemnification obligations with respect to representations and warranties and certain other matters under the Purchase Agreement, dated as of July 1, 2016, that the parties entered into in connection with the sale of Grupo Finmart (the “Purchase Agreement”). Those representations and warranties were originally scheduled to survive until March 27, 2018. AlphaCredit also agreed to terminate all indemnity claims existing at the time of the amendment and to release to us the outstanding balance ($4.1 million) held in escrow pending resolution of indemnification claims.</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accounted for this amendment as an extinguishment of the original Parent Loan Notes, recognizing $3.0 million of remaining discount as a gain included in “Interest income” in our consolidated statements of operations.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carrying amount and classification of the assets and liabilities compared to the maximum exposure to loss for each asset and liability: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5265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Notes receivable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Guarantee asset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Guarantee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280670</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2538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Notes receivable, net (including accreted deferred compensation of $0.1 million)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31750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payable, accrued expenses and other current liabilities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September 30, 2017</w:t>
            </w: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w w:val="93"/>
              </w:rPr>
              <w:t>September 30, 2016</w:t>
            </w:r>
          </w:p>
        </w:tc>
        <w:tc>
          <w:tcPr>
            <w:tcW w:w="0" w:type="dxa"/>
            <w:vAlign w:val="bottom"/>
          </w:tcPr>
          <w:p>
            <w:pPr>
              <w:spacing w:after="0"/>
              <w:rPr>
                <w:sz w:val="1"/>
                <w:szCs w:val="1"/>
                <w:color w:val="auto"/>
              </w:rPr>
            </w:pPr>
          </w:p>
        </w:tc>
      </w:tr>
      <w:tr>
        <w:trPr>
          <w:trHeight w:val="152"/>
        </w:trPr>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Asset</w:t>
            </w:r>
          </w:p>
        </w:tc>
        <w:tc>
          <w:tcPr>
            <w:tcW w:w="120" w:type="dxa"/>
            <w:vAlign w:val="bottom"/>
          </w:tcPr>
          <w:p>
            <w:pPr>
              <w:spacing w:after="0"/>
              <w:rPr>
                <w:sz w:val="13"/>
                <w:szCs w:val="13"/>
                <w:color w:val="auto"/>
              </w:rPr>
            </w:pPr>
          </w:p>
        </w:tc>
        <w:tc>
          <w:tcPr>
            <w:tcW w:w="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9"/>
              </w:rPr>
              <w:t>Maximum</w:t>
            </w:r>
          </w:p>
        </w:tc>
        <w:tc>
          <w:tcPr>
            <w:tcW w:w="2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Asset (Liability)</w:t>
            </w:r>
          </w:p>
        </w:tc>
        <w:tc>
          <w:tcPr>
            <w:tcW w:w="160" w:type="dxa"/>
            <w:vAlign w:val="bottom"/>
          </w:tcPr>
          <w:p>
            <w:pPr>
              <w:spacing w:after="0"/>
              <w:rPr>
                <w:sz w:val="13"/>
                <w:szCs w:val="13"/>
                <w:color w:val="auto"/>
              </w:rPr>
            </w:pPr>
          </w:p>
        </w:tc>
        <w:tc>
          <w:tcPr>
            <w:tcW w:w="86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Recorded in</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Recorded in</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Exposure to</w:t>
            </w:r>
          </w:p>
        </w:tc>
        <w:tc>
          <w:tcPr>
            <w:tcW w:w="1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Exposure to</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379"/>
        </w:trPr>
        <w:tc>
          <w:tcPr>
            <w:tcW w:w="2060" w:type="dxa"/>
            <w:vAlign w:val="bottom"/>
            <w:gridSpan w:val="4"/>
          </w:tcPr>
          <w:p>
            <w:pPr>
              <w:jc w:val="right"/>
              <w:ind w:right="539"/>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1560" w:type="dxa"/>
            <w:vAlign w:val="bottom"/>
            <w:gridSpan w:val="3"/>
          </w:tcPr>
          <w:p>
            <w:pPr>
              <w:jc w:val="center"/>
              <w:ind w:left="621"/>
              <w:spacing w:after="0"/>
              <w:rPr>
                <w:sz w:val="20"/>
                <w:szCs w:val="20"/>
                <w:color w:val="auto"/>
              </w:rPr>
            </w:pPr>
            <w:r>
              <w:rPr>
                <w:rFonts w:ascii="Arial" w:cs="Arial" w:eastAsia="Arial" w:hAnsi="Arial"/>
                <w:sz w:val="14"/>
                <w:szCs w:val="14"/>
                <w:i w:val="1"/>
                <w:iCs w:val="1"/>
                <w:color w:val="auto"/>
                <w:w w:val="92"/>
              </w:rPr>
              <w:t>(in thousands)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right"/>
              <w:ind w:right="42"/>
              <w:spacing w:after="0"/>
              <w:rPr>
                <w:sz w:val="20"/>
                <w:szCs w:val="20"/>
                <w:color w:val="auto"/>
              </w:rPr>
            </w:pPr>
            <w:r>
              <w:rPr>
                <w:rFonts w:ascii="Arial" w:cs="Arial" w:eastAsia="Arial" w:hAnsi="Arial"/>
                <w:sz w:val="18"/>
                <w:szCs w:val="18"/>
                <w:color w:val="auto"/>
              </w:rPr>
              <w:t>$  60,975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60,975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
              <w:spacing w:after="0"/>
              <w:rPr>
                <w:sz w:val="20"/>
                <w:szCs w:val="20"/>
                <w:color w:val="auto"/>
              </w:rPr>
            </w:pPr>
            <w:r>
              <w:rPr>
                <w:rFonts w:ascii="Arial" w:cs="Arial" w:eastAsia="Arial" w:hAnsi="Arial"/>
                <w:sz w:val="18"/>
                <w:szCs w:val="18"/>
                <w:color w:val="auto"/>
              </w:rPr>
              <w:t>83,065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83,065</w:t>
            </w:r>
          </w:p>
        </w:tc>
        <w:tc>
          <w:tcPr>
            <w:tcW w:w="0" w:type="dxa"/>
            <w:vAlign w:val="bottom"/>
          </w:tcPr>
          <w:p>
            <w:pPr>
              <w:spacing w:after="0"/>
              <w:rPr>
                <w:sz w:val="1"/>
                <w:szCs w:val="1"/>
                <w:color w:val="auto"/>
              </w:rPr>
            </w:pPr>
          </w:p>
        </w:tc>
      </w:tr>
      <w:tr>
        <w:trPr>
          <w:trHeight w:val="378"/>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80" w:type="dxa"/>
            <w:vAlign w:val="bottom"/>
          </w:tcPr>
          <w:p>
            <w:pPr>
              <w:jc w:val="right"/>
              <w:ind w:right="21"/>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9" w:lineRule="exact"/>
        <w:rPr>
          <w:sz w:val="20"/>
          <w:szCs w:val="20"/>
          <w:color w:val="auto"/>
        </w:rPr>
      </w:pPr>
    </w:p>
    <w:p>
      <w:pPr>
        <w:sectPr>
          <w:pgSz w:w="11900" w:h="16838" w:orient="portrait"/>
          <w:cols w:equalWidth="0" w:num="3">
            <w:col w:w="1840" w:space="720"/>
            <w:col w:w="3900" w:space="200"/>
            <w:col w:w="4760"/>
          </w:cols>
          <w:pgMar w:left="240" w:top="125"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Net Book</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0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Net Book</w:t>
            </w: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318"/>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80,828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25,751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77,160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24,226</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26,738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30,875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33,279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1,550</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1,800</w:t>
            </w:r>
          </w:p>
        </w:tc>
      </w:tr>
      <w:tr>
        <w:trPr>
          <w:trHeight w:val="237"/>
        </w:trPr>
        <w:tc>
          <w:tcPr>
            <w:tcW w:w="33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224,240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(166,281)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57,959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210,309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58,455</w:t>
            </w:r>
          </w:p>
        </w:tc>
      </w:tr>
      <w:tr>
        <w:trPr>
          <w:trHeight w:val="27"/>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During fiscal 2015, we recorded impairment charges of $4.3 million and $1.3 million related to long-lived assets of our U.S. Pawn and Mexico Pawn segments, respectively. These impairment charges were recorded under “Operations” expense in our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class of indefinite-lived intangible asset: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85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318"/>
        </w:trPr>
        <w:tc>
          <w:tcPr>
            <w:tcW w:w="8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r>
      <w:tr>
        <w:trPr>
          <w:trHeight w:val="256"/>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licenses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9,535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8,836</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4,000</w:t>
            </w:r>
          </w:p>
        </w:tc>
      </w:tr>
      <w:tr>
        <w:trPr>
          <w:trHeight w:val="27"/>
        </w:trPr>
        <w:tc>
          <w:tcPr>
            <w:tcW w:w="8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13,535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value of goodwill by segment, in addition to discontinued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Discontinued</w:t>
            </w:r>
          </w:p>
        </w:tc>
        <w:tc>
          <w:tcPr>
            <w:tcW w:w="180" w:type="dxa"/>
            <w:vAlign w:val="bottom"/>
          </w:tcPr>
          <w:p>
            <w:pPr>
              <w:spacing w:after="0"/>
              <w:rPr>
                <w:sz w:val="14"/>
                <w:szCs w:val="14"/>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Mexico Pawn</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Including Held for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0"/>
              </w:rPr>
              <w:t>Sale</w:t>
            </w:r>
          </w:p>
        </w:tc>
        <w:tc>
          <w:tcPr>
            <w:tcW w:w="0" w:type="dxa"/>
            <w:vAlign w:val="bottom"/>
          </w:tcPr>
          <w:p>
            <w:pPr>
              <w:spacing w:after="0"/>
              <w:rPr>
                <w:sz w:val="1"/>
                <w:szCs w:val="1"/>
                <w:color w:val="auto"/>
              </w:rPr>
            </w:pPr>
          </w:p>
        </w:tc>
      </w:tr>
      <w:tr>
        <w:trPr>
          <w:trHeight w:val="318"/>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ind w:left="70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244,330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330,779</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(73,244)</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247,538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253,976</w:t>
            </w:r>
          </w:p>
        </w:tc>
        <w:tc>
          <w:tcPr>
            <w:tcW w:w="0" w:type="dxa"/>
            <w:vAlign w:val="bottom"/>
          </w:tcPr>
          <w:p>
            <w:pPr>
              <w:spacing w:after="0"/>
              <w:rPr>
                <w:sz w:val="1"/>
                <w:szCs w:val="1"/>
                <w:color w:val="auto"/>
              </w:rPr>
            </w:pPr>
          </w:p>
        </w:tc>
      </w:tr>
      <w:tr>
        <w:trPr>
          <w:trHeight w:val="237"/>
        </w:trPr>
        <w:tc>
          <w:tcPr>
            <w:tcW w:w="582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Balances as of September 30, 2017</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247,894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254,760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2017, we acquired certain assets of two pawn stores in Central Texas and one pawn store in Las Vegas, Nevada and recorded $0.4 million in goodwill. On February 1, 2016, we acquired six pawn stores in the Houston, Texas area doing business under the "Pawn One" brand and recorded $3.2 million in goodwill. These acquisitions were made as part of our continuing strategy to enhance our earnings over the long-term. The factors contributing to the recognition of goodwill were based on several strategic and synergistic benefits we expect to realize from the acquisitions. These benefits include a greater presence in the Central Texas and Las Vegas markets, as well as the ability to further leverage our expense structure through increased scale. Goodwill from these acquisitions was recorded in the U.S. Pawn segment. We expect substantially all goodwill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attributable to the fiscal 2017 acquisitions will be deductible and none of the goodwill attributable to the “Pawn One” acquisition will be deductible for tax purposes. See Note 2 for additional information regarding these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gross carrying amount and accumulated amortization for each major class of definite-lived intangible asset: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Amount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Net Book Value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Net Book Value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finders’ fees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Internally developed software</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29,741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17,144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36,548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18,885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31,257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test goodwill and intangible assets with an indefinite useful life for potential impairment annually, or more frequently when there are events or circumstances that indicate that it is more likely than not that an impairment exists. During the fourth quarter of fiscal 2017, we performed our required annual impairment test for all reporting units utilizing the income approach. The income approach uses future cash flows and estimated terminal values (discounted using a market participant perspective) to determine the fair value of each intangible asset. We performed a quantitative analysis and determined that the fair value of each of our reporting units exceeded their carrying value. As of September 30, 2017, the calculated fair value of the U.S. Pawn and Mexico Pawn reporting units exceeded their carrying values by approximately 18% and 95%, respectively.</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second quarter of fiscal 2016, we recorded an impairment of $73.2 million included under "Loss from discontinued operations, net of tax" in our consolidated statements of operations, the entire amount of the goodwill associated with our previous Grupo Finmart reporting unit. During the fourth quarter of fiscal 2015, we recorded an impairment of $1.7 million included under “Operations” expense in our consolidated statements of operations, the entire amount of the goodwill associated with our previous TUYO reporting unit. During the third quarter of fiscal 2015, we recorded an impairment of $10.6 million, included under "Loss from discontinued operations, net of tax" in our consolidated statements of operations, the entire amount of the goodwill associated with our previous USFS reporting unit. In the fourth quarter of fiscal 2015, we recorded a $3.7 million impairment of internally developed software, included under corporate “Administrative” expenses in our consolidated statements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Definite-Lived Intangibles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amortization of most definite-lived intangible assets is recorded as amortization expense. The favorable lease asset and other intangibles are amortized to operations expense over the related lease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and classification of amortization recognized as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34"/>
              <w:spacing w:after="0"/>
              <w:rPr>
                <w:sz w:val="20"/>
                <w:szCs w:val="20"/>
                <w:color w:val="auto"/>
              </w:rPr>
            </w:pPr>
            <w:r>
              <w:rPr>
                <w:rFonts w:ascii="Arial" w:cs="Arial" w:eastAsia="Arial" w:hAnsi="Arial"/>
                <w:sz w:val="14"/>
                <w:szCs w:val="14"/>
                <w:b w:val="1"/>
                <w:bCs w:val="1"/>
                <w:color w:val="auto"/>
                <w:w w:val="92"/>
              </w:rPr>
              <w:t>Fiscal Year Ended September 30,</w:t>
            </w:r>
          </w:p>
        </w:tc>
        <w:tc>
          <w:tcPr>
            <w:tcW w:w="0" w:type="dxa"/>
            <w:vAlign w:val="bottom"/>
          </w:tcPr>
          <w:p>
            <w:pPr>
              <w:spacing w:after="0"/>
              <w:rPr>
                <w:sz w:val="1"/>
                <w:szCs w:val="1"/>
                <w:color w:val="auto"/>
              </w:rPr>
            </w:pPr>
          </w:p>
        </w:tc>
      </w:tr>
      <w:tr>
        <w:trPr>
          <w:trHeight w:val="264"/>
        </w:trPr>
        <w:tc>
          <w:tcPr>
            <w:tcW w:w="4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8"/>
        </w:trPr>
        <w:tc>
          <w:tcPr>
            <w:tcW w:w="4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in continuing operations</w:t>
            </w:r>
          </w:p>
        </w:tc>
        <w:tc>
          <w:tcPr>
            <w:tcW w:w="37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Amortization expense in discontinued operations</w:t>
            </w:r>
          </w:p>
        </w:tc>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3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6,884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520" w:type="dxa"/>
            <w:vAlign w:val="bottom"/>
            <w:vMerge w:val="restart"/>
          </w:tcPr>
          <w:p>
            <w:pPr>
              <w:jc w:val="right"/>
              <w:ind w:right="2230"/>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6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 of future amortization expense for definite-lived intangible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8"/>
              </w:rPr>
              <w:t>Amortization expense</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Operations expense</w:t>
            </w:r>
          </w:p>
        </w:tc>
      </w:tr>
      <w:tr>
        <w:trPr>
          <w:trHeight w:val="38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82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long-term debt instruments outstanding as well as future principal payments due: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September 30, 2017</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September 30, 2016</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60" w:type="dxa"/>
            <w:vAlign w:val="bottom"/>
          </w:tcPr>
          <w:p>
            <w:pPr>
              <w:spacing w:after="0"/>
              <w:rPr>
                <w:sz w:val="13"/>
                <w:szCs w:val="13"/>
                <w:color w:val="auto"/>
              </w:rPr>
            </w:pPr>
          </w:p>
        </w:tc>
        <w:tc>
          <w:tcPr>
            <w:tcW w:w="8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Gross 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Gross 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85"/>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4"/>
          </w:tcPr>
          <w:p>
            <w:pPr>
              <w:jc w:val="right"/>
              <w:ind w:right="633"/>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2.125% Cash Convertible Senior Notes Due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177,346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197,954</w:t>
            </w:r>
          </w:p>
        </w:tc>
        <w:tc>
          <w:tcPr>
            <w:tcW w:w="0" w:type="dxa"/>
            <w:vAlign w:val="bottom"/>
          </w:tcPr>
          <w:p>
            <w:pPr>
              <w:spacing w:after="0"/>
              <w:rPr>
                <w:sz w:val="1"/>
                <w:szCs w:val="1"/>
                <w:color w:val="auto"/>
              </w:rPr>
            </w:pPr>
          </w:p>
        </w:tc>
      </w:tr>
      <w:tr>
        <w:trPr>
          <w:trHeight w:val="229"/>
        </w:trPr>
        <w:tc>
          <w:tcPr>
            <w:tcW w:w="4460" w:type="dxa"/>
            <w:vAlign w:val="bottom"/>
          </w:tcPr>
          <w:p>
            <w:pPr>
              <w:ind w:left="280"/>
              <w:spacing w:after="0"/>
              <w:rPr>
                <w:sz w:val="20"/>
                <w:szCs w:val="20"/>
                <w:color w:val="auto"/>
              </w:rPr>
            </w:pPr>
            <w:r>
              <w:rPr>
                <w:rFonts w:ascii="Arial" w:cs="Arial" w:eastAsia="Arial" w:hAnsi="Arial"/>
                <w:sz w:val="18"/>
                <w:szCs w:val="18"/>
                <w:color w:val="auto"/>
                <w:w w:val="98"/>
              </w:rPr>
              <w:t>Cash Convertible Senior Notes Due 2019 embedded</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80"/>
              <w:spacing w:after="0"/>
              <w:rPr>
                <w:sz w:val="20"/>
                <w:szCs w:val="20"/>
                <w:color w:val="auto"/>
              </w:rPr>
            </w:pPr>
            <w:r>
              <w:rPr>
                <w:rFonts w:ascii="Arial" w:cs="Arial" w:eastAsia="Arial" w:hAnsi="Arial"/>
                <w:sz w:val="18"/>
                <w:szCs w:val="18"/>
                <w:color w:val="auto"/>
              </w:rPr>
              <w:t>derivative</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6,591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37,692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2.875% Convertible Senior Notes Due 2024</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100,870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Term Loan Facility</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47,965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345,341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284,807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317,692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283,611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414"/>
              <w:spacing w:after="0"/>
              <w:rPr>
                <w:sz w:val="20"/>
                <w:szCs w:val="20"/>
                <w:color w:val="auto"/>
              </w:rPr>
            </w:pPr>
            <w:r>
              <w:rPr>
                <w:rFonts w:ascii="Arial" w:cs="Arial" w:eastAsia="Arial" w:hAnsi="Arial"/>
                <w:sz w:val="14"/>
                <w:szCs w:val="14"/>
                <w:b w:val="1"/>
                <w:bCs w:val="1"/>
                <w:color w:val="auto"/>
                <w:w w:val="92"/>
              </w:rPr>
              <w:t>Principal Payment Schedule</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6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Less Than 1 Year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3 - 5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More Than 5 Years</w:t>
            </w:r>
          </w:p>
        </w:tc>
      </w:tr>
      <w:tr>
        <w:trPr>
          <w:trHeight w:val="385"/>
        </w:trPr>
        <w:tc>
          <w:tcPr>
            <w:tcW w:w="6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2.125%</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Convertible Senior Notes Due 2019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195,000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195,000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jc w:val="right"/>
              <w:spacing w:after="0"/>
              <w:rPr>
                <w:sz w:val="20"/>
                <w:szCs w:val="20"/>
                <w:color w:val="auto"/>
              </w:rPr>
            </w:pPr>
            <w:r>
              <w:rPr>
                <w:rFonts w:ascii="Arial" w:cs="Arial" w:eastAsia="Arial" w:hAnsi="Arial"/>
                <w:sz w:val="18"/>
                <w:szCs w:val="18"/>
                <w:color w:val="auto"/>
                <w:w w:val="94"/>
              </w:rPr>
              <w:t>2.875%</w:t>
            </w:r>
          </w:p>
        </w:tc>
        <w:tc>
          <w:tcPr>
            <w:tcW w:w="4080" w:type="dxa"/>
            <w:vAlign w:val="bottom"/>
          </w:tcPr>
          <w:p>
            <w:pPr>
              <w:ind w:left="20"/>
              <w:spacing w:after="0"/>
              <w:rPr>
                <w:sz w:val="20"/>
                <w:szCs w:val="20"/>
                <w:color w:val="auto"/>
              </w:rPr>
            </w:pPr>
            <w:r>
              <w:rPr>
                <w:rFonts w:ascii="Arial" w:cs="Arial" w:eastAsia="Arial" w:hAnsi="Arial"/>
                <w:sz w:val="18"/>
                <w:szCs w:val="18"/>
                <w:color w:val="auto"/>
              </w:rPr>
              <w:t>Convertible Senior Notes Due 2024 (a)</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143,750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143,750</w:t>
            </w:r>
          </w:p>
        </w:tc>
      </w:tr>
      <w:tr>
        <w:trPr>
          <w:trHeight w:val="27"/>
        </w:trPr>
        <w:tc>
          <w:tcPr>
            <w:tcW w:w="6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2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338,750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195,000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143,750</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Excludes the potential impact of the embedded derivative.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2.875% Convertible Senior Notes Due 2024</w:t>
      </w:r>
    </w:p>
    <w:p>
      <w:pPr>
        <w:spacing w:after="0" w:line="3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All of the 2024 Convertible Notes were issued pursuant to an indenture dated July 5, 2017 (the "2017 Indenture") by and between us and Wells Fargo Bank, National Association, as the trustee. The 2024 Convertible Notes were issued in a private offering under Rule 144A under the Securities Act of 1933. The 2024 Convertible Notes pay interest semi-annually in arrears at a rate of 2.875% per annum on January 1 and July 1 of each year, commencing January 1, 2018, and will mature on July 1, 2024 (the "2024 Maturity Date"), unless converted, redeemed or repurchased in accordance with their terms prior to such date. At maturity, the holders of the 2024 Convertible Notes will be entitled to receive cash equal to the principal amount of the 2024 Convertible Notes plus unpaid accrued interest.</w:t>
      </w:r>
    </w:p>
    <w:p>
      <w:pPr>
        <w:spacing w:after="0" w:line="13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2024 Convertible Notes are convertible into cash or shares of Class A Common Stock, or any combination thereof, at our option subject to satisfaction of certain conditions and during the periods described below, based on an initial conversion rate of 100 shares of Class A Common Stock per $1,000 principal amount of 2024 Convertible Notes (equivalent to an initial conversion price of $10.00 per share of our Class A Common Stock). The conversion rate will not be adjusted for any accrued and unpaid interest. The 2024 Convertible Notes contain certain make-whole fundamental change premiums and customary anti-dilution adjustments. We account for the Class A Common Stock issuable upon conversion under the treasury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method. To the extent our share priced increases over $10.00 per share, we are required to recognize incremental dilution of our earnings per share.</w:t>
      </w:r>
    </w:p>
    <w:p>
      <w:pPr>
        <w:spacing w:after="0" w:line="18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not redeem the 2024 Convertible Notes prior to July 6, 2021. 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the Company provides notice of redemption. The redemption price will be equal to 100% of the principal amount of the 2024 Convertible Notes to be redeemed, plus accrued and unpaid interest to, but excluding, the redemption date.</w:t>
      </w:r>
    </w:p>
    <w:p>
      <w:pPr>
        <w:spacing w:after="0" w:line="13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measured the fair value of the liability component of the 2024 Convertible Notes under a discounted cash flow approach considering our synthetic credit rating, as determined with external consultation, including inputs that are not observable in the market. The fair value of the liability component was estimated by calculating the present value of the cash flows using discount rates slightly above 8% for a similarly structured liability with no conversion feature, maturing in seven years. Our estimate resulted in an initial carrying value of the liability component of the 2024 Convertible Notes of $102.7 million with an associated original issue discount of $41.0 million, exclusive of deferred financing costs, accreted to the face value of the 2024 Convertible Notes based on the effective interest method through the 2024 Maturity Date.</w:t>
      </w:r>
    </w:p>
    <w:p>
      <w:pPr>
        <w:spacing w:after="0" w:line="1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accounted for the conversion feature of the 2024 Convertible Notes as a separate equity-classified instrument (the “2024 Convertible Notes Embedded Derivative”), initially recorded as $39.8 million ($25.3 million, net of tax), inclusive of deferred financing costs, on the issuance date and included under “Additional paid-in capital” in our consolidated balance sheet, including an allocated portion of the deferred financing costs. The 2024 Convertible Notes Embedded Derivative is expected to remain recorded in equity in our consolidated balance sheets as long as it continues to meet the criteria as an equity-classified instrument in subsequent reporting periods. The carrying amount of the 2024 Convertible Notes Embedded Derivative included under “Additional paid-in capital” in our consolidated balance sheet of September 30, 2017 was $25.3 million.</w:t>
      </w:r>
    </w:p>
    <w:p>
      <w:pPr>
        <w:spacing w:after="0" w:line="12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252525"/>
        </w:rPr>
        <w:t>We incurred transaction costs of $4.2 million related to the issuance of the 2024 Convertible Notes, which we recorded as deferred financing costs and are included under “Long-term debt, net” and “Additional paid-in capital” in our consolidated balance sheets. Deferred financing costs recorded under “Long-term debt, net” are being amortized to interest expense over the expected term of the 2024 Convertible Notes.</w:t>
      </w:r>
    </w:p>
    <w:p>
      <w:pPr>
        <w:spacing w:after="0" w:line="1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252525"/>
        </w:rPr>
        <w:t xml:space="preserve">Total interest expense pertaining to the 2024 Convertible Notes for fiscal 2017 was $2.1 million, comprised of contractual interest expense and amortization of $1.0 million and $1.1 million, respectively. The effective interest rate for fiscal 2017 was approximately </w:t>
      </w:r>
      <w:r>
        <w:rPr>
          <w:rFonts w:ascii="Arial" w:cs="Arial" w:eastAsia="Arial" w:hAnsi="Arial"/>
          <w:sz w:val="17"/>
          <w:szCs w:val="17"/>
          <w:color w:val="000000"/>
        </w:rPr>
        <w:t>8%</w:t>
      </w:r>
      <w:r>
        <w:rPr>
          <w:rFonts w:ascii="Arial" w:cs="Arial" w:eastAsia="Arial" w:hAnsi="Arial"/>
          <w:sz w:val="17"/>
          <w:szCs w:val="17"/>
          <w:color w:val="252525"/>
        </w:rPr>
        <w:t xml:space="preserve">. </w:t>
      </w:r>
      <w:r>
        <w:rPr>
          <w:rFonts w:ascii="Arial" w:cs="Arial" w:eastAsia="Arial" w:hAnsi="Arial"/>
          <w:sz w:val="17"/>
          <w:szCs w:val="17"/>
          <w:color w:val="000000"/>
        </w:rPr>
        <w:t>As of September 30, 2017, the remaining</w:t>
      </w:r>
      <w:r>
        <w:rPr>
          <w:rFonts w:ascii="Arial" w:cs="Arial" w:eastAsia="Arial" w:hAnsi="Arial"/>
          <w:sz w:val="17"/>
          <w:szCs w:val="17"/>
          <w:color w:val="252525"/>
        </w:rPr>
        <w:t xml:space="preserve"> </w:t>
      </w:r>
      <w:r>
        <w:rPr>
          <w:rFonts w:ascii="Arial" w:cs="Arial" w:eastAsia="Arial" w:hAnsi="Arial"/>
          <w:sz w:val="17"/>
          <w:szCs w:val="17"/>
          <w:color w:val="000000"/>
        </w:rPr>
        <w:t>unamortized issuance discount and financing costs will be amortized over the next seven years assuming no early conversion.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2017, the 2024 Convertible Notes were not convertible as no conditions of conversion had been met. Accordingly, the net balance of the 2024 Convertible Notes was classified as a non-current liability in our consolidated balance sheets as of September 30, 2017. The classification of the 2024 Convertible Notes as current or non-current in the consolidated balance sheets is evaluated at each balance sheet date and may change from time to time depending on whether any of the conversion conditions has been met.</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one of the conversion conditions is met in any future fiscal quarter, we will classify our net liability under the 2024 Convertible Notes as a current liability in the consolidated balance sheets as of the end of that fiscal quarter. If none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conversion conditions have been met in a future fiscal quarter prior to the one-year period immediately preceding the 2024 Maturity Date, we will classify our net liability under the 2024 Convertible Notes as a non-current liability in the consolidated balance sheets as of the end of that fiscal quarter. If the note holders elect to convert their 2024 Convertible Notes prior to maturity, any unamortized discount and transaction costs will be recognized as expense at the time of conversion. If the entire outstanding principal amount had been converted on September 30, 2017, we would have recorded an expense associated with the conversion, comprised of $42.9 million of unamortized debt discount and issuance costs. As of September 30, 2017, none of the note holders had elected to convert their 2024 Convertible Notes.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Term Loan Facility up to $100 Million</w:t>
      </w:r>
    </w:p>
    <w:p>
      <w:pPr>
        <w:spacing w:after="0" w:line="3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 September 12, 2016, we and certain of our subsidiaries (as guarantors) entered into a financing agreement with certain lenders and Fortress Credit Co LLC (as collateral and administrative agent) that provided us with a senior secured credit facility in an aggregate principal amount of $100 million, subject to various terms and conditions contained in the financing agreement. The credit facility (the “Term Loan Facility”) consisted of an initial term loan of $50 million that was drawn on September 12, 2016 and a delayed draw term loan of up to $50 million. Borrowings under the facility bore interest at an annual rate initially equal to the London Interbank Offered Rate (“LIBOR”) plus 7.5%, and we paid a monthly fee of 2.75% per annum on the average daily unused portion of the delayed draw term loan facility and a quarterly loan servicing fee of $15,000. </w:t>
      </w:r>
      <w:r>
        <w:rPr>
          <w:rFonts w:ascii="Arial" w:cs="Arial" w:eastAsia="Arial" w:hAnsi="Arial"/>
          <w:sz w:val="18"/>
          <w:szCs w:val="18"/>
          <w:color w:val="252525"/>
        </w:rPr>
        <w:t>Total interest expense pertaining to the Term Loan Facility for</w:t>
      </w:r>
      <w:r>
        <w:rPr>
          <w:rFonts w:ascii="Arial" w:cs="Arial" w:eastAsia="Arial" w:hAnsi="Arial"/>
          <w:sz w:val="18"/>
          <w:szCs w:val="18"/>
          <w:color w:val="auto"/>
        </w:rPr>
        <w:t xml:space="preserve"> </w:t>
      </w:r>
      <w:r>
        <w:rPr>
          <w:rFonts w:ascii="Arial" w:cs="Arial" w:eastAsia="Arial" w:hAnsi="Arial"/>
          <w:sz w:val="18"/>
          <w:szCs w:val="18"/>
          <w:color w:val="252525"/>
        </w:rPr>
        <w:t>fiscal 2017, exclusive of extinguishment charges, was $4.7 million, comprised of contractual interest expense and amortization of $4.3 million and $0.4 million,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 Term Loan Facility was fully repaid and terminated July 2017, as discussed below under “Extinguishment of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252525"/>
        </w:rPr>
        <w:t xml:space="preserve">In June 2014, we issued $200 million aggregate principal amount of 2.125% Cash Convertible Senior Notes Due 2019 (the “2019 Convertible Notes”), with </w:t>
      </w:r>
      <w:r>
        <w:rPr>
          <w:rFonts w:ascii="Arial" w:cs="Arial" w:eastAsia="Arial" w:hAnsi="Arial"/>
          <w:sz w:val="16"/>
          <w:szCs w:val="16"/>
          <w:color w:val="000000"/>
        </w:rPr>
        <w:t xml:space="preserve">an additional $30 million principal amount being issued in July 2014. All of the 2019 Convertible Notes were issued </w:t>
      </w:r>
      <w:r>
        <w:rPr>
          <w:rFonts w:ascii="Arial" w:cs="Arial" w:eastAsia="Arial" w:hAnsi="Arial"/>
          <w:sz w:val="16"/>
          <w:szCs w:val="16"/>
          <w:color w:val="252525"/>
        </w:rPr>
        <w:t>pursuant to an indenture dated June 23,</w:t>
      </w:r>
      <w:r>
        <w:rPr>
          <w:rFonts w:ascii="Arial" w:cs="Arial" w:eastAsia="Arial" w:hAnsi="Arial"/>
          <w:sz w:val="16"/>
          <w:szCs w:val="16"/>
          <w:color w:val="000000"/>
        </w:rPr>
        <w:t xml:space="preserve"> </w:t>
      </w:r>
      <w:r>
        <w:rPr>
          <w:rFonts w:ascii="Arial" w:cs="Arial" w:eastAsia="Arial" w:hAnsi="Arial"/>
          <w:sz w:val="16"/>
          <w:szCs w:val="16"/>
          <w:color w:val="252525"/>
        </w:rPr>
        <w:t xml:space="preserve">2014 (the "2014 Indenture") by and between EZCORP and Wells Fargo Bank, National Association, as the trustee. The 2019 Convertible Notes were issued in a private offering </w:t>
      </w:r>
      <w:r>
        <w:rPr>
          <w:rFonts w:ascii="Arial" w:cs="Arial" w:eastAsia="Arial" w:hAnsi="Arial"/>
          <w:sz w:val="16"/>
          <w:szCs w:val="16"/>
          <w:color w:val="000000"/>
        </w:rPr>
        <w:t>and resold under Rule 144A under the Securities Act of 1933.</w:t>
      </w:r>
      <w:r>
        <w:rPr>
          <w:rFonts w:ascii="Arial" w:cs="Arial" w:eastAsia="Arial" w:hAnsi="Arial"/>
          <w:sz w:val="16"/>
          <w:szCs w:val="16"/>
          <w:color w:val="252525"/>
        </w:rPr>
        <w:t xml:space="preserve"> The 2019 Convertible Notes pay interest semi-annually in arrears at a rate of 2.125% per annum on June 15 and December 15 of each year and mature on June 15, 2019 (the "2019 Maturity Date").</w:t>
      </w:r>
    </w:p>
    <w:p>
      <w:pPr>
        <w:spacing w:after="0" w:line="10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252525"/>
        </w:rPr>
        <w:t>Prior to December 15, 2018, the 2019 Convertible Notes will be convertible only upon the occurrence of certain events and during certain periods, and thereafter, at any time prior to the close of business on the second scheduled trading day immediately preceding the 2019 Maturity Date. At maturity, the holders of the 2019 Convertible Notes will be entitled to receive cash equal to the principal amount of the 2019 Convertible Notes plus unpaid accrued interest.</w:t>
      </w:r>
    </w:p>
    <w:p>
      <w:pPr>
        <w:spacing w:after="0" w:line="13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252525"/>
        </w:rPr>
        <w:t xml:space="preserve">The 2019 Convertible Notes are unsubordinated unsecured obligations and rank senior in right of payment to any of our indebtedness that is expressly subordinated in right of payment to the 2019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2014 Indenture governing the 2019 Cash</w:t>
      </w:r>
      <w:r>
        <w:rPr>
          <w:rFonts w:ascii="Arial" w:cs="Arial" w:eastAsia="Arial" w:hAnsi="Arial"/>
          <w:sz w:val="18"/>
          <w:szCs w:val="18"/>
          <w:color w:val="252525"/>
        </w:rPr>
        <w:t xml:space="preserve"> </w:t>
      </w:r>
      <w:r>
        <w:rPr>
          <w:rFonts w:ascii="Arial" w:cs="Arial" w:eastAsia="Arial" w:hAnsi="Arial"/>
          <w:sz w:val="18"/>
          <w:szCs w:val="18"/>
          <w:color w:val="000000"/>
        </w:rPr>
        <w:t>Convertible Notes does not contain any financial covenants.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terms of the 2019 Convertible Notes, payment of dividends requires a conversion rate adjustment equal to the conversion rate in effect immediately prior to the open of business on the ex-dividend date for such dividend multiplied by the last reported sale price of the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52525"/>
        </w:rPr>
        <w:t xml:space="preserve">Total interest expense pertaining to the 2019 Convertible Notes for fiscal 2017, 2016 and 2015, exclusive of extinguishment charges, was $15.5 million, $15.5 million and $14.1 million, respectively, comprised of contractual interest expense and amortization of $4.7 million and $10.8 million, respectively for fiscal 2017, $4.9 million and $10.6 million, respectively for fiscal 2016, and $4.9 million and $9.2 million, respectively for fiscal 2015. The effective interest rate was approximately 8%. </w:t>
      </w:r>
      <w:r>
        <w:rPr>
          <w:rFonts w:ascii="Arial" w:cs="Arial" w:eastAsia="Arial" w:hAnsi="Arial"/>
          <w:sz w:val="18"/>
          <w:szCs w:val="18"/>
          <w:color w:val="000000"/>
        </w:rPr>
        <w:t>As of September 30, 2017, the remaining unamortized issuance discount and financing costs will be amortized over the next two</w:t>
      </w:r>
      <w:r>
        <w:rPr>
          <w:rFonts w:ascii="Arial" w:cs="Arial" w:eastAsia="Arial" w:hAnsi="Arial"/>
          <w:sz w:val="18"/>
          <w:szCs w:val="18"/>
          <w:color w:val="252525"/>
        </w:rPr>
        <w:t xml:space="preserve"> </w:t>
      </w:r>
      <w:r>
        <w:rPr>
          <w:rFonts w:ascii="Arial" w:cs="Arial" w:eastAsia="Arial" w:hAnsi="Arial"/>
          <w:sz w:val="18"/>
          <w:szCs w:val="18"/>
          <w:color w:val="000000"/>
        </w:rPr>
        <w:t>years assuming no early conversion.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2019 Convertible Notes were repurchased and retired in July 2017, as discussed below under “Extinguishment of Debt.”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Embedded Derivative</w:t>
      </w:r>
    </w:p>
    <w:p>
      <w:pPr>
        <w:spacing w:after="0" w:line="17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We account for the cash conversion feature of the 2019 Convertible Notes as a separate derivative instrument (the “2019 </w:t>
      </w:r>
      <w:r>
        <w:rPr>
          <w:rFonts w:ascii="Arial" w:cs="Arial" w:eastAsia="Arial" w:hAnsi="Arial"/>
          <w:sz w:val="18"/>
          <w:szCs w:val="18"/>
          <w:color w:val="252525"/>
        </w:rPr>
        <w:t>Convertible Notes Embedded</w:t>
      </w:r>
      <w:r>
        <w:rPr>
          <w:rFonts w:ascii="Arial" w:cs="Arial" w:eastAsia="Arial" w:hAnsi="Arial"/>
          <w:sz w:val="18"/>
          <w:szCs w:val="18"/>
          <w:color w:val="auto"/>
        </w:rPr>
        <w:t xml:space="preserve"> </w:t>
      </w:r>
      <w:r>
        <w:rPr>
          <w:rFonts w:ascii="Arial" w:cs="Arial" w:eastAsia="Arial" w:hAnsi="Arial"/>
          <w:sz w:val="18"/>
          <w:szCs w:val="18"/>
          <w:color w:val="252525"/>
        </w:rPr>
        <w:t>Derivative</w:t>
      </w:r>
      <w:r>
        <w:rPr>
          <w:rFonts w:ascii="Arial" w:cs="Arial" w:eastAsia="Arial" w:hAnsi="Arial"/>
          <w:sz w:val="18"/>
          <w:szCs w:val="18"/>
          <w:color w:val="000000"/>
        </w:rPr>
        <w:t>”), which had a fair value of $46.5 million at the time of original issuance that was recognized as the original issue discount of the 2019</w:t>
      </w:r>
      <w:r>
        <w:rPr>
          <w:rFonts w:ascii="Arial" w:cs="Arial" w:eastAsia="Arial" w:hAnsi="Arial"/>
          <w:sz w:val="18"/>
          <w:szCs w:val="18"/>
          <w:color w:val="252525"/>
        </w:rPr>
        <w:t xml:space="preserve"> </w:t>
      </w:r>
      <w:r>
        <w:rPr>
          <w:rFonts w:ascii="Arial" w:cs="Arial" w:eastAsia="Arial" w:hAnsi="Arial"/>
          <w:sz w:val="18"/>
          <w:szCs w:val="18"/>
          <w:color w:val="000000"/>
        </w:rPr>
        <w:t>Convertible Notes. This original issue discount is amortized to interest expense over the term of the 2019 Convertible Notes using the effective interest method. As of September 30, 2017, the 2019 Convertible Notes Embedded Derivative is recorded as a non-current liability under “Long-term debt, less current maturities” in our consolidated balance sheets, and will be marked to market in subsequent reporting periods. The classification of the 2019 Convertible Notes Embedded Derivative liability as current or non-current on the consolidated balance sheets corresponds with the classification of the net balance of the 2019 Convertible Notes as discussed below.</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2019 Convertible Notes are convertible into cash, subject to satisfaction of certain conditions and during the periods described below, based on an initial “Conversion Rate” of 62.2471 shares of Class A Common Stock per $1,000 principal amount of 2019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2014 Indenture. The Conversion Rate will not be adjusted for any accrued and unpaid interest.</w:t>
      </w:r>
    </w:p>
    <w:p>
      <w:pPr>
        <w:spacing w:after="0" w:line="13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52525"/>
        </w:rPr>
        <w:t xml:space="preserve">Holders may surrender their 2019 Convertible Notes for conversion into cash prior to December 15, 2018 only under the following circumstances (the “Early Conversion Conditions”): </w:t>
      </w:r>
      <w:r>
        <w:rPr>
          <w:rFonts w:ascii="Arial" w:cs="Arial" w:eastAsia="Arial" w:hAnsi="Arial"/>
          <w:sz w:val="16"/>
          <w:szCs w:val="16"/>
          <w:color w:val="000000"/>
        </w:rPr>
        <w:t>(1) during any fiscal quarter commencing after the fiscal quarter ending on September 30, 2014 (and only during such fiscal</w:t>
      </w:r>
      <w:r>
        <w:rPr>
          <w:rFonts w:ascii="Arial" w:cs="Arial" w:eastAsia="Arial" w:hAnsi="Arial"/>
          <w:sz w:val="16"/>
          <w:szCs w:val="16"/>
          <w:color w:val="252525"/>
        </w:rPr>
        <w:t xml:space="preserve"> </w:t>
      </w:r>
      <w:r>
        <w:rPr>
          <w:rFonts w:ascii="Arial" w:cs="Arial" w:eastAsia="Arial" w:hAnsi="Arial"/>
          <w:sz w:val="16"/>
          <w:szCs w:val="16"/>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2014 Indenture. </w:t>
      </w:r>
      <w:r>
        <w:rPr>
          <w:rFonts w:ascii="Arial" w:cs="Arial" w:eastAsia="Arial" w:hAnsi="Arial"/>
          <w:sz w:val="16"/>
          <w:szCs w:val="16"/>
          <w:color w:val="252525"/>
        </w:rPr>
        <w:t>On or after December 15, 2018 until the close of business on the second scheduled trading day</w:t>
      </w:r>
      <w:r>
        <w:rPr>
          <w:rFonts w:ascii="Arial" w:cs="Arial" w:eastAsia="Arial" w:hAnsi="Arial"/>
          <w:sz w:val="16"/>
          <w:szCs w:val="16"/>
          <w:color w:val="000000"/>
        </w:rPr>
        <w:t xml:space="preserve"> </w:t>
      </w:r>
      <w:r>
        <w:rPr>
          <w:rFonts w:ascii="Arial" w:cs="Arial" w:eastAsia="Arial" w:hAnsi="Arial"/>
          <w:sz w:val="16"/>
          <w:szCs w:val="16"/>
          <w:color w:val="252525"/>
        </w:rPr>
        <w:t>immediately preceding the 2019 Maturity Date, holders may convert their notes into cash at any time, regardless of the foregoing circumstances.</w:t>
      </w:r>
    </w:p>
    <w:p>
      <w:pPr>
        <w:spacing w:after="0" w:line="113" w:lineRule="exact"/>
        <w:rPr>
          <w:sz w:val="20"/>
          <w:szCs w:val="20"/>
          <w:color w:val="auto"/>
        </w:rPr>
      </w:pPr>
    </w:p>
    <w:p>
      <w:pPr>
        <w:spacing w:after="0" w:line="302" w:lineRule="auto"/>
        <w:rPr>
          <w:sz w:val="20"/>
          <w:szCs w:val="20"/>
          <w:color w:val="auto"/>
        </w:rPr>
      </w:pPr>
      <w:r>
        <w:rPr>
          <w:rFonts w:ascii="Arial" w:cs="Arial" w:eastAsia="Arial" w:hAnsi="Arial"/>
          <w:sz w:val="16"/>
          <w:szCs w:val="16"/>
          <w:color w:val="252525"/>
        </w:rPr>
        <w:t xml:space="preserve">If a holder elects to convert its 2019 Convertible Notes in connection with certain make-whole fundamental changes, as that term is defined in the 2014 Indenture, that occur prior to the 2019 Maturity Date, we will, in certain circumstances, increase the Conversion Rate for 2019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6"/>
          <w:szCs w:val="16"/>
          <w:color w:val="000000"/>
        </w:rPr>
        <w:t>(for example, certain dividend distributions or tender or exchange offer of our Class A Common Stock).</w:t>
      </w:r>
    </w:p>
    <w:p>
      <w:pPr>
        <w:spacing w:after="0" w:line="10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252525"/>
        </w:rPr>
        <w:t>Upon the occurrence of a fundamental change, as defined in the 2014 Indenture, holders may require us to repurchase for cash all or any portion of the then outstanding 2019 Convertible Notes at a repurchase price equal to 100% of the principal amount of the notes to be repurchased, plus accrued and unpaid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As of September 30, 2017, the 2019 Convertible Notes were not convertible because the </w:t>
      </w:r>
      <w:r>
        <w:rPr>
          <w:rFonts w:ascii="Arial" w:cs="Arial" w:eastAsia="Arial" w:hAnsi="Arial"/>
          <w:sz w:val="17"/>
          <w:szCs w:val="17"/>
          <w:color w:val="252525"/>
        </w:rPr>
        <w:t>Early Conversion Conditions described above</w:t>
      </w:r>
      <w:r>
        <w:rPr>
          <w:rFonts w:ascii="Arial" w:cs="Arial" w:eastAsia="Arial" w:hAnsi="Arial"/>
          <w:sz w:val="17"/>
          <w:szCs w:val="17"/>
          <w:color w:val="auto"/>
        </w:rPr>
        <w:t xml:space="preserve"> have not been met. Accordingly, the net balance of the 2019 Convertible Notes was classified as a non-current liability in our consolidated balance sheets as of September 30, 2017. The classification of the 2019 Convertible Notes as current or non-current in the consolidated balance sheets is evaluated at each balance sheet date and may change from time to time depending on whether one of the Early Conversion Conditions has been met.</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If one of the Early Conversion Conditions is met in any future fiscal quarter, we will classify our net liability under the 2019 Convertible Notes as a current liability in the consolidated balance sheets as of the end of that fiscal quarter. If none of the Early Conversion Conditions have been met in a future fiscal quarter prior to the one-year period immediately preceding the 2019 Maturity Date, we will classify our net liability under the 2019 Convertible Notes as a non-current liability in the consolidated balance sheets as of the end of that fiscal quarter. If the note holders elect to convert their 2019 Convertible Notes prior to maturity, any unamortized discount and transaction costs will be recorded to expense at the time of conversion. If the entire outstanding principal amount had been converted on September 30, 2017, we would have recorded an expense associated with the conversion, comprised of $17.7 million of unamortized debt discount and debt issuance costs. As of September 30, 2017, none of the note holders had elected to convert their 2019 Convertible Notes.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2019 Convertible Notes, we purchased cash-settled call options (the “2019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2019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12.1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2019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Conversion Price of the 2019 Convertible Notes. The 2019 Convertible Notes Hedges have </w:t>
      </w:r>
      <w:r>
        <w:rPr>
          <w:rFonts w:ascii="Arial" w:cs="Arial" w:eastAsia="Arial" w:hAnsi="Arial"/>
          <w:sz w:val="16"/>
          <w:szCs w:val="16"/>
          <w:color w:val="252525"/>
        </w:rPr>
        <w:t>an expiration date that is the same as the 2019 Maturity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subject to earlier exercise</w:t>
      </w:r>
      <w:r>
        <w:rPr>
          <w:rFonts w:ascii="Arial" w:cs="Arial" w:eastAsia="Arial" w:hAnsi="Arial"/>
          <w:sz w:val="16"/>
          <w:szCs w:val="16"/>
          <w:color w:val="000000"/>
        </w:rPr>
        <w:t>. The 2019 Convertible Notes Hedges have customary anti-dilution provisions similar to the 2019 Convertible Notes.</w:t>
      </w:r>
      <w:r>
        <w:rPr>
          <w:rFonts w:ascii="Arial" w:cs="Arial" w:eastAsia="Arial" w:hAnsi="Arial"/>
          <w:sz w:val="16"/>
          <w:szCs w:val="16"/>
          <w:color w:val="252525"/>
        </w:rPr>
        <w:t xml:space="preserve"> If we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the 2019 </w:t>
      </w:r>
      <w:r>
        <w:rPr>
          <w:rFonts w:ascii="Arial" w:cs="Arial" w:eastAsia="Arial" w:hAnsi="Arial"/>
          <w:sz w:val="16"/>
          <w:szCs w:val="16"/>
          <w:color w:val="000000"/>
        </w:rPr>
        <w:t>Convertible Notes Hedges</w:t>
      </w:r>
      <w:r>
        <w:rPr>
          <w:rFonts w:ascii="Arial" w:cs="Arial" w:eastAsia="Arial" w:hAnsi="Arial"/>
          <w:sz w:val="16"/>
          <w:szCs w:val="16"/>
          <w:color w:val="252525"/>
        </w:rPr>
        <w:t>, the aggregate amount of cash we will receive from the Option Counterparties will cover the aggregate amount of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that we would be required to pay to the holders of the converted 2019 Convertible Notes, less the principal amount thereof. </w:t>
      </w:r>
      <w:r>
        <w:rPr>
          <w:rFonts w:ascii="Arial" w:cs="Arial" w:eastAsia="Arial" w:hAnsi="Arial"/>
          <w:sz w:val="16"/>
          <w:szCs w:val="16"/>
          <w:color w:val="000000"/>
        </w:rPr>
        <w:t>As of September 30, 2017,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not purchased any shares under the 2019 Convertible Notes Hedges.</w:t>
      </w:r>
    </w:p>
    <w:p>
      <w:pPr>
        <w:spacing w:after="0" w:line="15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aggregate cost of the 2019 Convertible Notes Hedges was $46.5 million (or $21.3 million net of the total proceeds from the 2019 Convertible Notes Warrants sold, as discussed below). The 2019 Convertible Notes Hedges are accounted for as a derivative asset and are recorded in the consolidated balance sheets at their estimated fair value in “Other assets, net.” The 2019 Convertible Notes Embedded Derivative liability and the 2019 Convertible Notes Hedges asset will be adjusted to fair value each reporting period and unrealized gains and losses will be reflected in the consolidated statements of operations. The 2019 Convertible Notes Embedded Derivative and the 2019 Convertible Notes Hedges are designed to have similar fair values. Accordingly, the changes in the fair values of these instruments are expected to offset and not have a net impact on the consolidated statements of operations.</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classification of the 2019 Convertible Notes Hedges asset as current or long-term on the consolidated balance sheet corresponds with the classification of the 2019 Convertible Notes, which is evaluated at each balance sheet date and may change from time to time depending on whether one of the Early Conversion Conditions has been met.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Warrants</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the issuance of the 2019 Convertible Notes, we also sold net-share-settled warrants (the “2019 Convertible Notes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2019 Convertible Notes Warrants have customary anti-dilution provisions similar to the 2019 Convertible Notes. As a result of the 2019 Convertible Notes Warrants, we will experience dilution to our diluted earnings per share if our average closing stock price exceeds $20.83 for any fiscal quarter. The 2019 Convertible Notes Warrants expire on various dates from September 2019 through February 2020 and must be settled in net shares of our Class A Common Stock. Therefore, upon expiration of the 2019 Convertible Notes Warrants, we will issue shares of Class A Common Stock to the purchasers of the 2019 Convertible Notes Warrants that represent the value by which the price of the Class A Common Stock exceeds the strike price stipulated within the particular warrant agreement. As of September 30, 2017, there were 12.1 million 2019 Convertible Notes Warrants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Extinguishment of Debt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July 2017, we used $51.6 million of net proceeds from the 2024 Convertible Notes offering to repay all outstanding borrowings under the Term Loan Facility and terminated that facility, including the undrawn delayed draw term loan commitment. The lenders have released all related security interests in our assets.</w:t>
      </w:r>
    </w:p>
    <w:p>
      <w:pPr>
        <w:spacing w:after="0" w:line="12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Also in July 2017, we used $34.4 million of net proceeds from the 2024 Convertible Notes offering to repurchase and retire $35.0 million aggregate principal amount of 2019 Convertible Notes. We unwound a portion of the 2019 Convertible Notes Hedges and 2019 Convertible Notes Warrants corresponding to the repurchased and retired 2019 Convertible Notes, and received $0.6 million in connection with the partial settlement of the 2019 Convertible Notes Hedges and paid $0.5 million in connection with the partial settlement of 2.2 million of the outstanding 2019 Convertible Notes Warrants.</w:t>
      </w:r>
    </w:p>
    <w:p>
      <w:pPr>
        <w:spacing w:after="0" w:line="10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recorded a one-time charge of $5.3 million in the fourth quarter of fiscal 2017 related to these transactions included under “Interest expense” in our consolidated statements of operations, including write-off of unamortized debt discount and issuance costs.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25"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COMPENSATION</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May 1, 2010 our Board of Directors approved the adoption of the EZCORP, Inc. 2010 Long-Term Incentive Plan (the “2010 Plan”). The 2010 Plan permits grants of options, restricted stock awards and stock appreciation rights covering up to 1,575,750 shares of our Class A Common Stock plus any shares that become available for issuance under either the 2010 Plan or prior plans as a result of forfeitures or cancellations of awards without delivery of shares or as a result of withholding shares to satisfy tax withholding obligations. In February 2015, March 2015, March 2016 and December 2016, the Board of Directors and the voting stockholder approved the addition of 643,673, 1,081,200, 185,026 and 500,000 shares, respectively, to the 2010 Plan.</w:t>
      </w:r>
    </w:p>
    <w:p>
      <w:pPr>
        <w:spacing w:after="0" w:line="10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November and December 2016 and April 2017 for fiscal 2017, we granted 931,260 restricted stock unit awards to employees and 72,500 restricted stock awards to non-employee directors, each with a grant date fair value of approximately $9.60 per share. Our long-term incentive awards are generally granted based on our share price as of October 1 each year, which was $11.06 for these fiscal 2017 awards. The awards granted to employees vest on September 30, 2019 subject to the achievement of certain performance targets. As of September 30, 2017, we considered the achievement of these performance targets to be probable. The awards granted to non-employee directors vest over two years, 50% on September 30, 2017 and 50% on September 30, 2018 and are subject only to service conditions.</w:t>
      </w:r>
    </w:p>
    <w:p>
      <w:pPr>
        <w:spacing w:after="0" w:line="13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March 2016 for fiscal 2016, we granted 961,718 restricted stock unit awards (exclusive of canceled and replaced awards discussed below) to employees which were allocated based on the October 1, 2015 price of $6.17 per share and 130,000 restricted stock awards to non-employee directors with a grant date fair value of $2.96 per share. The awards granted to employees vest on September 30, 2018 subject to the achievement of certain performance targets. As of September 30, 2017, we considered the achievement these performance targets with respect to 80% of the awards probable. The awards granted to non-employee directors vest over two years, 50% on September 30, 2016 and 50% on September 30, 2017.</w:t>
      </w:r>
    </w:p>
    <w:p>
      <w:pPr>
        <w:spacing w:after="0" w:line="11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March 2016 grant discussed above, we canceled 720,000 previously issued restricted stock awards that were subject to vesting based on certain stock price levels and had a grant date fair value of $3.4 million and replaced them with 421,394 performance-based restricted stock awards described above. The cancellation and replacement of these awards was treated as a modification with unrecognized compensation cost from the original awards of $1.5 million plus incremental compensation costs resulting from the modification of $0.8 million recognized over the new requisite service period through September 30, 2018.</w:t>
      </w:r>
    </w:p>
    <w:p>
      <w:pPr>
        <w:spacing w:after="0" w:line="13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As of September 30, 2017, the unamortized fair value, exclusive of forfeitures, of share awards to be amortized over their remaining vesting periods was approximately $7.5 million. The weighted-average period over which these costs will be amortized is approximately two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compensation costs related to our stock compensation arrangements: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154"/>
              <w:spacing w:after="0"/>
              <w:rPr>
                <w:sz w:val="20"/>
                <w:szCs w:val="20"/>
                <w:color w:val="auto"/>
              </w:rPr>
            </w:pPr>
            <w:r>
              <w:rPr>
                <w:rFonts w:ascii="Arial" w:cs="Arial" w:eastAsia="Arial" w:hAnsi="Arial"/>
                <w:sz w:val="14"/>
                <w:szCs w:val="14"/>
                <w:b w:val="1"/>
                <w:bCs w:val="1"/>
                <w:color w:val="auto"/>
                <w:w w:val="92"/>
              </w:rPr>
              <w:t>Fiscal Year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318"/>
        </w:trPr>
        <w:tc>
          <w:tcPr>
            <w:tcW w:w="5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costs</w:t>
            </w:r>
          </w:p>
        </w:tc>
        <w:tc>
          <w:tcPr>
            <w:tcW w:w="252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5,866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Income tax benefits on share-based compensation</w:t>
            </w:r>
          </w:p>
        </w:tc>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share-based compensation expense</w:t>
            </w:r>
          </w:p>
        </w:tc>
        <w:tc>
          <w:tcPr>
            <w:tcW w:w="25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8"/>
              </w:rPr>
              <w:t>5,025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The following table presents a summary of stock compensation activity:</w:t>
            </w:r>
          </w:p>
        </w:tc>
        <w:tc>
          <w:tcPr>
            <w:tcW w:w="1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288"/>
        </w:trPr>
        <w:tc>
          <w:tcPr>
            <w:tcW w:w="5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10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21"/>
        </w:trPr>
        <w:tc>
          <w:tcPr>
            <w:tcW w:w="54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2016</w:t>
            </w:r>
          </w:p>
        </w:tc>
        <w:tc>
          <w:tcPr>
            <w:tcW w:w="1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2,411,500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1,137,340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Released (a)</w:t>
            </w:r>
          </w:p>
        </w:tc>
        <w:tc>
          <w:tcPr>
            <w:tcW w:w="1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(768,282)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2017</w:t>
            </w:r>
          </w:p>
        </w:tc>
        <w:tc>
          <w:tcPr>
            <w:tcW w:w="16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2,413,783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660" w:type="dxa"/>
            <w:vAlign w:val="bottom"/>
            <w:vMerge w:val="restart"/>
          </w:tcPr>
          <w:p>
            <w:pPr>
              <w:jc w:val="right"/>
              <w:ind w:right="1190"/>
              <w:spacing w:after="0"/>
              <w:rPr>
                <w:sz w:val="20"/>
                <w:szCs w:val="20"/>
                <w:color w:val="auto"/>
              </w:rPr>
            </w:pPr>
            <w:r>
              <w:rPr>
                <w:rFonts w:ascii="Arial" w:cs="Arial" w:eastAsia="Arial" w:hAnsi="Arial"/>
                <w:sz w:val="18"/>
                <w:szCs w:val="18"/>
                <w:color w:val="auto"/>
              </w:rPr>
              <w:t>78</w:t>
            </w: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68,087 shares were withheld to satisfy related federal income tax withholding.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fair value of shares granted: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8"/>
              </w:rPr>
              <w:t>Fiscal Year Ended September 30,</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r>
      <w:tr>
        <w:trPr>
          <w:trHeight w:val="385"/>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gridSpan w:val="6"/>
          </w:tcPr>
          <w:p>
            <w:pPr>
              <w:jc w:val="right"/>
              <w:ind w:right="30"/>
              <w:spacing w:after="0"/>
              <w:rPr>
                <w:sz w:val="20"/>
                <w:szCs w:val="20"/>
                <w:color w:val="auto"/>
              </w:rPr>
            </w:pPr>
            <w:r>
              <w:rPr>
                <w:rFonts w:ascii="Arial" w:cs="Arial" w:eastAsia="Arial" w:hAnsi="Arial"/>
                <w:sz w:val="14"/>
                <w:szCs w:val="14"/>
                <w:i w:val="1"/>
                <w:iCs w:val="1"/>
                <w:color w:val="auto"/>
                <w:w w:val="95"/>
              </w:rPr>
              <w:t>(in millions except per share amounts)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grant-date fair value per share granted (a)</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grant date fair value of shares vested</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1"/>
                <w:szCs w:val="21"/>
                <w:color w:val="auto"/>
              </w:rPr>
            </w:pPr>
          </w:p>
        </w:tc>
      </w:tr>
    </w:tbl>
    <w:p>
      <w:pPr>
        <w:spacing w:after="0" w:line="116" w:lineRule="exact"/>
        <w:rPr>
          <w:sz w:val="20"/>
          <w:szCs w:val="20"/>
          <w:color w:val="auto"/>
        </w:rPr>
      </w:pPr>
    </w:p>
    <w:p>
      <w:pPr>
        <w:ind w:left="340" w:right="440" w:hanging="332"/>
        <w:spacing w:after="0" w:line="273" w:lineRule="auto"/>
        <w:tabs>
          <w:tab w:leader="none" w:pos="340" w:val="left"/>
        </w:tabs>
        <w:numPr>
          <w:ilvl w:val="0"/>
          <w:numId w:val="54"/>
        </w:numPr>
        <w:rPr>
          <w:rFonts w:ascii="Arial" w:cs="Arial" w:eastAsia="Arial" w:hAnsi="Arial"/>
          <w:sz w:val="14"/>
          <w:szCs w:val="14"/>
          <w:color w:val="252525"/>
        </w:rPr>
      </w:pPr>
      <w:r>
        <w:rPr>
          <w:rFonts w:ascii="Arial" w:cs="Arial" w:eastAsia="Arial" w:hAnsi="Arial"/>
          <w:sz w:val="14"/>
          <w:szCs w:val="14"/>
          <w:color w:val="auto"/>
        </w:rPr>
        <w:t>Awards with performance and time-based vesting provisions are generally valued based upon the underlying share price as of the issuance date. Awards with market-conditioned vesting provisions were valued using a Monte Carlo simulation model.</w:t>
      </w:r>
    </w:p>
    <w:p>
      <w:pPr>
        <w:spacing w:after="0" w:line="65" w:lineRule="exact"/>
        <w:rPr>
          <w:rFonts w:ascii="Arial" w:cs="Arial" w:eastAsia="Arial" w:hAnsi="Arial"/>
          <w:sz w:val="14"/>
          <w:szCs w:val="14"/>
          <w:color w:val="252525"/>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Fiscal 2015 shares granted exclude phantom share-based awards. Including these shares, weighted average grant-date fair value was $5.69 per share.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income (loss) from continuing operations before income taxes, including inter-segment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8"/>
        </w:trPr>
        <w:tc>
          <w:tcPr>
            <w:tcW w:w="4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29,740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(71,426)</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Foreign</w:t>
            </w:r>
          </w:p>
        </w:tc>
        <w:tc>
          <w:tcPr>
            <w:tcW w:w="2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13,499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43,239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gridSpan w:val="5"/>
          </w:tcPr>
          <w:p>
            <w:pPr>
              <w:spacing w:after="0"/>
              <w:rPr>
                <w:sz w:val="20"/>
                <w:szCs w:val="20"/>
                <w:color w:val="auto"/>
              </w:rPr>
            </w:pPr>
            <w:r>
              <w:rPr>
                <w:rFonts w:ascii="Arial" w:cs="Arial" w:eastAsia="Arial" w:hAnsi="Arial"/>
                <w:sz w:val="18"/>
                <w:szCs w:val="18"/>
                <w:color w:val="auto"/>
                <w:w w:val="96"/>
              </w:rPr>
              <w:t>The following table presents the significant components of the income tax provision from continuing operations: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8"/>
        </w:trPr>
        <w:tc>
          <w:tcPr>
            <w:tcW w:w="4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Federal</w:t>
            </w:r>
          </w:p>
        </w:tc>
        <w:tc>
          <w:tcPr>
            <w:tcW w:w="3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11,120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(42,001)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w:t>
            </w:r>
          </w:p>
        </w:tc>
        <w:tc>
          <w:tcPr>
            <w:tcW w:w="2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7,451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14,313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Federal</w:t>
            </w:r>
          </w:p>
        </w:tc>
        <w:tc>
          <w:tcPr>
            <w:tcW w:w="2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w:t>
            </w:r>
          </w:p>
        </w:tc>
        <w:tc>
          <w:tcPr>
            <w:tcW w:w="2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25,976</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income tax expense (benefit)</w:t>
            </w:r>
          </w:p>
        </w:tc>
        <w:tc>
          <w:tcPr>
            <w:tcW w:w="3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11,206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9,361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79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a reconciliation of income taxes calculated at the statutory rate and the provision for income taxes attributable to continuing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4"/>
                <w:szCs w:val="14"/>
                <w:b w:val="1"/>
                <w:bCs w:val="1"/>
                <w:color w:val="auto"/>
                <w:w w:val="92"/>
              </w:rPr>
              <w:t>Fiscal 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318"/>
        </w:trPr>
        <w:tc>
          <w:tcPr>
            <w:tcW w:w="6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at the federal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(23,172)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(701)</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inflation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Captive insurance company</w:t>
            </w: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(393)</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items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449</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Foreign tax credit</w:t>
            </w:r>
          </w:p>
        </w:tc>
        <w:tc>
          <w:tcPr>
            <w:tcW w:w="3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(2,413)</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Change in net operating loss carryforward</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4,846</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1,781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Tax basis balance sheet adjustment</w:t>
            </w: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2,516</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2,484</w:t>
            </w:r>
          </w:p>
        </w:tc>
      </w:tr>
      <w:tr>
        <w:trPr>
          <w:trHeight w:val="297"/>
        </w:trPr>
        <w:tc>
          <w:tcPr>
            <w:tcW w:w="6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income tax expense (benefit)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11,206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(14,025)</w:t>
            </w:r>
          </w:p>
        </w:tc>
      </w:tr>
      <w:tr>
        <w:trPr>
          <w:trHeight w:val="251"/>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amount of income tax expense (benefit) allocated to discontinued operations was $0.1 million, $(15.1) million, and $(16.4) million during fiscal 2017,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significant components of our deferred tax assets and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318"/>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Cash Converters International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13,550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15,314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over book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11,276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Note receivable discount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Foreign tax credit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2,706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loss carryforward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State and foreign net operating loss carryforwards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12,891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Book over tax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694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 before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(21,078)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50,946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over book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Tax over book depreciation</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 receivable discount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1,138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32,581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15,643</w:t>
            </w: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16,856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35,303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2017, we had gross state net operating loss carryforwards of approximately $174.0 million, which begin to expire in 2018 if not utilized. We also had foreign net operating loss carryforwards of $34.8 million, which will expire between 2030 and 2037 if not utilized. Additionally, we have a $3.1 million foreign tax credit that will expire during the years 2024 to 2027 that we expect is more likely than not to be fully utilized based on the weight of available evidence.</w:t>
      </w:r>
    </w:p>
    <w:p>
      <w:pPr>
        <w:spacing w:after="0" w:line="13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Deferred tax assets and liabilities are recorded for the estimated tax impact of temporary differences between the tax basis and book basis of assets and liabilities. A valuation allowance is established against a deferred tax asset when it is more likely than not that the deferred tax asset will not be realized. The valuation allowance decreased by $3.2 million in fiscal 2017, primarily due to $3.0 million realization of capital loss carryforwards offsetting capital gain realized on the restructuring of our Grupo Finmart notes. Management believes that our results from future operations will generate sufficient taxable income in the appropriate jurisdictions such that it is more likely than not that the remaining deferred tax assets will be realized.</w:t>
      </w:r>
    </w:p>
    <w:p>
      <w:pPr>
        <w:spacing w:after="0" w:line="10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Deferred taxes are not provided for undistributed earnings of foreign subsidiaries of approximately $20.6 million which are intended to be reinvested outside of the U.S. Accordingly, no provision for U.S. federal income and foreign withholding taxes associated with a distribution of those earnings has been made. We estimate that, upon distribution of our share of these earnings, we would be subject to U.S. income taxes of approximately $1.0 million as of September 30, 2017. We provided deferred income taxes on all undistributed earnings from Cash Converters International. Any taxes paid to foreign governments on these earnings may be used in whole or in part as credits against the U.S. tax on any dividends distributed from such earnings.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unrecognized tax benefits: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4"/>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318"/>
        </w:trPr>
        <w:tc>
          <w:tcPr>
            <w:tcW w:w="7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6,058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6,058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Tax positions taken during the current period</w:t>
            </w:r>
          </w:p>
        </w:tc>
        <w:tc>
          <w:tcPr>
            <w:tcW w:w="86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1,656</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6,530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6,058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6,058</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of the above unrecognized tax benefits, if recognized, would impact our effective tax rate for the respective period of each ending balance. It is reasonably possible that unrecognized tax benefits will decrease by $4.9 million in the next 12 months due to the expiration of the statute of limitations.</w:t>
      </w:r>
    </w:p>
    <w:p>
      <w:pPr>
        <w:spacing w:after="0" w:line="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subject to U.S., Mexico and Canada income taxes as well as income taxes levied by various state and local jurisdictions. With few exceptions, we are no longer subject to examinations by tax authorities for years before the tax year ended September 30, 2013. Management believes that adequate provisions have been made for any adjustments that may result from tax examinations.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Purchase Agreement</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entered into an Asset Purchase Agreement, dated June 8, 2017, with Cash Solution Centers, LLC ("CSC"), pursuant to which the Company agreed to acquire, for an aggregate purchase price of $700,329 in cash, certain assets used in the operation of two pawn stores located in Central Texas. Daniel M. Chism, who was appointed Chief Financial Officer of the Company effective May 9, 2017, was the owner of a 28% interest in CSC. We completed the acquisition on August 14, 2017. Following completion of this transaction, Mr. Chism does not own any interest in any pawn-related businesses outside of his interest in the Company.</w:t>
      </w:r>
    </w:p>
    <w:p>
      <w:pPr>
        <w:spacing w:after="0" w:line="1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terms of this transaction were reviewed and approved by the Audit Committee of the Board of Directors pursuant to the Company's Policy for Review and Evaluation of Related Party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and sublease various facilities and certain equipment under operating and capital leases. Future minimum rentals due under non-cancelable leases and annual future minimum rentals expected under subleases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Ended September 30,</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5"/>
              </w:rPr>
              <w:t>Operating Lease Payments</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Sublease Revenue</w:t>
            </w:r>
          </w:p>
        </w:tc>
      </w:tr>
      <w:tr>
        <w:trPr>
          <w:trHeight w:val="318"/>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ind w:left="13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53,829</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46,665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3,211</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40,081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32,154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3,385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21,622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60,757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2,604</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255,108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18,445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After an initial lease term of generally three to 10 years, our real property lease agreements typically allow renewals in three to five-year increments. Our lease agreements generally include rent escalations throughout the initial lease term. Rent escalations are included in the above amounts, with certain future rental payments contingent on increases in a consumer price index. For financial reporting purposes, the aggregate rentals over the lease term, including lease renewal options that are reasonably assured, are expensed on a straight-line basis.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net rent recognized as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rent expense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56,794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56,707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58,890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Sublease rent revenue from continuing operations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rent expense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56,738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56,551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58,411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December 2014, we entered into a non-cancelable 13-year operating lease for our corporate offices, with rent payments beginning February 2016 and ending March 2029. Annual rent escalates from $3.0 million at lease inception to $4.6 million in the terminal year of the lease. The lease includes two five-year extension options at the end of the initial lease term. The estimated minimum future rental payments under the lease are approximately $48.2 million. During fiscal 2017 and 2016, we initiated subleases for a portion of our corporate operating office lease for estimated minimum future sublease payments of approximately $12.2 million. In addition to the above subleases, subsequent to September 30, 2017 we entered into an amendment to the operating lease surrendering another 15% of the initial leased premises. As a result and including the amendment subsequent to September 30, 2017, sublease payments are expected to offset approximately 88% of our original operating lease obligations through August 2023, with renewal options available until the end of the master operating lease in March 2029.</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fiscal 2015, we entered into non-cancelable subleases for our Miami and Mexico City regional offices for estimated minimum future sublease payments of approximately $6.7 million. Sublease payments are expected to offset substantially all of our original operating lease obligations over the nine-year period beginning March 2015 and ending September 2024 (in the case of the Miami lease) and the three-year period beginning March 2015 and ending June 2018 (in the case of the Mexico City lease).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EMPLOYMENT AGREEMENTS AND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severance benefits to our executive officers:</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our executive officers will receive salary continuation for one year if his or her employment is terminated without cause.</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in the event of the holder’s death or disability.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sponsor a 401(k) retirement savings plan under which eligible employees may contribute a portion of pre-tax earnings. In our sole discretion, we may match employee contributions in the form of either cash or our Class A Common Stock. A participant vests in the matching contributions pro rata over their first three years of service. All of a participant’s matching contributions vest 100% in the event of the participant’s death or disability or the termination of the plan due to a change in control.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matching contribution information for our 401(k) plan which were made in cash:</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318"/>
        </w:trPr>
        <w:tc>
          <w:tcPr>
            <w:tcW w:w="7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Matching contributions to EZCORP Inc. 401(k) Plan and Trust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547</w:t>
            </w: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also provide a non-qualified Supplemental Executive Retirement Plan for selected executives. Funds in the Supplemental Executive Retirement Plan vest over three years from the grant date, with one-third vesting each year. All of a participant’s Supplemental Executive Retirement Plan funds from all grants vest 100% in the event of the participant’s death or disability or the termination of the plan due to a change in control. In addition, the Supplemental Executive Retirement Plan funds are 100% vested when a participant attains his or her normal retirement age (generally 60 years old and five years of active service) while actively employed by us. Expense of contributions to the Supplemental Executive Retirement Plan is recognized based on the vesting schedule.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contribution and amortized expense amounts related to the Supplemental Executive Retirement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318"/>
        </w:trPr>
        <w:tc>
          <w:tcPr>
            <w:tcW w:w="7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to the Supplemental Executive Retirement Plan</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Amortized expense due to Supplemental Executive Retirement Plan</w:t>
            </w:r>
          </w:p>
        </w:tc>
        <w:tc>
          <w:tcPr>
            <w:tcW w:w="940" w:type="dxa"/>
            <w:vAlign w:val="bottom"/>
          </w:tcPr>
          <w:p>
            <w:pPr>
              <w:spacing w:after="0"/>
              <w:rPr>
                <w:sz w:val="21"/>
                <w:szCs w:val="21"/>
                <w:color w:val="auto"/>
              </w:rPr>
            </w:pP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405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CONTINGENCIES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Except as noted below, we have not recorded a liability for any of these matters as of September 30, 2017 because we do not believe at this time that any loss is probable or that the amount of any probable loss can be reasonably estimated. The following is a description of significant proceedings.</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Common Stock, filed a derivative action in the Court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300" w:hanging="328"/>
        <w:spacing w:after="0" w:line="34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p>
      <w:pPr>
        <w:spacing w:after="0" w:line="69"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(Count III);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 (Count IV).</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pursuant to the parties’ stipulation, the Court dismissed the action as to Mr. Brinkley, Mr. Rothamel and Mr. Lagos.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remaining defendants filed motions to dismiss, and a hearing on those motions was held before the Court on September 8, 2015. Prior to that hearing, the plaintiff proposed a dismissal without prejudice for the claims against Mr. Beal, Mr. Love and Mr. Farrell. Those defendants continued to seek a dismissal with prejudice that would bind all potential plaintiffs. On January 15, 2016, the Court issued an opinion dismissing the action as to Mr. Beal, Mr. Love and Mr. Farrell with prejudice only as to the plaintiff.</w:t>
      </w:r>
    </w:p>
    <w:p>
      <w:pPr>
        <w:spacing w:after="0" w:line="1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January 25, 2016, the Court issued a separate opinion granting in part and denying in part the motions to dismiss filed by the remaining defendants. Specifically, the Court granted the motion to dismiss Count IV (unjust enrichment) for failure to state a claim. The Court also dismissed Count III (aiding and abetting) as to Mr. Cohen, but interpreted Count I (breach of fiduciary duty) to state a claim against Mr. Cohen and MS Pawn, as well as Mr. Roberts. The Court otherwise denied the motions to dismiss, including the motion to dismiss Count III (aiding and abetting) against MS Pawn.</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4, 2016, the remaining defendants filed an Application for Certification of Interlocutory Appeal, which the plaintiff opposed on February 15, 2016, and the Court set a hearing on the application. On February 22, 2016, the Court denied the Application for Certification of Interlocutory Appeal and provided the plaintiff the opportunity to amend its complaint to add a fiduciary-duty claim as to Mr. Cohen and Madison Park, staying proceedings pending a ruling from the Delaware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Supreme Court. After the Application for Certification of Interlocutory Appeal was denied, Mr. Roberts, MS Pawn Corporation and MS Pawn Limited Partnership filed notices of appeal from the interlocutory opinion and order denying the motions to dismiss. On March 10, 2016, the Delaware Supreme Court denied those petitions for an interlocutory appeal. On March 4, 2016, the plaintiff filed a Second Amended Derivative Complaint against Mr. Roberts, Mr. Cohen, Madison Park, MS Pawn Corporation and MS Pawn Limited Partnership with EZCORP, Inc., as nominal defendant.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23, 2017, the parties agreed to a mediated settlement of all remaining claims and entered into a Memorandum of Understanding regarding that settlement. Under the terms of the proposed settlement, a settlement payment of $6.5 million, less attorney fees awarded to the plaintiff’s counsel and administrative costs of settlement, will be paid to the Company. Of such amount, $5.5 million will be funded by the Company’s insurance carriers and $1.0 million will be funded by Madison Park LLC. The parties have completed confirmatory discovery and are in the process of preparing appropriate settlement papers to be filed with the Court. Those papers will request the Court to set a settlement hearing, at which the Court will consider the fairness and adequacy of the parties’ stipulation and agreement of settlement. The proposed settlement will not be final until approved by the Court.</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Federal Securities Litigation (WDT) </w:t>
      </w:r>
      <w:r>
        <w:rPr>
          <w:rFonts w:ascii="Arial" w:cs="Arial" w:eastAsia="Arial" w:hAnsi="Arial"/>
          <w:sz w:val="16"/>
          <w:szCs w:val="16"/>
          <w:color w:val="auto"/>
        </w:rPr>
        <w:t>— On July 20, 2015, Wu Winfred Huang, a purported holder of Class A Common Stock, for himself and on behalf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similarly situated holders of Class A Common Stock, filed a lawsuit in the United States District Court for the Western District of Texas styled </w:t>
      </w:r>
      <w:r>
        <w:rPr>
          <w:rFonts w:ascii="Arial" w:cs="Arial" w:eastAsia="Arial" w:hAnsi="Arial"/>
          <w:sz w:val="16"/>
          <w:szCs w:val="16"/>
          <w:i w:val="1"/>
          <w:iCs w:val="1"/>
          <w:color w:val="auto"/>
        </w:rPr>
        <w:t>Huang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EZCORP, Inc., et al. </w:t>
      </w:r>
      <w:r>
        <w:rPr>
          <w:rFonts w:ascii="Arial" w:cs="Arial" w:eastAsia="Arial" w:hAnsi="Arial"/>
          <w:sz w:val="16"/>
          <w:szCs w:val="16"/>
          <w:color w:val="auto"/>
        </w:rPr>
        <w:t>(Case No. 1:15-cv-00608-SS). The complaint names as defendants EZCORP, Inc., Stuart I. Grimshaw (our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(Master File No. 1:15-cv-00608-SS), and appointed the two plaintiffs as co-lead plaintiffs, with their respective counsel appointed as co-lead counsel.</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January 11, 2016, the plaintiffs filed an Amended Class Action Complaint (the "Amended Complaint"). In the Amended Complaint, the plaintiffs seek to represent a class of purchasers of our Class A Common Stock between November 6, 2012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spacing w:after="0" w:line="13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October 18, 2016, the Court granted the defendants’ motion to dismiss and dismissed the Amended Complaint without prejudice. The Court gave the plaintiffs 20 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The plaintiffs filed their opposition to the motion to dismiss on January 6, 2017, and the defendants filed their reply brief on January 20, 2017.</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8, 2017, the Court granted the defendants’ motion to dismiss with regard to claims related to accounting errors relating to Grupo Finmart’s bad debt reserve calculations for “nonperforming” loans, but denied the motion to dismiss with regard to claims relating to accounting errors related to certain sales of loan portfolios to third parties. The case is now in the discovery stage. We cannot predict the outcome of the litigation, but we intend to defend vigorously against all allegations and claims.</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SEC Investigation </w:t>
      </w:r>
      <w:r>
        <w:rPr>
          <w:rFonts w:ascii="Arial" w:cs="Arial" w:eastAsia="Arial" w:hAnsi="Arial"/>
          <w:sz w:val="18"/>
          <w:szCs w:val="18"/>
          <w:color w:val="auto"/>
        </w:rPr>
        <w:t>— On October 23, 2014, we received a notice from the Fort Worth Regional Office of the SEC that it was conducting an investigation into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125" w:right="4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Segment information is prepared on the same basis that our chief operating decision maker reviews financial information for operational decision-making purposes. We currently report our segments as follows: U.S. Pawn — all pawn activities in the United States; Mexico Pawn — all pawn activities in Mexico and other parts of Latin America; and Other International — primarily our equity interest in the net income (loss) of Cash Converters International and consumer finance activities in Canada. There are no inter-segment revenues, and the amounts below were determined in accordance with the same accounting principles used in our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Fiscal Year Ended September 30, 2017</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351,878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62,957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414,838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414,838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51,189</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238,437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34,643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273,080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273,080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638,737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101,231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747,954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747,954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266,525</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373,828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55,684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435,510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435,510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259,977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36,211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8,448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304,636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304,636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53,254</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23,661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27,803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0" w:type="dxa"/>
            <w:vAlign w:val="bottom"/>
          </w:tcPr>
          <w:p>
            <w:pPr>
              <w:spacing w:after="0"/>
              <w:rPr>
                <w:sz w:val="1"/>
                <w:szCs w:val="1"/>
                <w:color w:val="auto"/>
              </w:rPr>
            </w:pPr>
          </w:p>
        </w:tc>
      </w:tr>
      <w:tr>
        <w:trPr>
          <w:trHeight w:val="229"/>
        </w:trPr>
        <w:tc>
          <w:tcPr>
            <w:tcW w:w="3440" w:type="dxa"/>
            <w:vAlign w:val="bottom"/>
          </w:tcPr>
          <w:p>
            <w:pPr>
              <w:ind w:left="280"/>
              <w:spacing w:after="0"/>
              <w:rPr>
                <w:sz w:val="20"/>
                <w:szCs w:val="20"/>
                <w:color w:val="auto"/>
              </w:rPr>
            </w:pPr>
            <w:r>
              <w:rPr>
                <w:rFonts w:ascii="Arial" w:cs="Arial" w:eastAsia="Arial" w:hAnsi="Arial"/>
                <w:sz w:val="18"/>
                <w:szCs w:val="18"/>
                <w:color w:val="auto"/>
              </w:rPr>
              <w:t>Equity in net income of unconsolidated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80"/>
              <w:spacing w:after="0"/>
              <w:rPr>
                <w:sz w:val="20"/>
                <w:szCs w:val="20"/>
                <w:color w:val="auto"/>
              </w:rPr>
            </w:pPr>
            <w:r>
              <w:rPr>
                <w:rFonts w:ascii="Arial" w:cs="Arial" w:eastAsia="Arial" w:hAnsi="Arial"/>
                <w:sz w:val="18"/>
                <w:szCs w:val="18"/>
                <w:color w:val="auto"/>
              </w:rPr>
              <w:t>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103,501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18,654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2,371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124,526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124,526</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(81,287)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43,239</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 2016</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Mexico Pawn</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6"/>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center"/>
              <w:ind w:left="93"/>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348,771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60,331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409,107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409,107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50,113</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229,893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261,800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261,800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9,485</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626,805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94,905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730,505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730,505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258,271</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42,039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369,399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428,230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428,230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255,321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38,481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301,387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301,387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68,101</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26,542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16,477</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net loss of unconsolidated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Impairment of investment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100,056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8,508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96,154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96,154</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(95,791)</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7"/>
              </w:rPr>
              <w:t>Fiscal Year Ended September 30, 2015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vMerge w:val="restart"/>
          </w:tcPr>
          <w:p>
            <w:pPr>
              <w:jc w:val="right"/>
              <w:ind w:right="131"/>
              <w:spacing w:after="0"/>
              <w:rPr>
                <w:sz w:val="20"/>
                <w:szCs w:val="20"/>
                <w:color w:val="auto"/>
              </w:rPr>
            </w:pPr>
            <w:r>
              <w:rPr>
                <w:rFonts w:ascii="Arial" w:cs="Arial" w:eastAsia="Arial" w:hAnsi="Arial"/>
                <w:sz w:val="14"/>
                <w:szCs w:val="14"/>
                <w:b w:val="1"/>
                <w:bCs w:val="1"/>
                <w:color w:val="auto"/>
                <w:w w:val="97"/>
              </w:rPr>
              <w:t>Mexico Pawn</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5"/>
          </w:tcPr>
          <w:p>
            <w:pPr>
              <w:jc w:val="right"/>
              <w:ind w:right="532"/>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334,635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65,408</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402,118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402,118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57,973</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216,211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30,993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247,204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606,134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100,689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720,000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267,789</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42,845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46,066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46,066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344,336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50,364</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403,020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403,020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244,232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43,927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294,939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294,939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72,986</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30,959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17,080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16,385</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loss of unconsolidated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Impairment of investment</w:t>
            </w:r>
          </w:p>
        </w:tc>
        <w:tc>
          <w:tcPr>
            <w:tcW w:w="1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26,837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26,837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79,848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44,908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60" w:type="dxa"/>
            <w:vAlign w:val="bottom"/>
            <w:tcBorders>
              <w:top w:val="single" w:sz="8" w:color="auto"/>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Loss from continuing operations before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44,908</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(111,115)</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(66,207)</w:t>
            </w: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2"/>
              </w:rPr>
              <w:t>The following table presents separately identified segment assets:</w:t>
            </w: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8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U.S. Pawn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Mexico Pawn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4"/>
                <w:szCs w:val="24"/>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International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as of September 30, 2017</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148,124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21,118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169,242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28,258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31,548</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132,549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154,411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611,489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50,462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1,024,363</w:t>
            </w: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as of September 30, 2016</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149,791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17,538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167,329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28,368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121,183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140,224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596,842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41,775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278,545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983,244</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net assets of our Mexico Pawn segment, exclusive of intercompany amounts and inclusive of certain other assets not separately identified above, were $84.5 million as of September 30, 2017.</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geographic information required by ASC 280-10-50-41: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jc w:val="center"/>
              <w:ind w:left="376"/>
              <w:spacing w:after="0"/>
              <w:rPr>
                <w:sz w:val="20"/>
                <w:szCs w:val="20"/>
                <w:color w:val="auto"/>
              </w:rPr>
            </w:pPr>
            <w:r>
              <w:rPr>
                <w:rFonts w:ascii="Arial" w:cs="Arial" w:eastAsia="Arial" w:hAnsi="Arial"/>
                <w:sz w:val="14"/>
                <w:szCs w:val="14"/>
                <w:b w:val="1"/>
                <w:bCs w:val="1"/>
                <w:color w:val="auto"/>
                <w:w w:val="91"/>
              </w:rPr>
              <w:t>Fiscal Year Ended 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318"/>
        </w:trPr>
        <w:tc>
          <w:tcPr>
            <w:tcW w:w="3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638,737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626,805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606,134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3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101,231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100,689</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Canada</w:t>
            </w: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7,986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8,795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747,954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730,505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720,000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3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326,736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326,347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3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17,033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15,893</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Canada and Other</w:t>
            </w: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long-lived assets</w:t>
            </w:r>
          </w:p>
        </w:tc>
        <w:tc>
          <w:tcPr>
            <w:tcW w:w="3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345,139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343,112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920" w:type="dxa"/>
            <w:vAlign w:val="bottom"/>
            <w:vMerge w:val="restart"/>
          </w:tcPr>
          <w:p>
            <w:pPr>
              <w:jc w:val="right"/>
              <w:ind w:right="189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CONSOLIDATED FINANCIAL INFORMATION AND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Consolidated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net amounts included in our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318"/>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pawn service charges receivable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42,117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41,458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Allowance for uncollectible pawn service charges receivable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(10,396)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Pawn service charges receivable,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31,548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31,062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inventory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161,212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146,367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Inventory reserves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(6,801)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(6,143)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154,411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140,224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Consumer loans, net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2,615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2,111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 fees and interest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Guarantee asset</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1,209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2,533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11,088</w:t>
            </w:r>
          </w:p>
        </w:tc>
      </w:tr>
      <w:tr>
        <w:trPr>
          <w:trHeight w:val="28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28,765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35,845</w:t>
            </w:r>
          </w:p>
        </w:tc>
      </w:tr>
      <w:tr>
        <w:trPr>
          <w:trHeight w:val="284"/>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3,124</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2,658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2019 Convertible Notes Hedges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6,591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37,692</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44,439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accounts payable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Accrued payroll</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4,638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Bonus accrual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17,946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payroll related expenses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3,485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Accrued rent and property taxes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11,357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11,201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accrued expenses*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8,310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14,939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Unrecognized tax benefits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Guarantee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Restructuring reserve</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1,751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 payable, accrued expenses and other current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61,543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84,285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non-current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5,297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4,034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10,450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*Includes provision for closed stores and accrued lease termination costs, exclusive of stores closed associated with restructuring actions, of $5.2 million as of September 30, 2016.</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2016</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September 2016 we completed the sale of all of our interests in Grupo Finmart to AlphaCredit. The information presented below includes the assets, liabilities, revenues and expenses of variable interest entities which were deconsolidated as a result of the sale of Grupo Finmart. As a result of the decision to sell the Grupo Finmart business, we classified Grupo Finmart as held for sale as of June 30, 2016 and recast all segment operations of Grupo Finmart as discontinued operations. As of the completion of the disposition, Grupo Finmart is no longer a subsidiary of EZCORP and neither Grupo Finmart nor AlphaCredit is considered to be a related party to EZCORP. See Note 5 for additional information regarding our continuing involvement with Grupo Finmart.</w:t>
      </w:r>
    </w:p>
    <w:p>
      <w:pPr>
        <w:spacing w:after="0" w:line="10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following table presents the reconciliation of the major line items constituting "Loss from discontinued operations, net of tax" of Grupo Finmart and other operations discontinued prior to the adoption of ASU 2014-08 that are presented in the consolidated statements of operations, excluding immaterial amounts in fiscal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6"/>
              </w:rPr>
              <w:t>Fiscal Year Ended September 30,</w:t>
            </w:r>
          </w:p>
        </w:tc>
      </w:tr>
      <w:tr>
        <w:trPr>
          <w:trHeight w:val="264"/>
        </w:trPr>
        <w:tc>
          <w:tcPr>
            <w:tcW w:w="8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385"/>
        </w:trPr>
        <w:tc>
          <w:tcPr>
            <w:tcW w:w="8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24"/>
                <w:szCs w:val="24"/>
                <w:color w:val="auto"/>
              </w:rPr>
            </w:pPr>
          </w:p>
        </w:tc>
      </w:tr>
      <w:tr>
        <w:trPr>
          <w:trHeight w:val="25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68,369</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(26,446)</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(32,664)</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(24,487)</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other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Gain on disposition</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34,237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income taxes of Grupo Finmart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(22,236)</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12,896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7,508</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Loss from discontinued operations, net of tax of operations discontinued prior to the adoption of ASU 2014-08</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(27,317)</w:t>
            </w:r>
          </w:p>
        </w:tc>
      </w:tr>
      <w:tr>
        <w:trPr>
          <w:trHeight w:val="29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(79,432)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(42,045)</w:t>
            </w:r>
          </w:p>
        </w:tc>
      </w:tr>
      <w:tr>
        <w:trPr>
          <w:trHeight w:val="311"/>
        </w:trPr>
        <w:tc>
          <w:tcPr>
            <w:tcW w:w="8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of Grupo Finmart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(78,872)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(14,728)</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 of Grupo Finmart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of Grupo Finmart attributable to EZCORP,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(72,211)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(10,578)</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were immaterial cash flows from Grupo Finmart operating and investing activities for fiscal 2017. Cash flows from Grupo Finmart operating activities for fiscal 2016 and 2015 were $2.2 million and $11.1 million, respectively. Cash flows from Grupo Finmart investing activities for fiscal 2016 and 2015 were $42.7 million and $(41.1)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2015</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fourth quarter of fiscal 2015, in the context of a transformational change in strategy following an intensive six-month review of all Company activities, we implemented a plan that included:</w:t>
      </w:r>
    </w:p>
    <w:p>
      <w:pPr>
        <w:spacing w:after="0" w:line="11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Exiting our USFS business and ceasing the employment of the employees related to that business; and</w:t>
      </w:r>
    </w:p>
    <w:p>
      <w:pPr>
        <w:spacing w:after="0" w:line="171" w:lineRule="exact"/>
        <w:rPr>
          <w:rFonts w:ascii="Arial" w:cs="Arial" w:eastAsia="Arial" w:hAnsi="Arial"/>
          <w:sz w:val="18"/>
          <w:szCs w:val="18"/>
          <w:color w:val="auto"/>
        </w:rPr>
      </w:pPr>
    </w:p>
    <w:p>
      <w:pPr>
        <w:ind w:left="660" w:right="60" w:hanging="328"/>
        <w:spacing w:after="0" w:line="286"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Streamlining our structure and operating model to improve overall efficiency and reduce costs, which includes additional store closures, consolidations and relocations; additional headcount reductions in the remaining business and in the corporate support center; termination of various real property leases; and write-down and write-offs of various assets no longer to be used in the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98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42"/>
        </w:trPr>
        <w:tc>
          <w:tcPr>
            <w:tcW w:w="9820" w:type="dxa"/>
            <w:vAlign w:val="bottom"/>
            <w:gridSpan w:val="2"/>
          </w:tcPr>
          <w:p>
            <w:pPr>
              <w:spacing w:after="0"/>
              <w:rPr>
                <w:sz w:val="20"/>
                <w:szCs w:val="20"/>
                <w:color w:val="auto"/>
              </w:rPr>
            </w:pPr>
            <w:r>
              <w:rPr>
                <w:rFonts w:ascii="Arial" w:cs="Arial" w:eastAsia="Arial" w:hAnsi="Arial"/>
                <w:sz w:val="18"/>
                <w:szCs w:val="18"/>
                <w:color w:val="auto"/>
                <w:w w:val="95"/>
              </w:rPr>
              <w:t>The following table summarizes the pre-tax charges pertaining to the above discontinued operations in fiscal 2015, in thousands: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Long-lived assets impairment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1,685</w:t>
            </w: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21,045</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Asset disposals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7,443</w:t>
            </w: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w:t>
            </w:r>
          </w:p>
        </w:tc>
      </w:tr>
      <w:tr>
        <w:trPr>
          <w:trHeight w:val="237"/>
        </w:trPr>
        <w:tc>
          <w:tcPr>
            <w:tcW w:w="12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42,443</w:t>
            </w: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340" w:right="340" w:hanging="332"/>
        <w:spacing w:after="0" w:line="257"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a $10.5 million one-time charge associated with the settlement of outstanding issues with the U.S. Consumer Financial Protection Bureau and a $4.0 million charge related to the resolution of regulatory compliance issues in our Cash Genie U.K online lending business, which was a part of fiscal 2014 discontinued operations, in addition to employee severance and accelerated amortization of prepaid expenses and other assets.</w:t>
      </w:r>
    </w:p>
    <w:p>
      <w:pPr>
        <w:spacing w:after="0" w:line="135"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Total revenue included in “Loss from discontinued operations, net of tax” was $2.1 million and $124.7 million during fiscal 2016 and 2015, respectively, exclusive of Grupo Finmart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Qualifying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valuation and qualifying accounts not disclosed elsewhere: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56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Balance at Beginning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Charged to Expense</w:t>
            </w:r>
          </w:p>
        </w:tc>
        <w:tc>
          <w:tcPr>
            <w:tcW w:w="120" w:type="dxa"/>
            <w:vAlign w:val="bottom"/>
            <w:vMerge w:val="restart"/>
          </w:tcPr>
          <w:p>
            <w:pPr>
              <w:spacing w:after="0"/>
              <w:rPr>
                <w:sz w:val="12"/>
                <w:szCs w:val="12"/>
                <w:color w:val="auto"/>
              </w:rPr>
            </w:pPr>
          </w:p>
        </w:tc>
        <w:tc>
          <w:tcPr>
            <w:tcW w:w="14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8"/>
              </w:rPr>
              <w:t>Charged to Revenue</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53"/>
              <w:spacing w:after="0" w:line="139" w:lineRule="exact"/>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of Period</w:t>
            </w:r>
          </w:p>
        </w:tc>
        <w:tc>
          <w:tcPr>
            <w:tcW w:w="1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318"/>
        </w:trPr>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inventory:</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2017</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6,143</w:t>
            </w:r>
          </w:p>
        </w:tc>
        <w:tc>
          <w:tcPr>
            <w:tcW w:w="120" w:type="dxa"/>
            <w:vAlign w:val="bottom"/>
          </w:tcPr>
          <w:p>
            <w:pPr>
              <w:spacing w:after="0"/>
              <w:rPr>
                <w:sz w:val="21"/>
                <w:szCs w:val="21"/>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2015</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16,043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8,953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Allowance for uncollectible pawn service charges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2017</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10,396</w:t>
            </w:r>
          </w:p>
        </w:tc>
        <w:tc>
          <w:tcPr>
            <w:tcW w:w="120" w:type="dxa"/>
            <w:vAlign w:val="bottom"/>
          </w:tcPr>
          <w:p>
            <w:pPr>
              <w:spacing w:after="0"/>
              <w:rPr>
                <w:sz w:val="21"/>
                <w:szCs w:val="21"/>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10,396</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2015</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1,282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9,025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Allowance for uncollectible consumer loan fees and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2017</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2015</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13,685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2017</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21,078</w:t>
            </w:r>
          </w:p>
        </w:tc>
        <w:tc>
          <w:tcPr>
            <w:tcW w:w="120" w:type="dxa"/>
            <w:vAlign w:val="bottom"/>
          </w:tcPr>
          <w:p>
            <w:pPr>
              <w:spacing w:after="0"/>
              <w:rPr>
                <w:sz w:val="21"/>
                <w:szCs w:val="21"/>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17,860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21,078</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2015</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19,567</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$9.2 million in allowance that was deconsolidated as a result of the disposition of Grupo Finmart as discussed above.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08"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Second Quarter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Third 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Fourth Quarter</w:t>
            </w:r>
          </w:p>
        </w:tc>
      </w:tr>
      <w:tr>
        <w:trPr>
          <w:trHeight w:val="318"/>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2017</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192,624</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189,628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183,633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182,069</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10,069</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10,112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EZCORP,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8,023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11,410</w:t>
            </w:r>
          </w:p>
        </w:tc>
      </w:tr>
      <w:tr>
        <w:trPr>
          <w:trHeight w:val="311"/>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EZCORP, Inc.:</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EZCORP, Inc.: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0.21</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Pr>
          <w:p>
            <w:pPr>
              <w:ind w:left="500"/>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0.21</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8"/>
        </w:trPr>
        <w:tc>
          <w:tcPr>
            <w:tcW w:w="6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Second Quarter</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Third Quarter</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Fourth Quarter</w:t>
            </w:r>
          </w:p>
        </w:tc>
      </w:tr>
      <w:tr>
        <w:trPr>
          <w:trHeight w:val="318"/>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2016</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187,557</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188,213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170,150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184,585</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106,861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(17,502)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(75,943)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EZCORP,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(70,812)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3,231</w:t>
            </w:r>
          </w:p>
        </w:tc>
      </w:tr>
      <w:tr>
        <w:trPr>
          <w:trHeight w:val="311"/>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Basic earnings (loss) per share attributable to EZCORP, Inc.:</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0.37</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earnings (loss)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 attributable to EZCORP, Inc.: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r>
      <w:tr>
        <w:trPr>
          <w:trHeight w:val="257"/>
        </w:trPr>
        <w:tc>
          <w:tcPr>
            <w:tcW w:w="6400" w:type="dxa"/>
            <w:vAlign w:val="bottom"/>
          </w:tcPr>
          <w:p>
            <w:pPr>
              <w:ind w:left="500"/>
              <w:spacing w:after="0"/>
              <w:rPr>
                <w:sz w:val="20"/>
                <w:szCs w:val="20"/>
                <w:color w:val="auto"/>
              </w:rPr>
            </w:pPr>
            <w:r>
              <w:rPr>
                <w:rFonts w:ascii="Arial" w:cs="Arial" w:eastAsia="Arial" w:hAnsi="Arial"/>
                <w:sz w:val="18"/>
                <w:szCs w:val="18"/>
                <w:color w:val="auto"/>
              </w:rPr>
              <w:t>Diluted earnings (loss)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0.06</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in the table above has been adjusted to reflect reclassification of all discontinued operations as discussed in Note 16.</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 Quarterly Impacts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fourth quarter of fiscal 2017, we recorded a gain of $3.0 million included under “Interest income” in our consolidated statements of operations as a result of the amendment of notes receivable from Grupo Finmart, as further discussed in Note 5.</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fourth quarter of fiscal 2017, we recorded an extinguishment loss of $5.3 million included under “Interest expense” in our consolidated statements of operations as a result of the repurchase and retirement of $35 million aggregate principal amount of 2019 Convertible Notes and the full retirement of our Term Loan Facility using proceeds from the issuance of our 2024 Convertible Senior Notes, as further discussed in Note 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2016 Quarterly Impacts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second quarter of fiscal 2016, we recorded an impairment in goodwill of $73.2 million pertaining to discontinued operations as further discussed in Note 7.</w:t>
      </w:r>
    </w:p>
    <w:p>
      <w:pPr>
        <w:spacing w:after="0" w:line="11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recorded a gain of $34.2 million, before consideration of total associated transaction costs of approximately $9.8 million, with approximately $1.8 million of the total costs to be recorded in future periods due to ongoing employee service requirements, and a $2.1 million loss on assumption of existing Grupo Finmart debt, during the fourth quarter of fiscal 2016 on disposition of Grupo Finmart as further discussed in Note 16, included in discontinued operations.</w:t>
      </w:r>
    </w:p>
    <w:p>
      <w:pPr>
        <w:spacing w:after="0" w:line="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fourth quarter of fiscal 2016, we recorded an impairment of our unconsolidated affiliate of $11.0 million ($7.2 million, net of taxes), as further discussed in Note 4. Further, our equity in net loss of unconsolidated affiliate during the fourth quarter of fiscal 2016 included pre-tax charges totaling $11.8 million including restructuring costs, compliance provision and other.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October 6, 2017, we completed the acquisition of 100% of the outstanding stock of Camira Administration Corp. and subsidiaries (“GPMX”), a business that owns and operates 112 stores located in Guatemala, El Salvador, Honduras and Peru. The GPMX acquisition significantly expands our store base into Latin American countries outside of Mexico and provides us with a platform for further growth in the region. We paid $53.4 million in cash upon closing, with an additional $2.25 million to be paid contingent upon performance of GPMX’s business during the 24 months following the closing date. At the time of closing, GPMX owed $6.6 million in indebtedness to members of the seller’s affiliated group, and under the terms of the stock purchase agreement, GPMX repaid such indebtedness during October 2017. The initial accounting for the business combination was incomplete as of the date these financial statements were issued, due to efforts required to finalize the purchase price and related allocation to acquired assets and liabilities at fair values. We have incurred $1.2 million in acquisition-related costs through September 30, 2017, which were expensed as incurred and included under “Administrative” expense in our consolidated statements of operations.</w:t>
      </w:r>
    </w:p>
    <w:p>
      <w:pPr>
        <w:spacing w:after="0" w:line="124" w:lineRule="exact"/>
        <w:rPr>
          <w:sz w:val="20"/>
          <w:szCs w:val="20"/>
          <w:color w:val="auto"/>
        </w:rPr>
      </w:pPr>
    </w:p>
    <w:p>
      <w:pPr>
        <w:ind w:right="1000"/>
        <w:spacing w:after="0" w:line="470" w:lineRule="auto"/>
        <w:rPr>
          <w:sz w:val="20"/>
          <w:szCs w:val="20"/>
          <w:color w:val="auto"/>
        </w:rPr>
      </w:pPr>
      <w:r>
        <w:rPr>
          <w:rFonts w:ascii="Arial" w:cs="Arial" w:eastAsia="Arial" w:hAnsi="Arial"/>
          <w:sz w:val="18"/>
          <w:szCs w:val="18"/>
          <w:b w:val="1"/>
          <w:bCs w:val="1"/>
          <w:color w:val="auto"/>
        </w:rPr>
        <w:t xml:space="preserve">ITEM 9 — CHANGES IN AND DISAGREEMENTS WITH ACCOUNTANTS ON ACCOUNTING AND FINANCIAL DISCLOSURE </w:t>
      </w:r>
      <w:r>
        <w:rPr>
          <w:rFonts w:ascii="Arial" w:cs="Arial" w:eastAsia="Arial" w:hAnsi="Arial"/>
          <w:sz w:val="18"/>
          <w:szCs w:val="18"/>
          <w:color w:val="auto"/>
        </w:rPr>
        <w:t>None.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preparation of this Annual Report on Form 10-K, our management, under the supervision and with the participation of our Chief Executive Officer and Chief Financial Officer, evaluated the effectiveness of the design and operation of our disclosure controls and procedures as of September 30, 2017. Based on that evaluation, our Chief Executive Officer and Chief Financial Officer concluded that our disclosure controls and procedures were effective as of September 30,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1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connection with the preparation of this Annual Report on Form 10-K, our management, under the supervision and with the participation of our Chief Executive Officer and Chief Financial Officer, conducted an assessment of the effectiveness of our internal control over financial reporting as of September 30, 2017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Based on that assessment, our Chief Executive Officer and Chief Financial Officer concluded that our internal control over financial reporting was effective as of September 30, 2017.</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internal control over financial reporting as of September 30, 2017 has been audited by our independent registered public accounting firm, as stated in their report appearing on the next page.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125" w:right="2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EZCORP, Inc.’s internal control over financial reporting as of September 30, 2017,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(the COSO criteria). EZCORP, Inc.’s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EZCORP, Inc. maintained, in all material respects, effective internal control over financial reporting as of September 30, 2017,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EZCORP, Inc. as of September 30, 2017 and 2016, and the related consolidated statements of operations and comprehensive income (loss), stockholders’ equity, and cash flows for each of the three years in the period ended September 30, 2017 and our report dated November 15, 2017 expressed an unqualified opinion thereon.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fiscal 2017 that have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125" w:right="2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161" w:lineRule="exact"/>
        <w:rPr>
          <w:sz w:val="20"/>
          <w:szCs w:val="20"/>
          <w:color w:val="auto"/>
        </w:rPr>
      </w:pPr>
    </w:p>
    <w:p>
      <w:pPr>
        <w:ind w:right="4300"/>
        <w:spacing w:after="0" w:line="440" w:lineRule="auto"/>
        <w:rPr>
          <w:sz w:val="20"/>
          <w:szCs w:val="20"/>
          <w:color w:val="auto"/>
        </w:rPr>
      </w:pPr>
      <w:r>
        <w:rPr>
          <w:rFonts w:ascii="Arial" w:cs="Arial" w:eastAsia="Arial" w:hAnsi="Arial"/>
          <w:sz w:val="18"/>
          <w:szCs w:val="18"/>
          <w:b w:val="1"/>
          <w:bCs w:val="1"/>
          <w:color w:val="auto"/>
        </w:rPr>
        <w:t>ITEM 10 — DIRECTORS, EXECUTIVE OFFICERS AND CORPORATE GOVERNANCE Board of Directors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forth below are the names of the persons who, as of November 1, 2017, constituted our Board of Directors and their ages and committee assignments as of that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Committees</w:t>
            </w:r>
          </w:p>
        </w:tc>
      </w:tr>
      <w:tr>
        <w:trPr>
          <w:trHeight w:val="121"/>
        </w:trPr>
        <w:tc>
          <w:tcPr>
            <w:tcW w:w="4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140" w:type="dxa"/>
            <w:vAlign w:val="bottom"/>
            <w:tcBorders>
              <w:top w:val="single" w:sz="8" w:color="auto"/>
            </w:tcBorders>
          </w:tcPr>
          <w:p>
            <w:pPr>
              <w:spacing w:after="0"/>
              <w:rPr>
                <w:sz w:val="10"/>
                <w:szCs w:val="10"/>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W. Appel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(Chair)</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Santiago Creel Miranda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Compensation</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Cumins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Lachlan P. Given (Executive Chairman)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Compensation</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Audit, Compensation (Chair)</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C. Roberts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Compensation</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Director Qualifications </w:t>
      </w:r>
      <w:r>
        <w:rPr>
          <w:rFonts w:ascii="Arial" w:cs="Arial" w:eastAsia="Arial" w:hAnsi="Arial"/>
          <w:sz w:val="18"/>
          <w:szCs w:val="18"/>
          <w:color w:val="auto"/>
        </w:rPr>
        <w:t>— The Board believes that individuals who serve on the Board should have demonstrated notable or significant achievements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spacing w:after="0" w:line="134" w:lineRule="exact"/>
        <w:rPr>
          <w:sz w:val="20"/>
          <w:szCs w:val="20"/>
          <w:color w:val="auto"/>
        </w:rPr>
      </w:pPr>
    </w:p>
    <w:p>
      <w:pPr>
        <w:ind w:left="460" w:right="40" w:hanging="330"/>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Leadership Experience </w:t>
      </w:r>
      <w:r>
        <w:rPr>
          <w:rFonts w:ascii="Arial" w:cs="Arial" w:eastAsia="Arial" w:hAnsi="Arial"/>
          <w:sz w:val="18"/>
          <w:szCs w:val="18"/>
          <w:color w:val="auto"/>
        </w:rPr>
        <w:t>— Our directors should demonstrate extraordinary leadership qualities. Strong leaders bring vision, strategic agility, diverse and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spacing w:after="0" w:line="132" w:lineRule="exact"/>
        <w:rPr>
          <w:rFonts w:ascii="Arial" w:cs="Arial" w:eastAsia="Arial" w:hAnsi="Arial"/>
          <w:sz w:val="18"/>
          <w:szCs w:val="18"/>
          <w:color w:val="auto"/>
        </w:rPr>
      </w:pPr>
    </w:p>
    <w:p>
      <w:pPr>
        <w:ind w:left="460" w:hanging="330"/>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Finance Experience — </w:t>
      </w:r>
      <w:r>
        <w:rPr>
          <w:rFonts w:ascii="Arial" w:cs="Arial" w:eastAsia="Arial" w:hAnsi="Arial"/>
          <w:sz w:val="18"/>
          <w:szCs w:val="18"/>
          <w:color w:val="auto"/>
        </w:rPr>
        <w:t>We believe that all directors should possess an understanding of finance and related reporting processes.</w:t>
      </w:r>
    </w:p>
    <w:p>
      <w:pPr>
        <w:spacing w:after="0" w:line="171" w:lineRule="exact"/>
        <w:rPr>
          <w:rFonts w:ascii="Arial" w:cs="Arial" w:eastAsia="Arial" w:hAnsi="Arial"/>
          <w:sz w:val="18"/>
          <w:szCs w:val="18"/>
          <w:color w:val="auto"/>
        </w:rPr>
      </w:pPr>
    </w:p>
    <w:p>
      <w:pPr>
        <w:ind w:left="460" w:right="400" w:hanging="330"/>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Strategically Relevant Experience — </w:t>
      </w:r>
      <w:r>
        <w:rPr>
          <w:rFonts w:ascii="Arial" w:cs="Arial" w:eastAsia="Arial" w:hAnsi="Arial"/>
          <w:sz w:val="18"/>
          <w:szCs w:val="18"/>
          <w:color w:val="auto"/>
        </w:rPr>
        <w:t>Our directors should have business experience that is relevant to our strategic goals and objectives,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spacing w:after="0" w:line="132" w:lineRule="exact"/>
        <w:rPr>
          <w:rFonts w:ascii="Arial" w:cs="Arial" w:eastAsia="Arial" w:hAnsi="Arial"/>
          <w:sz w:val="18"/>
          <w:szCs w:val="18"/>
          <w:color w:val="auto"/>
        </w:rPr>
      </w:pPr>
    </w:p>
    <w:p>
      <w:pPr>
        <w:ind w:left="460" w:right="180" w:hanging="330"/>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Government Experience </w:t>
      </w:r>
      <w:r>
        <w:rPr>
          <w:rFonts w:ascii="Arial" w:cs="Arial" w:eastAsia="Arial" w:hAnsi="Arial"/>
          <w:sz w:val="18"/>
          <w:szCs w:val="18"/>
          <w:color w:val="auto"/>
        </w:rPr>
        <w:t>— Our business is subject to a variety of legislative and regulatory risks. Accordingly, we value experience in the legislative,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or regulatory branches of government or government relations.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Biographical Information — </w:t>
      </w:r>
      <w:r>
        <w:rPr>
          <w:rFonts w:ascii="Arial" w:cs="Arial" w:eastAsia="Arial" w:hAnsi="Arial"/>
          <w:sz w:val="18"/>
          <w:szCs w:val="18"/>
          <w:color w:val="auto"/>
        </w:rPr>
        <w:t>Set forth below is current biographical information about our directors, including the qualifications, experience and skills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make them suitable for service as a director.</w:t>
      </w:r>
    </w:p>
    <w:p>
      <w:pPr>
        <w:spacing w:after="0" w:line="116" w:lineRule="exact"/>
        <w:rPr>
          <w:sz w:val="20"/>
          <w:szCs w:val="20"/>
          <w:color w:val="auto"/>
        </w:rPr>
      </w:pPr>
    </w:p>
    <w:p>
      <w:pPr>
        <w:ind w:left="500" w:right="20" w:hanging="330"/>
        <w:spacing w:after="0" w:line="290" w:lineRule="auto"/>
        <w:tabs>
          <w:tab w:leader="none" w:pos="50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Matthew W. Appel </w:t>
      </w:r>
      <w:r>
        <w:rPr>
          <w:rFonts w:ascii="Arial" w:cs="Arial" w:eastAsia="Arial" w:hAnsi="Arial"/>
          <w:sz w:val="16"/>
          <w:szCs w:val="16"/>
          <w:color w:val="auto"/>
        </w:rPr>
        <w:t>— Mr. Appel joined EZCORP as a director in January 2015 and is Chair of the Audit Committee. Mr. Appel spent 37 years 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administration and operations roles with a variety of companies, most recently Zale Corporation, an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 Computer Services, Inc. and PricewaterhouseCoopers. Mr. Appel began his professional career with Arthur Andersen &amp; Company, working there from 1977 to 1984. Mr. Appel received an MBA in Accounting from the Rutgers University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right="100"/>
        <w:spacing w:after="0" w:line="324" w:lineRule="auto"/>
        <w:rPr>
          <w:sz w:val="20"/>
          <w:szCs w:val="20"/>
          <w:color w:val="auto"/>
        </w:rPr>
      </w:pPr>
      <w:r>
        <w:rPr>
          <w:rFonts w:ascii="Arial" w:cs="Arial" w:eastAsia="Arial" w:hAnsi="Arial"/>
          <w:sz w:val="18"/>
          <w:szCs w:val="18"/>
          <w:color w:val="auto"/>
        </w:rPr>
        <w:t>Graduate School of Business in 1977 and a Business Administration degree from Rutgers College in 1976. Mr. Appel is a Certified Public Accountant and a Certified Management Accountant.</w:t>
      </w:r>
    </w:p>
    <w:p>
      <w:pPr>
        <w:spacing w:after="0" w:line="89"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color w:val="auto"/>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spacing w:after="0" w:line="127" w:lineRule="exact"/>
        <w:rPr>
          <w:sz w:val="20"/>
          <w:szCs w:val="20"/>
          <w:color w:val="auto"/>
        </w:rPr>
      </w:pPr>
    </w:p>
    <w:p>
      <w:pPr>
        <w:ind w:left="500" w:right="60" w:hanging="330"/>
        <w:spacing w:after="0" w:line="271" w:lineRule="auto"/>
        <w:tabs>
          <w:tab w:leader="none" w:pos="500" w:val="left"/>
        </w:tabs>
        <w:numPr>
          <w:ilvl w:val="0"/>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Santiago Creel Miranda </w:t>
      </w:r>
      <w:r>
        <w:rPr>
          <w:rFonts w:ascii="Arial" w:cs="Arial" w:eastAsia="Arial" w:hAnsi="Arial"/>
          <w:sz w:val="17"/>
          <w:szCs w:val="17"/>
          <w:color w:val="auto"/>
        </w:rPr>
        <w:t>— Mr. Creel joined EZCORP as a director in January 2014 and is a member of the Compensation Committee. Mr. Creel is a</w:t>
      </w:r>
      <w:r>
        <w:rPr>
          <w:rFonts w:ascii="Arial" w:cs="Arial" w:eastAsia="Arial" w:hAnsi="Arial"/>
          <w:sz w:val="17"/>
          <w:szCs w:val="17"/>
          <w:i w:val="1"/>
          <w:iCs w:val="1"/>
          <w:color w:val="auto"/>
        </w:rPr>
        <w:t xml:space="preserve"> </w:t>
      </w:r>
      <w:r>
        <w:rPr>
          <w:rFonts w:ascii="Arial" w:cs="Arial" w:eastAsia="Arial" w:hAnsi="Arial"/>
          <w:sz w:val="17"/>
          <w:szCs w:val="17"/>
          <w:color w:val="auto"/>
        </w:rPr>
        <w:t>former Senator of Mexico, having served from 2006 to 2012. During his term, he acted as Speaker of the Senate and Chairman of the Senate's Political Coordination Committee. Prior to being elected to the Senate, Mr. Creel served as Secretary of Governance in President Vicente Fox's administration from 2000 to 2005 and as a Federal Deputy (Congressman) in the 57th Congress, where he was Vice Speaker of the Chamber of Deputies and chaired the Government and Constitutional Issues Committee. Mr. Creel practiced law with the firm of Noriega y Escobedo in Mexico City for almost 20 years, and has been a legal consultant to many companies, both domestic and foreign, as well as to international organizations and to the Mexican government. Mr. Creel is now a member of the governing body of Pacto por México, which sponsors an extensive agenda of political, economic and structural changes in Mexico.</w:t>
      </w:r>
    </w:p>
    <w:p>
      <w:pPr>
        <w:spacing w:after="0" w:line="124" w:lineRule="exact"/>
        <w:rPr>
          <w:rFonts w:ascii="Arial" w:cs="Arial" w:eastAsia="Arial" w:hAnsi="Arial"/>
          <w:sz w:val="17"/>
          <w:szCs w:val="17"/>
          <w:i w:val="1"/>
          <w:iCs w:val="1"/>
          <w:color w:val="auto"/>
        </w:rPr>
      </w:pPr>
    </w:p>
    <w:p>
      <w:pPr>
        <w:ind w:left="500" w:right="38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experience; experience in developing, implementing and managing strategic plans; understanding of our unique business environment; government service experience.</w:t>
      </w:r>
    </w:p>
    <w:p>
      <w:pPr>
        <w:spacing w:after="0" w:line="116" w:lineRule="exact"/>
        <w:rPr>
          <w:rFonts w:ascii="Arial" w:cs="Arial" w:eastAsia="Arial" w:hAnsi="Arial"/>
          <w:sz w:val="17"/>
          <w:szCs w:val="17"/>
          <w:i w:val="1"/>
          <w:iCs w:val="1"/>
          <w:color w:val="auto"/>
        </w:rPr>
      </w:pPr>
    </w:p>
    <w:p>
      <w:pPr>
        <w:ind w:left="500" w:right="40" w:hanging="330"/>
        <w:spacing w:after="0" w:line="270" w:lineRule="auto"/>
        <w:tabs>
          <w:tab w:leader="none" w:pos="500" w:val="left"/>
        </w:tabs>
        <w:numPr>
          <w:ilvl w:val="0"/>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Peter Cumins </w:t>
      </w:r>
      <w:r>
        <w:rPr>
          <w:rFonts w:ascii="Arial" w:cs="Arial" w:eastAsia="Arial" w:hAnsi="Arial"/>
          <w:sz w:val="17"/>
          <w:szCs w:val="17"/>
          <w:color w:val="auto"/>
        </w:rPr>
        <w:t>— Mr. Cumins joined EZCORP as a director in July 2014. He is the Executive Deputy Chairman, and serves on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 Cash Converters International Limited (ASX: CCV), a public company headquartered in Perth, Western Australia. Cash Converters International owns and franchises retail and financial services stores in 21 countries. EZCORP owns approximately 32% of the outstanding ordinary shares of Cash Converters International. Mr. Cumins joined Cash Converters International in August 1990 as Finance and Administration Manager, became General Manager in March 1992 and served as Managing Director from April 1995 to January 2017, when he became Executive Deputy Chairman. During his tenure as Managing Director, Mr. Cumins oversaw the major growth in the number of company-owned and franchised locations in Australia, as well as the international development of the Cash Converters International franchise system. Mr. Cumins is a qualified accountant, and his experience in the management of large organizations has included senior executive positions in the government health sector, specifically with the Fremantle Hospital Group, where he was Finance and Human Resources Manager.</w:t>
      </w:r>
    </w:p>
    <w:p>
      <w:pPr>
        <w:spacing w:after="0" w:line="127" w:lineRule="exact"/>
        <w:rPr>
          <w:rFonts w:ascii="Arial" w:cs="Arial" w:eastAsia="Arial" w:hAnsi="Arial"/>
          <w:sz w:val="17"/>
          <w:szCs w:val="17"/>
          <w:i w:val="1"/>
          <w:iCs w:val="1"/>
          <w:color w:val="auto"/>
        </w:rPr>
      </w:pPr>
    </w:p>
    <w:p>
      <w:pPr>
        <w:ind w:left="500" w:right="140"/>
        <w:spacing w:after="0" w:line="286" w:lineRule="auto"/>
        <w:rPr>
          <w:rFonts w:ascii="Arial" w:cs="Arial" w:eastAsia="Arial" w:hAnsi="Arial"/>
          <w:sz w:val="17"/>
          <w:szCs w:val="17"/>
          <w:i w:val="1"/>
          <w:iCs w:val="1"/>
          <w:color w:val="auto"/>
        </w:rPr>
      </w:pPr>
      <w:r>
        <w:rPr>
          <w:rFonts w:ascii="Arial" w:cs="Arial" w:eastAsia="Arial" w:hAnsi="Arial"/>
          <w:sz w:val="17"/>
          <w:szCs w:val="17"/>
          <w:color w:val="auto"/>
        </w:rPr>
        <w:t>Director qualifications: leadership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w:t>
      </w:r>
    </w:p>
    <w:p>
      <w:pPr>
        <w:spacing w:after="0" w:line="111" w:lineRule="exact"/>
        <w:rPr>
          <w:rFonts w:ascii="Arial" w:cs="Arial" w:eastAsia="Arial" w:hAnsi="Arial"/>
          <w:sz w:val="17"/>
          <w:szCs w:val="17"/>
          <w:i w:val="1"/>
          <w:iCs w:val="1"/>
          <w:color w:val="auto"/>
        </w:rPr>
      </w:pPr>
    </w:p>
    <w:p>
      <w:pPr>
        <w:ind w:left="500" w:hanging="330"/>
        <w:spacing w:after="0" w:line="269" w:lineRule="auto"/>
        <w:tabs>
          <w:tab w:leader="none" w:pos="500" w:val="left"/>
        </w:tabs>
        <w:numPr>
          <w:ilvl w:val="0"/>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Lachlan P. Given </w:t>
      </w:r>
      <w:r>
        <w:rPr>
          <w:rFonts w:ascii="Arial" w:cs="Arial" w:eastAsia="Arial" w:hAnsi="Arial"/>
          <w:sz w:val="17"/>
          <w:szCs w:val="17"/>
          <w:color w:val="auto"/>
        </w:rPr>
        <w:t>— Mr. Given was appointed to the Board of Directors as Non-Executive Chairman in July 2014, became Executive Vice Chairman in</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2014 and Executive Chairman in February 2015. Mr. Given serves on the Compensation Committee. He is the sole beneficial owner of LPG Limited (HK), a business and financial advisory firm, and prior to assuming the role of Executive Vice Chairman of EZCORP, provided international financial and advisory services to a number of companies, including EZCORP from October 2012 to June 2014. Since 2004, Mr. Given has also served as a consultant and advisor to Madison Park LLC, which has, in the past, provided certain advisory services to the Company. Madison Park is wholly owned by Phillip E. Cohen, who is the beneficial owner of all of our Class B Voting Common Stock. Mr. Given is also a director of The Farm Journal Corporation, a 134-year old pre-eminent U.S. agricultural media company; Senetas Corporation Limited (ASX: SEN), the world's leading developer and manufacturer of certified, defense-grade encryption solutions; CANSTAR Pty Ltd, the leading Australian financial services ratings and research firm; and TAB Products Co. LLC, a leading North American records management company. Mr. Given began his career working in the investment banking and equity capital markets divisions of Merrill Lynch in Hong Kong and Sydney, Australia, where he specialized in the origination and execution of a variety of M&amp;A, equity, equity-linked and fixed income transactions. Mr. Given also serves on the board of directors of Cash Converters International Limited.</w:t>
      </w:r>
    </w:p>
    <w:p>
      <w:pPr>
        <w:spacing w:after="0" w:line="125" w:lineRule="exact"/>
        <w:rPr>
          <w:rFonts w:ascii="Arial" w:cs="Arial" w:eastAsia="Arial" w:hAnsi="Arial"/>
          <w:sz w:val="17"/>
          <w:szCs w:val="17"/>
          <w:i w:val="1"/>
          <w:iCs w:val="1"/>
          <w:color w:val="auto"/>
        </w:rPr>
      </w:pPr>
    </w:p>
    <w:p>
      <w:pPr>
        <w:ind w:left="500" w:right="58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broad business experience; financial experience and expertise; international experience and global perspective; industry knowledge; experience in developing growth strategies; understanding of our unique business environment.</w:t>
      </w:r>
    </w:p>
    <w:p>
      <w:pPr>
        <w:spacing w:after="0" w:line="116" w:lineRule="exact"/>
        <w:rPr>
          <w:rFonts w:ascii="Arial" w:cs="Arial" w:eastAsia="Arial" w:hAnsi="Arial"/>
          <w:sz w:val="17"/>
          <w:szCs w:val="17"/>
          <w:i w:val="1"/>
          <w:iCs w:val="1"/>
          <w:color w:val="auto"/>
        </w:rPr>
      </w:pPr>
    </w:p>
    <w:p>
      <w:pPr>
        <w:ind w:left="500" w:right="60" w:hanging="330"/>
        <w:spacing w:after="0" w:line="259" w:lineRule="auto"/>
        <w:tabs>
          <w:tab w:leader="none" w:pos="50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Stuart I. Grimshaw </w:t>
      </w:r>
      <w:r>
        <w:rPr>
          <w:rFonts w:ascii="Arial" w:cs="Arial" w:eastAsia="Arial" w:hAnsi="Arial"/>
          <w:sz w:val="18"/>
          <w:szCs w:val="18"/>
          <w:color w:val="auto"/>
        </w:rPr>
        <w:t>— Mr. Grimshaw joined EZCORP in November 2014 as Executive Chairman and a member of the Board of Directors. He became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in February 2015. Prior to joining EZCORP, he was Managing Director and Chief Executive Officer of Bank of Queensland Limited (ASX: BOQ), a consumer banking and financial services institution with branches in every Australian state and territory. During his 30-year career in financial services,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spacing w:after="0" w:line="320" w:lineRule="auto"/>
        <w:rPr>
          <w:sz w:val="20"/>
          <w:szCs w:val="20"/>
          <w:color w:val="auto"/>
        </w:rPr>
      </w:pPr>
      <w:r>
        <w:rPr>
          <w:rFonts w:ascii="Arial" w:cs="Arial" w:eastAsia="Arial" w:hAnsi="Arial"/>
          <w:sz w:val="17"/>
          <w:szCs w:val="17"/>
          <w:color w:val="auto"/>
        </w:rPr>
        <w:t>Mr. Grimshaw held a wide variety of other roles at various banking and finance companies. From 2009 to 2011, he was Chief Executive Officer of Caledonia Investments Pty Ltd. Prior to that, Mr. Grimshaw spent eight years at Commonwealth Bank of Australia, where he served as Group Executive, Premium Business Services (2006 to 2009), Group Executive, Wealth Management (2002 to 2006) and Chief Financial Officer (2001 to 2002). From 1991 to 2001, Mr. Grimshaw held a variety of roles at National Australia Bank (including Chief Executive Officer – Great Britain, and other executive roles in Credit, Institutional Banking, Corporate Financial Services and Global Business Financial Services). Mr. Grimshaw began his career at Australia and New Zealand Banking Group (1983 to 1991). Mr. Grimshaw represented New Zealand in Field Hockey at the 1984 Olympics and has a Bachelor of Commerce and Administration degree from Victoria University in Wellington, New Zealand and an MBA from Melbourne University. He has also completed the Program for Management Development at Harvard Business School. Mr. Grimshaw also serves as non-executive chairman of the board of directors of Cash Converters International Limited.</w:t>
      </w:r>
    </w:p>
    <w:p>
      <w:pPr>
        <w:spacing w:after="0" w:line="99"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Director qualifications: leadership, chief executive officer and executive management experience; broad business and strategically relevant experience; financial experience; international experience and global perspective; industry knowledge; experience in developing growth strategies; personnel development; deep understanding of conducting business in highly regulated environments.</w:t>
      </w:r>
    </w:p>
    <w:p>
      <w:pPr>
        <w:spacing w:after="0" w:line="127" w:lineRule="exact"/>
        <w:rPr>
          <w:sz w:val="20"/>
          <w:szCs w:val="20"/>
          <w:color w:val="auto"/>
        </w:rPr>
      </w:pPr>
    </w:p>
    <w:p>
      <w:pPr>
        <w:ind w:left="500" w:hanging="330"/>
        <w:spacing w:after="0" w:line="289" w:lineRule="auto"/>
        <w:tabs>
          <w:tab w:leader="none" w:pos="50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Pablo Lagos Espinosa </w:t>
      </w:r>
      <w:r>
        <w:rPr>
          <w:rFonts w:ascii="Arial" w:cs="Arial" w:eastAsia="Arial" w:hAnsi="Arial"/>
          <w:sz w:val="16"/>
          <w:szCs w:val="16"/>
          <w:color w:val="auto"/>
        </w:rPr>
        <w:t>— Mr. Lagos joined EZCORP as a director in October 2010. He is Chair of the Compensation Committee and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mainly in real estate development and senior living residential services,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Casa del Parque, a privately held enterprise focused on developing senior living residences in Mexico. He is also a member of the Mexican Advisory Board for Niagara Waters, a leading manufacturer of bottled water in the U.S. and Mexico.</w:t>
      </w:r>
    </w:p>
    <w:p>
      <w:pPr>
        <w:spacing w:after="0" w:line="112" w:lineRule="exact"/>
        <w:rPr>
          <w:rFonts w:ascii="Arial" w:cs="Arial" w:eastAsia="Arial" w:hAnsi="Arial"/>
          <w:sz w:val="16"/>
          <w:szCs w:val="16"/>
          <w:i w:val="1"/>
          <w:iCs w:val="1"/>
          <w:color w:val="auto"/>
        </w:rPr>
      </w:pPr>
    </w:p>
    <w:p>
      <w:pPr>
        <w:ind w:left="500" w:right="40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spacing w:after="0" w:line="132" w:lineRule="exact"/>
        <w:rPr>
          <w:rFonts w:ascii="Arial" w:cs="Arial" w:eastAsia="Arial" w:hAnsi="Arial"/>
          <w:sz w:val="16"/>
          <w:szCs w:val="16"/>
          <w:i w:val="1"/>
          <w:iCs w:val="1"/>
          <w:color w:val="auto"/>
        </w:rPr>
      </w:pPr>
    </w:p>
    <w:p>
      <w:pPr>
        <w:ind w:left="500" w:right="20" w:hanging="330"/>
        <w:spacing w:after="0" w:line="272" w:lineRule="auto"/>
        <w:tabs>
          <w:tab w:leader="none" w:pos="500" w:val="left"/>
        </w:tabs>
        <w:numPr>
          <w:ilvl w:val="0"/>
          <w:numId w:val="6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Thomas C. Roberts </w:t>
      </w:r>
      <w:r>
        <w:rPr>
          <w:rFonts w:ascii="Arial" w:cs="Arial" w:eastAsia="Arial" w:hAnsi="Arial"/>
          <w:sz w:val="17"/>
          <w:szCs w:val="17"/>
          <w:color w:val="auto"/>
        </w:rPr>
        <w:t>— Mr. Roberts rejoined the Board of Directors of EZCORP in July 2014 and currently serves as a member of the Audit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Compensation Committee. He previously served as a director of the Company from January 2005 to January 2014 and was Lead Director from November 2008 to September 2013. He also served as a member of both the Audit and Compensation Committees until September 2013. Since 1990, Mr. Roberts has been a private investor and served as the Chairman of the Board of Directors of Pensco, Inc., a financial services company in which he held a significant ownership position, between 1990 and April 2016. Previously, he served as a senior executive, including Chief Financial Officer, of Schlumberger, Ltd. from 1970 to 1985 and President of Control Data Computer Systems and Services, as well as a member of Control Data Corporation’s Board of Directors (1985 to 1989).</w:t>
      </w:r>
    </w:p>
    <w:p>
      <w:pPr>
        <w:spacing w:after="0" w:line="123" w:lineRule="exact"/>
        <w:rPr>
          <w:rFonts w:ascii="Arial" w:cs="Arial" w:eastAsia="Arial" w:hAnsi="Arial"/>
          <w:sz w:val="17"/>
          <w:szCs w:val="17"/>
          <w:i w:val="1"/>
          <w:iCs w:val="1"/>
          <w:color w:val="auto"/>
        </w:rPr>
      </w:pPr>
    </w:p>
    <w:p>
      <w:pPr>
        <w:ind w:left="500" w:right="280"/>
        <w:spacing w:after="0" w:line="259"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experience; chief financial officer, chief executive officer and general management experience in significant and complex multi-national environments; deep understanding of strategically important geographies and international markets; risk management experience; financial expertise; experience in developing, implementing and managing strategic plans, including international expansion; personnel development.</w:t>
      </w:r>
    </w:p>
    <w:p>
      <w:pPr>
        <w:spacing w:after="0" w:line="132" w:lineRule="exact"/>
        <w:rPr>
          <w:rFonts w:ascii="Arial" w:cs="Arial" w:eastAsia="Arial" w:hAnsi="Arial"/>
          <w:sz w:val="17"/>
          <w:szCs w:val="17"/>
          <w:i w:val="1"/>
          <w:iCs w:val="1"/>
          <w:color w:val="auto"/>
        </w:rPr>
      </w:pPr>
    </w:p>
    <w:p>
      <w:pPr>
        <w:ind w:left="500" w:right="60" w:hanging="330"/>
        <w:spacing w:after="0" w:line="289" w:lineRule="auto"/>
        <w:tabs>
          <w:tab w:leader="none" w:pos="50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Joseph L. Rotunda </w:t>
      </w:r>
      <w:r>
        <w:rPr>
          <w:rFonts w:ascii="Arial" w:cs="Arial" w:eastAsia="Arial" w:hAnsi="Arial"/>
          <w:sz w:val="16"/>
          <w:szCs w:val="16"/>
          <w:color w:val="auto"/>
        </w:rPr>
        <w:t>— Mr. Rotunda currently serves as Chief Operating Officer, having been appointed to that position in October 2016. Mr. Rotunda</w:t>
      </w:r>
      <w:r>
        <w:rPr>
          <w:rFonts w:ascii="Arial" w:cs="Arial" w:eastAsia="Arial" w:hAnsi="Arial"/>
          <w:sz w:val="16"/>
          <w:szCs w:val="16"/>
          <w:i w:val="1"/>
          <w:iCs w:val="1"/>
          <w:color w:val="auto"/>
        </w:rPr>
        <w:t xml:space="preserve"> </w:t>
      </w:r>
      <w:r>
        <w:rPr>
          <w:rFonts w:ascii="Arial" w:cs="Arial" w:eastAsia="Arial" w:hAnsi="Arial"/>
          <w:sz w:val="16"/>
          <w:szCs w:val="16"/>
          <w:color w:val="auto"/>
        </w:rPr>
        <w:t>has a relationship with the Company that spans the past 17 years. Mr. Rotunda joined EZCORP as President and Chief Operating officer and a director in February 2000 and was promoted to Chief Executive Officer in August 2000. He retired from that position, and as a member of the Board of Directors, in October 2010 and became a consultant to the Company pursuant to a five-year consulting agreement. That agreement was mutually terminated in November 2013. Mr. Rotunda rejoined the Board of Directors in July 2014, and assumed an executive role in May 2015 when he was appointed President, North American Pawn. Prior to joining EZCORP in 2000, Mr. Rotunda was the Chief Operating Officer of G&amp;K Services, Inc. (1998 to 2000) and held several executive positions, including Executive Vice President and Chief Operating Officer, with Rent-A-Center, Inc. (1991 to 1998). Mr. Rotunda served as a director of EasyHome Ltd. of Toronto, Canada from 2000 until 2010 and as a member of the board of directors of eCommission Financial Services, Inc., headquartered in Austin, Texas, until its sale in 2017.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120"/>
        <w:spacing w:after="0" w:line="259" w:lineRule="auto"/>
        <w:rPr>
          <w:sz w:val="20"/>
          <w:szCs w:val="20"/>
          <w:color w:val="auto"/>
        </w:rPr>
      </w:pPr>
      <w:r>
        <w:rPr>
          <w:rFonts w:ascii="Arial" w:cs="Arial" w:eastAsia="Arial" w:hAnsi="Arial"/>
          <w:sz w:val="18"/>
          <w:szCs w:val="18"/>
          <w:color w:val="auto"/>
        </w:rPr>
        <w:t>Director qualifications: leadership, chief executive officer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 understanding of our unique business environment.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 age and position of each of the persons serving as our executive officers as of November 1,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121"/>
        </w:trPr>
        <w:tc>
          <w:tcPr>
            <w:tcW w:w="3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tcBorders>
              <w:top w:val="single" w:sz="8" w:color="auto"/>
            </w:tcBorders>
          </w:tcPr>
          <w:p>
            <w:pPr>
              <w:spacing w:after="0"/>
              <w:rPr>
                <w:sz w:val="10"/>
                <w:szCs w:val="10"/>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Lachlan P. Given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Chairman</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Alomes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Human Resources Officer &amp; New Ventures</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Daniel M. Chism</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DeBenedictus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Customer Experience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David John Hurrell</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Information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Fransisco Kuthy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Manager, Empeño Fácil</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Jacob Wedin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Business Development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Thomas H. Welch, Jr.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Set forth below is current biographical information about our executive officers, except for Mr. Grimshaw, Mr. Given and Mr. Rotunda, whose biographical information is included under “Board of Directors” above.</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Scott Alomes </w:t>
      </w:r>
      <w:r>
        <w:rPr>
          <w:rFonts w:ascii="Arial" w:cs="Arial" w:eastAsia="Arial" w:hAnsi="Arial"/>
          <w:sz w:val="18"/>
          <w:szCs w:val="18"/>
          <w:color w:val="auto"/>
        </w:rPr>
        <w:t>— Mr. Alomes joined EZCORP as Chief Human Resources Officer in March 2015. In October 2016, Mr. Alomes was assigned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oversight responsibility for the Company’s CashMax business in Canada, as well as all new ventures, and his title was changed to Chief Human Resources Officer &amp; New Ventures. He has more than 30 years of experience and has spent his entire career in Human Resources for the financial services industry. He joined EZCORP from Crowe Horwath Australia, where he was HR Leader in the Southern Region for this large provider of accounting, audit, tax business and financial advice to individuals and businesses in Australia. Mr. Alomes has also held HR leadership roles at ClearView Wealth Limited (investments and life insurance products in Australia), Suncorp (banking and wealth management in Australia and New Zealand), Commonwealth Bank and National Australia Bank.</w:t>
      </w:r>
    </w:p>
    <w:p>
      <w:pPr>
        <w:spacing w:after="0" w:line="13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i w:val="1"/>
          <w:iCs w:val="1"/>
          <w:color w:val="auto"/>
        </w:rPr>
        <w:t xml:space="preserve">Daniel M. Chism </w:t>
      </w:r>
      <w:r>
        <w:rPr>
          <w:rFonts w:ascii="Arial" w:cs="Arial" w:eastAsia="Arial" w:hAnsi="Arial"/>
          <w:sz w:val="17"/>
          <w:szCs w:val="17"/>
          <w:color w:val="auto"/>
        </w:rPr>
        <w:t>— Mr. Chism rejoined EZCORP as Chief Financial Officer in May 2017. He has over 20 years of accounting, finance and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the pawn industry, with 12 of those years at EZCORP. He served as EZCORP’s Controller from August 1999 to October 2009, when he was promoted to Vice President, Finance and Chief Accounting Officer. He served in that position for two years until he left the company in October 2011. Mr. Chism further previously served as interim Chief Financial Officer from May 2010 to November 2010. After leaving the company, Mr. Chism co-founded, and served as Executive Vice President and Chief Financial Officer of, Cash Solutions Centers, LLC, a privately-held owner and operator of pawnshops and financial services stores. From May 2015 to July 2016, Mr. Chism also served as Executive Vice President - Chief Financial Officer of Gatsby Investments, LLC, a privately-held holding company, as well as Chief Financial Officer to two consumer products companies in the Gatsby Investments portfolio. Mr. Chism began his professional career at Ernst &amp; Young, where he served as Audit Manager on EZCORP’s account. He holds a Bachelor of Business Administration degree in Accounting and a Master in Professional Accounting degree from the University of Texas at Austin, and is a Certified Public Accountant and a Chartered Global Management Accountant.</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Mark DeBenedictus </w:t>
      </w:r>
      <w:r>
        <w:rPr>
          <w:rFonts w:ascii="Arial" w:cs="Arial" w:eastAsia="Arial" w:hAnsi="Arial"/>
          <w:sz w:val="18"/>
          <w:szCs w:val="18"/>
          <w:color w:val="auto"/>
        </w:rPr>
        <w:t>— Mr. DeBenedictus joined EZCORP as Chief Customer Experience Officer in May 2017, after having served as a strategic IT</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 for three months. Mr. DeBenedictus is responsible for executive oversight of the Company’s strategic and operational information technology function and for overseeing the Company’s developing and evolving businesses. Prior to joining EZCORP, Mr. DeBenedictus was founding partner and Chief Operating Officer of Repatriate Advisory Solutions LLC, an IT transformation specialist that assists companies in the evaluation and modification of IT and business process outsourcing arrangements. Prior to forming Repatriate Advisory Solutions in 2016, Mr. DeBenedictus spent five years with American International Group (AIG) as Senior Vice President, Global Infrastructure Services, and over twenty years in a variety of capacities with Electronic Data Services (EDS) and related companies, including Vice President, Global Financial Services; Vice President, U.S. Financial Services; Global Vice President, Service Delivery, Australia and New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Zealand; Managing Director, Credit Services; and Client Delivery Executive. Mr. DeBenedictus received a Bachelor of Arts degree in Computer Science from the State University of New York.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David John Hurrell </w:t>
      </w:r>
      <w:r>
        <w:rPr>
          <w:rFonts w:ascii="Arial" w:cs="Arial" w:eastAsia="Arial" w:hAnsi="Arial"/>
          <w:sz w:val="18"/>
          <w:szCs w:val="18"/>
          <w:color w:val="auto"/>
        </w:rPr>
        <w:t>— Mr. Hurrell joined EZCORP in August 2014 as Vice President, Systems Development and was promoted to Chief Information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2016. Prior to joining EZCORP, Mr. Hurrell spent 15 years with Cash America International, Inc., most recently serving as Senior Vice President responsible for New Systems Development and Business Transformation services. Mr. Hurrell started in the pawn industry as an IT Director with H&amp;T Group Plc, which operates pawn stores in the U.K. under the Harvey &amp; Thompson brand. Prior to that, he held senior IT management positions with The Rank Organization and Bass Leisure.</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Francisco J. Kuthy Saenger — </w:t>
      </w:r>
      <w:r>
        <w:rPr>
          <w:rFonts w:ascii="Arial" w:cs="Arial" w:eastAsia="Arial" w:hAnsi="Arial"/>
          <w:sz w:val="18"/>
          <w:szCs w:val="18"/>
          <w:color w:val="auto"/>
        </w:rPr>
        <w:t>Mr. Kuthy joined EZCORP in November 2013 as Senior Vice President of Operations for our Mexico Pawn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Empeño Fácil, and was promoted to General Manager of that business in May 2014. Prior to joining EZCORP, Mr. Kuthy spent over three years (May 2010 to November 2013) as General Manager of Farmacias Dermatologicas, S.A. de C.V., Mexico’s leading retailer of dermatology and derma-cosmetic consumer products; and six years with Comercial Mexicana, a large retail chain in Mexico, serving as Chief Operating Officer Bodega Comercial Mexicana (2006 to 2010) and District Manager Comercial Mexicana Bajio (May 2004 to 2006). Mr. Kuthy held previous positions in business development, sales administration, operations and field management with Bachoco, S.A. de C.V. (1997 to 2004), Sabritas, S.A. de C.V. (1997) and Wal-Mart’s Mexican subsidiary (1989 to 1997).</w:t>
      </w:r>
    </w:p>
    <w:p>
      <w:pPr>
        <w:spacing w:after="0" w:line="13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Jacob Wedin </w:t>
      </w:r>
      <w:r>
        <w:rPr>
          <w:rFonts w:ascii="Arial" w:cs="Arial" w:eastAsia="Arial" w:hAnsi="Arial"/>
          <w:sz w:val="18"/>
          <w:szCs w:val="18"/>
          <w:color w:val="auto"/>
        </w:rPr>
        <w:t>— Mr. Wedin joined EZCORP in May 2015 as Chief Product &amp; Process Officer. Prior to joining us, Mr. Wedin was the CEO of the Mexico</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at Bayport Financial Services, a provider of consumer financial services, including short, medium and long-term loans, where he led Bayport’s expansion into Mexico. Prior to that, he was Bayport’s Business Development Executive in Latin America. Prior to joining Bayport, he served as a representative of the Swedish Trade Commissions for several countries in Latin American and the Caribbean, based in Brazil. He is a native of Sweden and received his MBA from the American International University in London.</w:t>
      </w:r>
    </w:p>
    <w:p>
      <w:pPr>
        <w:spacing w:after="0" w:line="13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Thomas H. Welch, Jr. — </w:t>
      </w:r>
      <w:r>
        <w:rPr>
          <w:rFonts w:ascii="Arial" w:cs="Arial" w:eastAsia="Arial" w:hAnsi="Arial"/>
          <w:sz w:val="17"/>
          <w:szCs w:val="17"/>
          <w:color w:val="auto"/>
        </w:rPr>
        <w:t>Mr. Welch joined EZCORP in April 2009 as Senior Vice President, General Counsel and Secretary, with his title changing to Chief</w:t>
      </w:r>
      <w:r>
        <w:rPr>
          <w:rFonts w:ascii="Arial" w:cs="Arial" w:eastAsia="Arial" w:hAnsi="Arial"/>
          <w:sz w:val="17"/>
          <w:szCs w:val="17"/>
          <w:i w:val="1"/>
          <w:iCs w:val="1"/>
          <w:color w:val="auto"/>
        </w:rPr>
        <w:t xml:space="preserve"> </w:t>
      </w:r>
      <w:r>
        <w:rPr>
          <w:rFonts w:ascii="Arial" w:cs="Arial" w:eastAsia="Arial" w:hAnsi="Arial"/>
          <w:sz w:val="17"/>
          <w:szCs w:val="17"/>
          <w:color w:val="auto"/>
        </w:rPr>
        <w:t>Legal Officer and Secretary in May 2017. He joined Dell Inc.’s legal department in 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Company), and previously was a shareholder with the law firm of Johnson &amp; Gibbs, P.C., Dallas, Texas.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Based on written representations and a review of the relevant Forms 3, 4 and 5, during fiscal 2017, all persons subject to Section 16 of the Securities Exchange Act of 1934 with respect to EZCORP timely filed all reports required by Section 16(a) of the Securities Exchange Act.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a Code of Conduct that is applicable to all of our employees,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spacing w:after="0" w:line="13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i w:val="1"/>
          <w:iCs w:val="1"/>
          <w:color w:val="auto"/>
        </w:rPr>
        <w:t xml:space="preserve">Controlled Company Exemptions </w:t>
      </w:r>
      <w:r>
        <w:rPr>
          <w:rFonts w:ascii="Arial" w:cs="Arial" w:eastAsia="Arial" w:hAnsi="Arial"/>
          <w:sz w:val="17"/>
          <w:szCs w:val="17"/>
          <w:color w:val="auto"/>
        </w:rPr>
        <w:t>— The Nasdaq Listing Rules contain several corporate governance requirements for Nasdaq-listed companies.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generally relate to the composition of the board and its committees. For example, the rules require the following: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majority of the directors must be independent (Rule 5605(b)(1));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audit committee must have a least three members, each of whom must be independent (Rule 5605(c)(2));</w:t>
      </w:r>
    </w:p>
    <w:p>
      <w:pPr>
        <w:spacing w:after="0" w:line="171" w:lineRule="exact"/>
        <w:rPr>
          <w:rFonts w:ascii="Arial" w:cs="Arial" w:eastAsia="Arial" w:hAnsi="Arial"/>
          <w:sz w:val="18"/>
          <w:szCs w:val="18"/>
          <w:color w:val="auto"/>
        </w:rPr>
      </w:pPr>
    </w:p>
    <w:p>
      <w:pPr>
        <w:ind w:left="660" w:right="40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Executive officer compensation must be determined, or recommended to the board of directors for determination, by either (1) a majority of the independent directors or (2) a compensation committee comprised solely of independent directors (Rule 5605(d)); and</w:t>
      </w:r>
    </w:p>
    <w:p>
      <w:pPr>
        <w:spacing w:after="0" w:line="92" w:lineRule="exact"/>
        <w:rPr>
          <w:rFonts w:ascii="Arial" w:cs="Arial" w:eastAsia="Arial" w:hAnsi="Arial"/>
          <w:sz w:val="17"/>
          <w:szCs w:val="17"/>
          <w:color w:val="auto"/>
        </w:rPr>
      </w:pPr>
    </w:p>
    <w:p>
      <w:pPr>
        <w:ind w:left="660" w:right="50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Director nominations must be selected, or recommended for the board’s selection, by either (1) a majority of the independent directors or (2) a nominations committee comprised solely of independent directors (Rule 5605(e)).</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by MS Pawn Limited Partnership and beneficially by Phillip E. Cohen. See “Part III, Item 10 — Directors, Executive Officers and Corporate Governance — Corporate Governance — Committees of the Board” and “Part III, Item 13 — Certain Relationships and Related Transactions and Director Independence — Director Independence.”</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Committees of the Board </w:t>
      </w:r>
      <w:r>
        <w:rPr>
          <w:rFonts w:ascii="Arial" w:cs="Arial" w:eastAsia="Arial" w:hAnsi="Arial"/>
          <w:sz w:val="18"/>
          <w:szCs w:val="18"/>
          <w:color w:val="auto"/>
        </w:rPr>
        <w:t>— The Board of Directors maintains the following committees to assist it in its oversight responsibilities. The current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committee is indicated in the list of directors set forth under “Board of Directors” above.</w:t>
      </w:r>
    </w:p>
    <w:p>
      <w:pPr>
        <w:spacing w:after="0" w:line="62" w:lineRule="exact"/>
        <w:rPr>
          <w:sz w:val="20"/>
          <w:szCs w:val="20"/>
          <w:color w:val="auto"/>
        </w:rPr>
      </w:pPr>
    </w:p>
    <w:p>
      <w:pPr>
        <w:ind w:left="500" w:right="20" w:hanging="330"/>
        <w:spacing w:after="0" w:line="255"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 The Audit Committee assists the Board in fulfilling its responsibility to provide oversight with respect to our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reports and other disclosures provided to stockholders, the system of internal controls, the audit process and legal and ethical compliance. Its primary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appraising our financial reporting activities and the accounting standards and principles followed; and reviewing and approving ethics and compliance policies. The Audit Committee also selects, engages, compensates and oversees our independent auditor and pre-approves all services to be performed by the independent auditing firm.</w:t>
      </w:r>
    </w:p>
    <w:p>
      <w:pPr>
        <w:spacing w:after="0" w:line="81" w:lineRule="exact"/>
        <w:rPr>
          <w:rFonts w:ascii="Arial" w:cs="Arial" w:eastAsia="Arial" w:hAnsi="Arial"/>
          <w:sz w:val="18"/>
          <w:szCs w:val="18"/>
          <w:color w:val="auto"/>
        </w:rPr>
      </w:pPr>
    </w:p>
    <w:p>
      <w:pPr>
        <w:ind w:left="500" w:right="180"/>
        <w:spacing w:after="0" w:line="257" w:lineRule="auto"/>
        <w:rPr>
          <w:rFonts w:ascii="Arial" w:cs="Arial" w:eastAsia="Arial" w:hAnsi="Arial"/>
          <w:sz w:val="18"/>
          <w:szCs w:val="18"/>
          <w:color w:val="auto"/>
        </w:rPr>
      </w:pPr>
      <w:r>
        <w:rPr>
          <w:rFonts w:ascii="Arial" w:cs="Arial" w:eastAsia="Arial" w:hAnsi="Arial"/>
          <w:sz w:val="18"/>
          <w:szCs w:val="18"/>
          <w:color w:val="auto"/>
        </w:rPr>
        <w:t>The Audit Committee is comprised entirely of directors who satisfy the standards of independence described under “Part III,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Appel, Chair of the committee, is a “financial expert” within the meaning of the current rules of the SEC.</w:t>
      </w:r>
    </w:p>
    <w:p>
      <w:pPr>
        <w:spacing w:after="0" w:line="80" w:lineRule="exact"/>
        <w:rPr>
          <w:rFonts w:ascii="Arial" w:cs="Arial" w:eastAsia="Arial" w:hAnsi="Arial"/>
          <w:sz w:val="18"/>
          <w:szCs w:val="18"/>
          <w:color w:val="auto"/>
        </w:rPr>
      </w:pPr>
    </w:p>
    <w:p>
      <w:pPr>
        <w:ind w:left="500" w:right="100" w:hanging="330"/>
        <w:spacing w:after="0" w:line="271" w:lineRule="auto"/>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 The Compensation Committee reviews and approves, on behalf of the Board, the amounts and types of compensation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be paid to our executive officers; reviews and recommends to the full Board the amount and type of compensation to be paid to our non-employee directors; reviews and approves, on behalf of the Board, all bonus and equity compensation to be paid to our other employees; and administers our stock compensation plans. Since September 2014, pursuant to the Nasdaq Controlled Company exemption described above, Mr. Given, our Executive Chairman and a non-independent director, has served on the Compensation Committee. See “Part III, Item 11 — Executive Compensation — Compensation Discussion and Analysis — Composition of the Compensation Committee.” The committee has formed an “independent subcommittee,” consisting solely of independent directors, to consider and approve any items of compensation that are required to be approved solely by “independent,” “non-employee” or “outside” directors.</w:t>
      </w:r>
    </w:p>
    <w:p>
      <w:pPr>
        <w:spacing w:after="0" w:line="1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and the Compensation Committee are governed by written charters, copies of which can be found in the Investor Relations section of our website at www.ezcorp.com.</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all of our voting stock is beneficially owned by Phillip E. Cohen and pursuant to the Nasdaq Controlled Company exemption described above, we do not currently maintain a standing nominating committee of the Board of Directors. In the absence of a nominating committee, the full Board of Directors typically evaluates and considers director nominees, fills vacant positions on the Board and, on an annual basis, recommends nominees for election or reelection by the voting stockholder.</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Meetings and Attendance </w:t>
      </w:r>
      <w:r>
        <w:rPr>
          <w:rFonts w:ascii="Arial" w:cs="Arial" w:eastAsia="Arial" w:hAnsi="Arial"/>
          <w:sz w:val="18"/>
          <w:szCs w:val="18"/>
          <w:color w:val="auto"/>
        </w:rPr>
        <w:t>— The following table sets forth the number of meetings held during fiscal 2017 by the Board of Directors and each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well as the number of times during the year that action was taken by unanimous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written consent. The Company’s Bylaws currently require the unanimous attendance of all directors in order for a quorum to be present. In addition to the number of official Board meetings noted below, the Board of Directors also held five other meetings that were not considered official meetings due to the absence of a quorum. Those meetings were generally followed by a unanimous written consent approving the matters that were the subject of the discussions.</w:t>
      </w:r>
    </w:p>
    <w:p>
      <w:pPr>
        <w:spacing w:after="0" w:line="2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directors attended at least 75% of the meetings of the Board and of the committees on which they served, except for Mr. Creel, who attended three Board meetings and three Compensation Committee meetings.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Fiscal 2017</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240" w:type="dxa"/>
            <w:vAlign w:val="bottom"/>
            <w:vMerge w:val="restart"/>
          </w:tcPr>
          <w:p>
            <w:pPr>
              <w:jc w:val="center"/>
              <w:ind w:left="134"/>
              <w:spacing w:after="0"/>
              <w:rPr>
                <w:sz w:val="20"/>
                <w:szCs w:val="20"/>
                <w:color w:val="auto"/>
              </w:rPr>
            </w:pPr>
            <w:r>
              <w:rPr>
                <w:rFonts w:ascii="Arial" w:cs="Arial" w:eastAsia="Arial" w:hAnsi="Arial"/>
                <w:sz w:val="14"/>
                <w:szCs w:val="14"/>
                <w:b w:val="1"/>
                <w:bCs w:val="1"/>
                <w:color w:val="auto"/>
                <w:w w:val="94"/>
              </w:rPr>
              <w:t>Meetings Held</w:t>
            </w:r>
          </w:p>
        </w:tc>
        <w:tc>
          <w:tcPr>
            <w:tcW w:w="2060" w:type="dxa"/>
            <w:vAlign w:val="bottom"/>
          </w:tcPr>
          <w:p>
            <w:pPr>
              <w:jc w:val="center"/>
              <w:ind w:left="159"/>
              <w:spacing w:after="0" w:line="153" w:lineRule="exact"/>
              <w:rPr>
                <w:sz w:val="20"/>
                <w:szCs w:val="20"/>
                <w:color w:val="auto"/>
              </w:rPr>
            </w:pPr>
            <w:r>
              <w:rPr>
                <w:rFonts w:ascii="Arial" w:cs="Arial" w:eastAsia="Arial" w:hAnsi="Arial"/>
                <w:sz w:val="14"/>
                <w:szCs w:val="14"/>
                <w:b w:val="1"/>
                <w:bCs w:val="1"/>
                <w:color w:val="auto"/>
                <w:w w:val="93"/>
              </w:rPr>
              <w:t>Action by Unanimous</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left="159"/>
              <w:spacing w:after="0"/>
              <w:rPr>
                <w:sz w:val="20"/>
                <w:szCs w:val="20"/>
                <w:color w:val="auto"/>
              </w:rPr>
            </w:pPr>
            <w:r>
              <w:rPr>
                <w:rFonts w:ascii="Arial" w:cs="Arial" w:eastAsia="Arial" w:hAnsi="Arial"/>
                <w:sz w:val="14"/>
                <w:szCs w:val="14"/>
                <w:b w:val="1"/>
                <w:bCs w:val="1"/>
                <w:color w:val="auto"/>
                <w:w w:val="94"/>
              </w:rPr>
              <w:t>Written Consent</w:t>
            </w:r>
          </w:p>
        </w:tc>
        <w:tc>
          <w:tcPr>
            <w:tcW w:w="0" w:type="dxa"/>
            <w:vAlign w:val="bottom"/>
          </w:tcPr>
          <w:p>
            <w:pPr>
              <w:spacing w:after="0"/>
              <w:rPr>
                <w:sz w:val="1"/>
                <w:szCs w:val="1"/>
                <w:color w:val="auto"/>
              </w:rPr>
            </w:pPr>
          </w:p>
        </w:tc>
      </w:tr>
      <w:tr>
        <w:trPr>
          <w:trHeight w:val="121"/>
        </w:trPr>
        <w:tc>
          <w:tcPr>
            <w:tcW w:w="8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24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9"/>
              </w:rPr>
              <w:t>3</w:t>
            </w:r>
          </w:p>
        </w:tc>
        <w:tc>
          <w:tcPr>
            <w:tcW w:w="206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Audit Committee</w:t>
            </w:r>
          </w:p>
        </w:tc>
        <w:tc>
          <w:tcPr>
            <w:tcW w:w="1240" w:type="dxa"/>
            <w:vAlign w:val="bottom"/>
          </w:tcPr>
          <w:p>
            <w:pPr>
              <w:jc w:val="center"/>
              <w:ind w:left="134"/>
              <w:spacing w:after="0"/>
              <w:rPr>
                <w:sz w:val="20"/>
                <w:szCs w:val="20"/>
                <w:color w:val="auto"/>
              </w:rPr>
            </w:pPr>
            <w:r>
              <w:rPr>
                <w:rFonts w:ascii="Arial" w:cs="Arial" w:eastAsia="Arial" w:hAnsi="Arial"/>
                <w:sz w:val="18"/>
                <w:szCs w:val="18"/>
                <w:color w:val="auto"/>
                <w:w w:val="99"/>
              </w:rPr>
              <w:t>6</w:t>
            </w:r>
          </w:p>
        </w:tc>
        <w:tc>
          <w:tcPr>
            <w:tcW w:w="2060" w:type="dxa"/>
            <w:vAlign w:val="bottom"/>
          </w:tcPr>
          <w:p>
            <w:pPr>
              <w:jc w:val="center"/>
              <w:ind w:left="1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Committee</w:t>
            </w:r>
          </w:p>
        </w:tc>
        <w:tc>
          <w:tcPr>
            <w:tcW w:w="124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w w:val="99"/>
              </w:rPr>
              <w:t>6</w:t>
            </w:r>
          </w:p>
        </w:tc>
        <w:tc>
          <w:tcPr>
            <w:tcW w:w="2060" w:type="dxa"/>
            <w:vAlign w:val="bottom"/>
            <w:shd w:val="clear" w:color="auto" w:fill="CCEEFF"/>
          </w:tcPr>
          <w:p>
            <w:pPr>
              <w:jc w:val="center"/>
              <w:ind w:left="159"/>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fiscal 2017, the Board of Directors formed and commissioned a special acquisition committee, consisting of Mr. Appel, Mr. Creel, Mr. Lagos and Mr. Roberts, to review and evaluate the terms of the GPMX acquisition and to approve the transaction on behalf of the full Board of Directors. This special acquisitions committee met three times from May through October (and each committee member attended all meetings, except for Mr. Creel, who attended two of the meetings) and took one action by unanimous written consent.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Compensation Discussion and Analysis describes our compensation practices and the executive compensation policies, decisions and actions of the Compensation Committee of our Board of Directors (the “Committee”). It focuses specifically on compensation earned during fiscal 2017 by the following individuals, referred to as our Named Executive Officers.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778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Position</w:t>
            </w:r>
          </w:p>
        </w:tc>
      </w:tr>
      <w:tr>
        <w:trPr>
          <w:trHeight w:val="121"/>
        </w:trPr>
        <w:tc>
          <w:tcPr>
            <w:tcW w:w="3580" w:type="dxa"/>
            <w:vAlign w:val="bottom"/>
          </w:tcPr>
          <w:p>
            <w:pPr>
              <w:spacing w:after="0"/>
              <w:rPr>
                <w:sz w:val="10"/>
                <w:szCs w:val="10"/>
                <w:color w:val="auto"/>
              </w:rPr>
            </w:pPr>
          </w:p>
        </w:tc>
        <w:tc>
          <w:tcPr>
            <w:tcW w:w="7780" w:type="dxa"/>
            <w:vAlign w:val="bottom"/>
          </w:tcPr>
          <w:p>
            <w:pPr>
              <w:spacing w:after="0"/>
              <w:rPr>
                <w:sz w:val="10"/>
                <w:szCs w:val="10"/>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Stuart I. Grimshaw</w:t>
            </w:r>
          </w:p>
        </w:tc>
        <w:tc>
          <w:tcPr>
            <w:tcW w:w="778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8"/>
                <w:szCs w:val="18"/>
                <w:color w:val="auto"/>
              </w:rPr>
              <w:t>Chief Executive Officer</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Daniel M. Chism (a)</w:t>
            </w:r>
          </w:p>
        </w:tc>
        <w:tc>
          <w:tcPr>
            <w:tcW w:w="7780" w:type="dxa"/>
            <w:vAlign w:val="bottom"/>
          </w:tcPr>
          <w:p>
            <w:pPr>
              <w:ind w:left="2020"/>
              <w:spacing w:after="0"/>
              <w:rPr>
                <w:sz w:val="20"/>
                <w:szCs w:val="20"/>
                <w:color w:val="auto"/>
              </w:rPr>
            </w:pPr>
            <w:r>
              <w:rPr>
                <w:rFonts w:ascii="Arial" w:cs="Arial" w:eastAsia="Arial" w:hAnsi="Arial"/>
                <w:sz w:val="18"/>
                <w:szCs w:val="18"/>
                <w:color w:val="auto"/>
              </w:rPr>
              <w:t>Chief Financial Officer</w:t>
            </w:r>
          </w:p>
        </w:tc>
      </w:tr>
      <w:tr>
        <w:trPr>
          <w:trHeight w:val="27"/>
        </w:trPr>
        <w:tc>
          <w:tcPr>
            <w:tcW w:w="358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Lachlan P. Given</w:t>
            </w:r>
          </w:p>
        </w:tc>
        <w:tc>
          <w:tcPr>
            <w:tcW w:w="778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8"/>
                <w:szCs w:val="18"/>
                <w:color w:val="auto"/>
              </w:rPr>
              <w:t>Executive Chairman</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Joseph L. Rotunda</w:t>
            </w:r>
          </w:p>
        </w:tc>
        <w:tc>
          <w:tcPr>
            <w:tcW w:w="7780" w:type="dxa"/>
            <w:vAlign w:val="bottom"/>
          </w:tcPr>
          <w:p>
            <w:pPr>
              <w:ind w:left="2020"/>
              <w:spacing w:after="0"/>
              <w:rPr>
                <w:sz w:val="20"/>
                <w:szCs w:val="20"/>
                <w:color w:val="auto"/>
              </w:rPr>
            </w:pPr>
            <w:r>
              <w:rPr>
                <w:rFonts w:ascii="Arial" w:cs="Arial" w:eastAsia="Arial" w:hAnsi="Arial"/>
                <w:sz w:val="18"/>
                <w:szCs w:val="18"/>
                <w:color w:val="auto"/>
              </w:rPr>
              <w:t>Chief Operating Officer</w:t>
            </w:r>
          </w:p>
        </w:tc>
      </w:tr>
      <w:tr>
        <w:trPr>
          <w:trHeight w:val="27"/>
        </w:trPr>
        <w:tc>
          <w:tcPr>
            <w:tcW w:w="358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Thomas H. Welch, Jr.</w:t>
            </w:r>
          </w:p>
        </w:tc>
        <w:tc>
          <w:tcPr>
            <w:tcW w:w="778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8"/>
                <w:szCs w:val="18"/>
                <w:color w:val="auto"/>
              </w:rPr>
              <w:t>Chief Legal Officer and Secretary</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Mark Ashby (a)</w:t>
            </w:r>
          </w:p>
        </w:tc>
        <w:tc>
          <w:tcPr>
            <w:tcW w:w="7780" w:type="dxa"/>
            <w:vAlign w:val="bottom"/>
          </w:tcPr>
          <w:p>
            <w:pPr>
              <w:ind w:left="2020"/>
              <w:spacing w:after="0"/>
              <w:rPr>
                <w:sz w:val="20"/>
                <w:szCs w:val="20"/>
                <w:color w:val="auto"/>
              </w:rPr>
            </w:pPr>
            <w:r>
              <w:rPr>
                <w:rFonts w:ascii="Arial" w:cs="Arial" w:eastAsia="Arial" w:hAnsi="Arial"/>
                <w:sz w:val="18"/>
                <w:szCs w:val="18"/>
                <w:color w:val="auto"/>
              </w:rPr>
              <w:t>Chief Financial Officer</w:t>
            </w:r>
          </w:p>
        </w:tc>
      </w:tr>
    </w:tbl>
    <w:p>
      <w:pPr>
        <w:spacing w:after="0" w:line="62"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Chism was appointed Chief Financial Officer effective May 9, 2017. Mr. Ashby served as Chief Financial Officer until his departure from the Company on May 8, 2017.</w:t>
      </w: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group of Named Executive Officers consists of (a) the only person who served as principal executive officer of the Company during fiscal 2017 (Mr. Grimshaw), (b) all persons who served as principal financial officer of the Company at any time during fiscal 2017 (Mr. Ashby and Mr. Chism) and (c) the three most highly compensated persons (other than the principal executive officer and principal financial officer) who were serving as executive officers at the end of fiscal 2017 (Mr. Given, Mr. Rotunda and Mr. Welch).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 Business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overview of certain fiscal 2017 business highlights that influenced the Committee’s executive compensation decisions:</w:t>
      </w:r>
    </w:p>
    <w:p>
      <w:pPr>
        <w:spacing w:after="0" w:line="17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Reported financial results:</w:t>
      </w:r>
    </w:p>
    <w:p>
      <w:pPr>
        <w:spacing w:after="0" w:line="171" w:lineRule="exact"/>
        <w:rPr>
          <w:rFonts w:ascii="Arial" w:cs="Arial" w:eastAsia="Arial" w:hAnsi="Arial"/>
          <w:sz w:val="18"/>
          <w:szCs w:val="18"/>
          <w:color w:val="auto"/>
        </w:rPr>
      </w:pPr>
    </w:p>
    <w:p>
      <w:pPr>
        <w:ind w:left="1300" w:right="100" w:hanging="320"/>
        <w:spacing w:after="0" w:line="259"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Company’s reported net income for fiscal 2017 was $31.9 million, improving from a net loss of $80.7 million in fiscal 2016. This resulted from a 2% increase in net revenue (including a 4% increase in pawn service charges), combined with prudent management of both operating and administrative expenses. These results are even more impressive after factoring out the significant negative impact of hurricanes and other natural disasters and events beyond management’s control.</w:t>
      </w:r>
    </w:p>
    <w:p>
      <w:pPr>
        <w:spacing w:after="0" w:line="132" w:lineRule="exact"/>
        <w:rPr>
          <w:rFonts w:ascii="Arial" w:cs="Arial" w:eastAsia="Arial" w:hAnsi="Arial"/>
          <w:sz w:val="18"/>
          <w:szCs w:val="18"/>
          <w:color w:val="auto"/>
        </w:rPr>
      </w:pPr>
    </w:p>
    <w:p>
      <w:pPr>
        <w:ind w:left="1300" w:right="480" w:hanging="320"/>
        <w:spacing w:after="0" w:line="277"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EBITDA for fiscal 2017 was $82.6 million, a significant improvement from fiscal 2016. This performance is attributable to continued improvement in our core pawn businesses in the U.S. and Mexico.</w:t>
      </w:r>
    </w:p>
    <w:p>
      <w:pPr>
        <w:spacing w:after="0" w:line="116" w:lineRule="exact"/>
        <w:rPr>
          <w:rFonts w:ascii="Arial" w:cs="Arial" w:eastAsia="Arial" w:hAnsi="Arial"/>
          <w:sz w:val="18"/>
          <w:szCs w:val="18"/>
          <w:color w:val="auto"/>
        </w:rPr>
      </w:pPr>
    </w:p>
    <w:p>
      <w:pPr>
        <w:ind w:left="1300" w:right="620" w:hanging="320"/>
        <w:spacing w:after="0" w:line="277"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We ended the year with $164.4 million in cash and cash equivalents, an increase of 150% versus the same time last year, while total liabilities were reduced 6.3%.</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During the year, we collected $34 million in payments from AlphaCredit related to our sale of Grupo Finmart, and in September, we restructured the payment of the remaining $61 million in a manner that provides us with an improved risk and return profile.</w:t>
      </w:r>
    </w:p>
    <w:p>
      <w:pPr>
        <w:spacing w:after="0" w:line="116"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July, we completed a $143.8 million offering of Convertible Notes and retired our Term Loan Facility and $35.0 million in face value of 2019 Cash Convertible Notes, further strengthening our balance sheet and liquidity and locking in an attractive fixed interest rate for a seven-year term.</w:t>
      </w:r>
    </w:p>
    <w:p>
      <w:pPr>
        <w:spacing w:after="0" w:line="69" w:lineRule="exact"/>
        <w:rPr>
          <w:rFonts w:ascii="Arial" w:cs="Arial" w:eastAsia="Arial" w:hAnsi="Arial"/>
          <w:sz w:val="16"/>
          <w:szCs w:val="16"/>
          <w:color w:val="auto"/>
        </w:rPr>
      </w:pPr>
    </w:p>
    <w:p>
      <w:pPr>
        <w:jc w:val="both"/>
        <w:ind w:left="660" w:right="120" w:hanging="328"/>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October (within a week of the fiscal year-end), we completed the GPMX acquisition, our largest pawn acquisition to date in terms of store count, expanding our store base into Latin American countries outside of Mexico and providing attractive opportunities for further growth and expansion. Even though this acquisition was completed shortly after the end of the year, the bulk of the work underlying the acquisition was completed during fiscal 2017.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Practices in Compensation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contains the following best-practice features:</w:t>
      </w:r>
    </w:p>
    <w:p>
      <w:pPr>
        <w:spacing w:after="0" w:line="208" w:lineRule="exact"/>
        <w:rPr>
          <w:sz w:val="20"/>
          <w:szCs w:val="20"/>
          <w:color w:val="auto"/>
        </w:rPr>
      </w:pPr>
    </w:p>
    <w:p>
      <w:pPr>
        <w:jc w:val="right"/>
        <w:ind w:right="2180"/>
        <w:spacing w:after="0"/>
        <w:tabs>
          <w:tab w:leader="none" w:pos="1460" w:val="left"/>
        </w:tabs>
        <w:rPr>
          <w:sz w:val="20"/>
          <w:szCs w:val="20"/>
          <w:color w:val="auto"/>
        </w:rPr>
      </w:pPr>
      <w:r>
        <w:rPr>
          <w:rFonts w:ascii="Arial" w:cs="Arial" w:eastAsia="Arial" w:hAnsi="Arial"/>
          <w:sz w:val="18"/>
          <w:szCs w:val="18"/>
          <w:b w:val="1"/>
          <w:bCs w:val="1"/>
          <w:color w:val="auto"/>
        </w:rPr>
        <w:t>What We Do</w:t>
      </w:r>
      <w:r>
        <w:rPr>
          <w:sz w:val="20"/>
          <w:szCs w:val="20"/>
          <w:color w:val="auto"/>
        </w:rPr>
        <w:tab/>
      </w:r>
      <w:r>
        <w:rPr>
          <w:rFonts w:ascii="Arial" w:cs="Arial" w:eastAsia="Arial" w:hAnsi="Arial"/>
          <w:sz w:val="17"/>
          <w:szCs w:val="17"/>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37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52" w:lineRule="exact"/>
        <w:rPr>
          <w:sz w:val="20"/>
          <w:szCs w:val="20"/>
          <w:color w:val="auto"/>
        </w:rPr>
      </w:pPr>
    </w:p>
    <w:p>
      <w:pPr>
        <w:ind w:left="220"/>
        <w:spacing w:after="0" w:line="221" w:lineRule="exact"/>
        <w:rPr>
          <w:sz w:val="20"/>
          <w:szCs w:val="20"/>
          <w:color w:val="auto"/>
        </w:rPr>
      </w:pPr>
      <w:r>
        <w:rPr>
          <w:rFonts w:ascii="MS PGothic" w:cs="MS PGothic" w:eastAsia="MS PGothic" w:hAnsi="MS PGothic"/>
          <w:sz w:val="22"/>
          <w:szCs w:val="22"/>
          <w:color w:val="auto"/>
        </w:rPr>
        <w:t>☑</w:t>
      </w:r>
    </w:p>
    <w:p>
      <w:pPr>
        <w:spacing w:after="0" w:line="178" w:lineRule="exact"/>
        <w:rPr>
          <w:sz w:val="20"/>
          <w:szCs w:val="20"/>
          <w:color w:val="auto"/>
        </w:rPr>
      </w:pPr>
    </w:p>
    <w:p>
      <w:pPr>
        <w:ind w:left="220"/>
        <w:spacing w:after="0" w:line="221" w:lineRule="exact"/>
        <w:rPr>
          <w:sz w:val="20"/>
          <w:szCs w:val="20"/>
          <w:color w:val="auto"/>
        </w:rPr>
      </w:pPr>
      <w:r>
        <w:rPr>
          <w:rFonts w:ascii="MS PGothic" w:cs="MS PGothic" w:eastAsia="MS PGothic" w:hAnsi="MS PGothic"/>
          <w:sz w:val="22"/>
          <w:szCs w:val="22"/>
          <w:color w:val="auto"/>
        </w:rPr>
        <w:t>☑</w:t>
      </w:r>
    </w:p>
    <w:p>
      <w:pPr>
        <w:spacing w:after="0" w:line="131" w:lineRule="exact"/>
        <w:rPr>
          <w:sz w:val="20"/>
          <w:szCs w:val="20"/>
          <w:color w:val="auto"/>
        </w:rPr>
      </w:pPr>
    </w:p>
    <w:p>
      <w:pPr>
        <w:ind w:left="220"/>
        <w:spacing w:after="0" w:line="221" w:lineRule="exact"/>
        <w:rPr>
          <w:sz w:val="20"/>
          <w:szCs w:val="20"/>
          <w:color w:val="auto"/>
        </w:rPr>
      </w:pPr>
      <w:r>
        <w:rPr>
          <w:rFonts w:ascii="MS PGothic" w:cs="MS PGothic" w:eastAsia="MS PGothic" w:hAnsi="MS PGothic"/>
          <w:sz w:val="22"/>
          <w:szCs w:val="22"/>
          <w:color w:val="auto"/>
        </w:rPr>
        <w:t>☑</w:t>
      </w:r>
    </w:p>
    <w:p>
      <w:pPr>
        <w:spacing w:after="0" w:line="131" w:lineRule="exact"/>
        <w:rPr>
          <w:sz w:val="20"/>
          <w:szCs w:val="20"/>
          <w:color w:val="auto"/>
        </w:rPr>
      </w:pPr>
    </w:p>
    <w:p>
      <w:pPr>
        <w:ind w:left="220"/>
        <w:spacing w:after="0" w:line="221" w:lineRule="exact"/>
        <w:rPr>
          <w:sz w:val="20"/>
          <w:szCs w:val="20"/>
          <w:color w:val="auto"/>
        </w:rPr>
      </w:pPr>
      <w:r>
        <w:rPr>
          <w:rFonts w:ascii="MS PGothic" w:cs="MS PGothic" w:eastAsia="MS PGothic" w:hAnsi="MS PGothic"/>
          <w:sz w:val="22"/>
          <w:szCs w:val="22"/>
          <w:color w:val="auto"/>
        </w:rPr>
        <w:t>☑</w:t>
      </w:r>
    </w:p>
    <w:p>
      <w:pPr>
        <w:spacing w:after="0" w:line="131" w:lineRule="exact"/>
        <w:rPr>
          <w:sz w:val="20"/>
          <w:szCs w:val="20"/>
          <w:color w:val="auto"/>
        </w:rPr>
      </w:pPr>
    </w:p>
    <w:p>
      <w:pPr>
        <w:ind w:left="22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Heavy emphasis on performance-based variable pay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100% of equity incentive grants are performance-based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guidelines for executives and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Annual risk assessments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Independent compensation consultant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-128270</wp:posOffset>
            </wp:positionV>
            <wp:extent cx="723773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138"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64770</wp:posOffset>
            </wp:positionV>
            <wp:extent cx="723773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91"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287655</wp:posOffset>
            </wp:positionV>
            <wp:extent cx="723773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No change-in-control payments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perquisites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No hedging or pledging of Company stock</w:t>
      </w:r>
    </w:p>
    <w:p>
      <w:pPr>
        <w:spacing w:after="0" w:line="925" w:lineRule="exact"/>
        <w:rPr>
          <w:sz w:val="20"/>
          <w:szCs w:val="20"/>
          <w:color w:val="auto"/>
        </w:rPr>
      </w:pPr>
    </w:p>
    <w:p>
      <w:pPr>
        <w:sectPr>
          <w:pgSz w:w="11900" w:h="16838" w:orient="portrait"/>
          <w:cols w:equalWidth="0" w:num="4">
            <w:col w:w="440" w:space="60"/>
            <w:col w:w="4680" w:space="720"/>
            <w:col w:w="240" w:space="60"/>
            <w:col w:w="5220"/>
          </w:cols>
          <w:pgMar w:left="240" w:top="125" w:right="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 Compensation Actions At-A-Glance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took the following compensation-related actions for fiscal 2017 (all of which are discussed in more detail below):</w:t>
      </w:r>
    </w:p>
    <w:p>
      <w:pPr>
        <w:spacing w:after="0" w:line="17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Base salaries </w:t>
      </w:r>
      <w:r>
        <w:rPr>
          <w:rFonts w:ascii="Arial" w:cs="Arial" w:eastAsia="Arial" w:hAnsi="Arial"/>
          <w:sz w:val="17"/>
          <w:szCs w:val="17"/>
          <w:color w:val="auto"/>
        </w:rPr>
        <w:t>— Determined that base salaries for the executive officers would generally be held flat for fiscal 2017 compared to fiscal 2016.</w:t>
      </w:r>
    </w:p>
    <w:p>
      <w:pPr>
        <w:spacing w:after="0" w:line="182" w:lineRule="exact"/>
        <w:rPr>
          <w:rFonts w:ascii="Arial" w:cs="Arial" w:eastAsia="Arial" w:hAnsi="Arial"/>
          <w:sz w:val="17"/>
          <w:szCs w:val="17"/>
          <w:i w:val="1"/>
          <w:iCs w:val="1"/>
          <w:color w:val="auto"/>
        </w:rPr>
      </w:pPr>
    </w:p>
    <w:p>
      <w:pPr>
        <w:jc w:val="both"/>
        <w:ind w:left="660" w:right="20" w:hanging="328"/>
        <w:spacing w:after="0" w:line="264" w:lineRule="auto"/>
        <w:tabs>
          <w:tab w:leader="none" w:pos="6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Annual incentive bonuses </w:t>
      </w:r>
      <w:r>
        <w:rPr>
          <w:rFonts w:ascii="Arial" w:cs="Arial" w:eastAsia="Arial" w:hAnsi="Arial"/>
          <w:sz w:val="18"/>
          <w:szCs w:val="18"/>
          <w:color w:val="auto"/>
        </w:rPr>
        <w:t>— At the beginning of the year, approved a short-term incentive (STI) bonus program that established a challenging Target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 of $101.6 million of EBITDA, a 135% increase over the EBITDA for fiscal 2016. At the end of the year, confirmed the STI bonus payout at 77% of Target (following certain limited adjustments to the reported EBITDA).</w:t>
      </w:r>
    </w:p>
    <w:p>
      <w:pPr>
        <w:spacing w:after="0" w:line="127" w:lineRule="exact"/>
        <w:rPr>
          <w:rFonts w:ascii="Arial" w:cs="Arial" w:eastAsia="Arial" w:hAnsi="Arial"/>
          <w:sz w:val="18"/>
          <w:szCs w:val="18"/>
          <w:i w:val="1"/>
          <w:iCs w:val="1"/>
          <w:color w:val="auto"/>
        </w:rPr>
      </w:pPr>
    </w:p>
    <w:p>
      <w:pPr>
        <w:ind w:left="660" w:right="120" w:hanging="328"/>
        <w:spacing w:after="0" w:line="259" w:lineRule="auto"/>
        <w:tabs>
          <w:tab w:leader="none" w:pos="6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incentives </w:t>
      </w:r>
      <w:r>
        <w:rPr>
          <w:rFonts w:ascii="Arial" w:cs="Arial" w:eastAsia="Arial" w:hAnsi="Arial"/>
          <w:sz w:val="18"/>
          <w:szCs w:val="18"/>
          <w:color w:val="auto"/>
        </w:rPr>
        <w:t>— Approved long-term incentive awards that are 100% subject to performance-based vesting. Specifically, vesting on 80%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awards is contingent on the achievement of sustained earnings growth (measured by the annual growth rate in EBITDA), and vesting on the remaining 20% is contingent on prudent balance sheet management (measured by reduction in net debt). Awards vest based on performance at the end of the three-year performance period.</w:t>
      </w:r>
    </w:p>
    <w:p>
      <w:pPr>
        <w:spacing w:after="0" w:line="132"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Housing allowances </w:t>
      </w:r>
      <w:r>
        <w:rPr>
          <w:rFonts w:ascii="Arial" w:cs="Arial" w:eastAsia="Arial" w:hAnsi="Arial"/>
          <w:sz w:val="18"/>
          <w:szCs w:val="18"/>
          <w:color w:val="auto"/>
        </w:rPr>
        <w:t>— Modified housing allowances for expatriate executive officers to establish finite life of three years from inception, with result</w:t>
      </w:r>
      <w:r>
        <w:rPr>
          <w:rFonts w:ascii="Arial" w:cs="Arial" w:eastAsia="Arial" w:hAnsi="Arial"/>
          <w:sz w:val="18"/>
          <w:szCs w:val="18"/>
          <w:i w:val="1"/>
          <w:iCs w:val="1"/>
          <w:color w:val="auto"/>
        </w:rPr>
        <w:t xml:space="preserve"> </w:t>
      </w:r>
      <w:r>
        <w:rPr>
          <w:rFonts w:ascii="Arial" w:cs="Arial" w:eastAsia="Arial" w:hAnsi="Arial"/>
          <w:sz w:val="18"/>
          <w:szCs w:val="18"/>
          <w:color w:val="auto"/>
        </w:rPr>
        <w:t>that all such housing allowance will be terminated by the end of October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Program Design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Philosophy </w:t>
      </w:r>
      <w:r>
        <w:rPr>
          <w:rFonts w:ascii="Arial" w:cs="Arial" w:eastAsia="Arial" w:hAnsi="Arial"/>
          <w:sz w:val="18"/>
          <w:szCs w:val="18"/>
          <w:color w:val="auto"/>
        </w:rPr>
        <w:t>— Our executive compensation philosophy is grounded on three fundamental principles:</w:t>
      </w:r>
    </w:p>
    <w:p>
      <w:pPr>
        <w:spacing w:after="0" w:line="171" w:lineRule="exact"/>
        <w:rPr>
          <w:sz w:val="20"/>
          <w:szCs w:val="20"/>
          <w:color w:val="auto"/>
        </w:rPr>
      </w:pPr>
    </w:p>
    <w:p>
      <w:pPr>
        <w:ind w:left="660" w:right="40" w:hanging="328"/>
        <w:spacing w:after="0" w:line="302" w:lineRule="auto"/>
        <w:tabs>
          <w:tab w:leader="none" w:pos="660"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 for performance </w:t>
      </w:r>
      <w:r>
        <w:rPr>
          <w:rFonts w:ascii="Arial" w:cs="Arial" w:eastAsia="Arial" w:hAnsi="Arial"/>
          <w:sz w:val="16"/>
          <w:szCs w:val="16"/>
          <w:color w:val="auto"/>
        </w:rPr>
        <w:t>— We expect diligent effort, unwavering commitment and hard work from our executives, and our compensation plans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and reward superior results that generate significant shareholder value. Actual realized compensation should reflect Company and individual performance against specific and quantifiable objectives. Executives should be compensated based on their ability to achieve key operational, financial and strategic results. Compensation earned should parallel our sustained growth in terms of profitability and shareholder value.</w:t>
      </w:r>
    </w:p>
    <w:p>
      <w:pPr>
        <w:spacing w:after="0" w:line="100" w:lineRule="exact"/>
        <w:rPr>
          <w:rFonts w:ascii="Arial" w:cs="Arial" w:eastAsia="Arial" w:hAnsi="Arial"/>
          <w:sz w:val="16"/>
          <w:szCs w:val="16"/>
          <w:i w:val="1"/>
          <w:iCs w:val="1"/>
          <w:color w:val="auto"/>
        </w:rPr>
      </w:pPr>
    </w:p>
    <w:p>
      <w:pPr>
        <w:ind w:left="660" w:right="140" w:hanging="328"/>
        <w:spacing w:after="0" w:line="279" w:lineRule="auto"/>
        <w:tabs>
          <w:tab w:leader="none" w:pos="660" w:val="left"/>
        </w:tabs>
        <w:numPr>
          <w:ilvl w:val="0"/>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Attract and retain high performers </w:t>
      </w:r>
      <w:r>
        <w:rPr>
          <w:rFonts w:ascii="Arial" w:cs="Arial" w:eastAsia="Arial" w:hAnsi="Arial"/>
          <w:sz w:val="17"/>
          <w:szCs w:val="17"/>
          <w:color w:val="auto"/>
        </w:rPr>
        <w:t>— We want to build and maintain an organization that achieves consistently high results. Therefore, we strive to</w:t>
      </w:r>
      <w:r>
        <w:rPr>
          <w:rFonts w:ascii="Arial" w:cs="Arial" w:eastAsia="Arial" w:hAnsi="Arial"/>
          <w:sz w:val="17"/>
          <w:szCs w:val="17"/>
          <w:i w:val="1"/>
          <w:iCs w:val="1"/>
          <w:color w:val="auto"/>
        </w:rPr>
        <w:t xml:space="preserve"> </w:t>
      </w:r>
      <w:r>
        <w:rPr>
          <w:rFonts w:ascii="Arial" w:cs="Arial" w:eastAsia="Arial" w:hAnsi="Arial"/>
          <w:sz w:val="17"/>
          <w:szCs w:val="17"/>
          <w:color w:val="auto"/>
        </w:rPr>
        <w:t>pay at levels that will attract and retain high quality executives capable of performing at the highest levels and willing to be accountable for the achievement of results. In line with our philosophy of paying well for strong performance, a majority of executive compensation is in the form of incentives that are at risk, but offer significantly higher rewards for the achievement of outstanding results.</w:t>
      </w:r>
    </w:p>
    <w:p>
      <w:pPr>
        <w:spacing w:after="0" w:line="117" w:lineRule="exact"/>
        <w:rPr>
          <w:rFonts w:ascii="Arial" w:cs="Arial" w:eastAsia="Arial" w:hAnsi="Arial"/>
          <w:sz w:val="17"/>
          <w:szCs w:val="17"/>
          <w:i w:val="1"/>
          <w:iCs w:val="1"/>
          <w:color w:val="auto"/>
        </w:rPr>
      </w:pPr>
    </w:p>
    <w:p>
      <w:pPr>
        <w:jc w:val="both"/>
        <w:ind w:left="66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Align long-term interests of our shareholders and executives </w:t>
      </w:r>
      <w:r>
        <w:rPr>
          <w:rFonts w:ascii="Arial" w:cs="Arial" w:eastAsia="Arial" w:hAnsi="Arial"/>
          <w:sz w:val="18"/>
          <w:szCs w:val="18"/>
          <w:color w:val="auto"/>
        </w:rPr>
        <w:t>— Executives should be compensated through compensation components (base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short- and long-term incentives) designed to drive sustained business performance, build an internal culture of ownership and create long-term value for our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spacing w:after="0" w:line="329" w:lineRule="auto"/>
        <w:rPr>
          <w:sz w:val="20"/>
          <w:szCs w:val="20"/>
          <w:color w:val="auto"/>
        </w:rPr>
      </w:pPr>
      <w:r>
        <w:rPr>
          <w:rFonts w:ascii="Arial" w:cs="Arial" w:eastAsia="Arial" w:hAnsi="Arial"/>
          <w:sz w:val="18"/>
          <w:szCs w:val="18"/>
          <w:i w:val="1"/>
          <w:iCs w:val="1"/>
          <w:color w:val="auto"/>
        </w:rPr>
        <w:t xml:space="preserve">Goals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support of the principles of our compensation philosophy, we have designed our executive compensation programs to accomplish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goals:</w:t>
      </w:r>
    </w:p>
    <w:p>
      <w:pPr>
        <w:spacing w:after="0" w:line="76" w:lineRule="exact"/>
        <w:rPr>
          <w:sz w:val="20"/>
          <w:szCs w:val="20"/>
          <w:color w:val="auto"/>
        </w:rPr>
      </w:pPr>
    </w:p>
    <w:p>
      <w:pPr>
        <w:ind w:left="1540"/>
        <w:spacing w:after="0"/>
        <w:tabs>
          <w:tab w:leader="none" w:pos="7220" w:val="left"/>
        </w:tabs>
        <w:rPr>
          <w:sz w:val="20"/>
          <w:szCs w:val="20"/>
          <w:color w:val="auto"/>
        </w:rPr>
      </w:pPr>
      <w:r>
        <w:rPr>
          <w:rFonts w:ascii="Arial" w:cs="Arial" w:eastAsia="Arial" w:hAnsi="Arial"/>
          <w:sz w:val="14"/>
          <w:szCs w:val="14"/>
          <w:b w:val="1"/>
          <w:bCs w:val="1"/>
          <w:color w:val="auto"/>
        </w:rPr>
        <w:t>Principle and Goal</w:t>
      </w:r>
      <w:r>
        <w:rPr>
          <w:sz w:val="20"/>
          <w:szCs w:val="20"/>
          <w:color w:val="auto"/>
        </w:rPr>
        <w:tab/>
      </w:r>
      <w:r>
        <w:rPr>
          <w:rFonts w:ascii="Arial" w:cs="Arial" w:eastAsia="Arial" w:hAnsi="Arial"/>
          <w:sz w:val="12"/>
          <w:szCs w:val="12"/>
          <w:b w:val="1"/>
          <w:bCs w:val="1"/>
          <w:color w:val="auto"/>
        </w:rPr>
        <w:t>How Accomplished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92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9217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94" w:lineRule="exact"/>
        <w:rPr>
          <w:sz w:val="20"/>
          <w:szCs w:val="20"/>
          <w:color w:val="auto"/>
        </w:rPr>
      </w:pPr>
    </w:p>
    <w:p>
      <w:pPr>
        <w:ind w:left="40" w:right="400"/>
        <w:spacing w:after="0" w:line="375" w:lineRule="auto"/>
        <w:rPr>
          <w:sz w:val="20"/>
          <w:szCs w:val="20"/>
          <w:color w:val="auto"/>
        </w:rPr>
      </w:pPr>
      <w:r>
        <w:rPr>
          <w:rFonts w:ascii="Arial" w:cs="Arial" w:eastAsia="Arial" w:hAnsi="Arial"/>
          <w:sz w:val="14"/>
          <w:szCs w:val="14"/>
          <w:b w:val="1"/>
          <w:bCs w:val="1"/>
          <w:color w:val="auto"/>
        </w:rPr>
        <w:t xml:space="preserve">Pay for performance — </w:t>
      </w:r>
      <w:r>
        <w:rPr>
          <w:rFonts w:ascii="Arial" w:cs="Arial" w:eastAsia="Arial" w:hAnsi="Arial"/>
          <w:sz w:val="14"/>
          <w:szCs w:val="14"/>
          <w:color w:val="auto"/>
        </w:rPr>
        <w:t>Provide payouts that are closely</w:t>
      </w:r>
      <w:r>
        <w:rPr>
          <w:rFonts w:ascii="Arial" w:cs="Arial" w:eastAsia="Arial" w:hAnsi="Arial"/>
          <w:sz w:val="14"/>
          <w:szCs w:val="14"/>
          <w:b w:val="1"/>
          <w:bCs w:val="1"/>
          <w:color w:val="auto"/>
        </w:rPr>
        <w:t xml:space="preserve"> </w:t>
      </w:r>
      <w:r>
        <w:rPr>
          <w:rFonts w:ascii="Arial" w:cs="Arial" w:eastAsia="Arial" w:hAnsi="Arial"/>
          <w:sz w:val="14"/>
          <w:szCs w:val="14"/>
          <w:color w:val="auto"/>
        </w:rPr>
        <w:t>aligned with the actual financial results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40"/>
        <w:spacing w:after="0" w:line="281" w:lineRule="auto"/>
        <w:rPr>
          <w:sz w:val="20"/>
          <w:szCs w:val="20"/>
          <w:color w:val="auto"/>
        </w:rPr>
      </w:pPr>
      <w:r>
        <w:rPr>
          <w:rFonts w:ascii="Arial" w:cs="Arial" w:eastAsia="Arial" w:hAnsi="Arial"/>
          <w:sz w:val="16"/>
          <w:szCs w:val="16"/>
          <w:b w:val="1"/>
          <w:bCs w:val="1"/>
          <w:color w:val="auto"/>
        </w:rPr>
        <w:t xml:space="preserve">Attract and retain high performers — </w:t>
      </w:r>
      <w:r>
        <w:rPr>
          <w:rFonts w:ascii="Arial" w:cs="Arial" w:eastAsia="Arial" w:hAnsi="Arial"/>
          <w:sz w:val="16"/>
          <w:szCs w:val="16"/>
          <w:color w:val="auto"/>
        </w:rPr>
        <w:t>Pay at levels that will</w:t>
      </w:r>
      <w:r>
        <w:rPr>
          <w:rFonts w:ascii="Arial" w:cs="Arial" w:eastAsia="Arial" w:hAnsi="Arial"/>
          <w:sz w:val="16"/>
          <w:szCs w:val="16"/>
          <w:b w:val="1"/>
          <w:bCs w:val="1"/>
          <w:color w:val="auto"/>
        </w:rPr>
        <w:t xml:space="preserve"> </w:t>
      </w:r>
      <w:r>
        <w:rPr>
          <w:rFonts w:ascii="Arial" w:cs="Arial" w:eastAsia="Arial" w:hAnsi="Arial"/>
          <w:sz w:val="16"/>
          <w:szCs w:val="16"/>
          <w:color w:val="auto"/>
        </w:rPr>
        <w:t>help us attract and retain highly qualified individuals capable of leading us to achieve our business objectives.</w:t>
      </w:r>
    </w:p>
    <w:p>
      <w:pPr>
        <w:spacing w:after="0" w:line="380" w:lineRule="exact"/>
        <w:rPr>
          <w:sz w:val="20"/>
          <w:szCs w:val="20"/>
          <w:color w:val="auto"/>
        </w:rPr>
      </w:pPr>
    </w:p>
    <w:p>
      <w:pPr>
        <w:jc w:val="both"/>
        <w:ind w:left="40" w:right="40"/>
        <w:spacing w:after="0" w:line="281" w:lineRule="auto"/>
        <w:rPr>
          <w:sz w:val="20"/>
          <w:szCs w:val="20"/>
          <w:color w:val="auto"/>
        </w:rPr>
      </w:pPr>
      <w:r>
        <w:rPr>
          <w:rFonts w:ascii="Arial" w:cs="Arial" w:eastAsia="Arial" w:hAnsi="Arial"/>
          <w:sz w:val="16"/>
          <w:szCs w:val="16"/>
          <w:b w:val="1"/>
          <w:bCs w:val="1"/>
          <w:color w:val="auto"/>
        </w:rPr>
        <w:t xml:space="preserve">Align long-term interests of shareholders and executives — </w:t>
      </w:r>
      <w:r>
        <w:rPr>
          <w:rFonts w:ascii="Arial" w:cs="Arial" w:eastAsia="Arial" w:hAnsi="Arial"/>
          <w:sz w:val="16"/>
          <w:szCs w:val="16"/>
          <w:color w:val="auto"/>
        </w:rPr>
        <w:t>Reinforce a culture of ownership and long-term commitment to shareholder value creation.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37" w:right="160" w:firstLine="137"/>
        <w:spacing w:after="0" w:line="284" w:lineRule="auto"/>
        <w:tabs>
          <w:tab w:leader="none" w:pos="76"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Total compensation opportunities will include a significant portion of performance-based incentives tied to achievement of specific financial or strategic objectives and the growth in stockholder value.</w:t>
      </w:r>
    </w:p>
    <w:p>
      <w:pPr>
        <w:ind w:left="-137" w:right="80" w:firstLine="137"/>
        <w:spacing w:after="0" w:line="264" w:lineRule="auto"/>
        <w:tabs>
          <w:tab w:leader="none" w:pos="79"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Incentive objectives will be specific, quantifiable and measurable, but may also include goals that require an element of subjective evaluation.</w:t>
      </w:r>
    </w:p>
    <w:p>
      <w:pPr>
        <w:ind w:left="-137" w:right="100" w:firstLine="137"/>
        <w:spacing w:after="0" w:line="288" w:lineRule="auto"/>
        <w:tabs>
          <w:tab w:leader="none" w:pos="79" w:val="left"/>
        </w:tabs>
        <w:numPr>
          <w:ilvl w:val="0"/>
          <w:numId w:val="71"/>
        </w:numPr>
        <w:rPr>
          <w:rFonts w:ascii="Arial" w:cs="Arial" w:eastAsia="Arial" w:hAnsi="Arial"/>
          <w:sz w:val="16"/>
          <w:szCs w:val="16"/>
          <w:color w:val="auto"/>
        </w:rPr>
      </w:pPr>
      <w:r>
        <w:rPr>
          <w:rFonts w:ascii="Arial" w:cs="Arial" w:eastAsia="Arial" w:hAnsi="Arial"/>
          <w:sz w:val="16"/>
          <w:szCs w:val="16"/>
          <w:color w:val="auto"/>
        </w:rPr>
        <w:t>Long-term incentives will have both retention and performance requirements and therefore will vest over time so long as specific objectives are achieved.</w:t>
      </w:r>
    </w:p>
    <w:p>
      <w:pPr>
        <w:spacing w:after="0" w:line="13" w:lineRule="exact"/>
        <w:rPr>
          <w:rFonts w:ascii="Arial" w:cs="Arial" w:eastAsia="Arial" w:hAnsi="Arial"/>
          <w:sz w:val="16"/>
          <w:szCs w:val="16"/>
          <w:color w:val="auto"/>
        </w:rPr>
      </w:pPr>
    </w:p>
    <w:p>
      <w:pPr>
        <w:ind w:left="-137" w:right="80" w:firstLine="137"/>
        <w:spacing w:after="0" w:line="265" w:lineRule="auto"/>
        <w:tabs>
          <w:tab w:leader="none" w:pos="7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Total compensation is designed to provide base salaries and short- and long-term incentive opportunities that will result in highly competitive pay levels when performance objectives are achieved, as well as above-market opportunities when outstanding results are achieved.</w:t>
      </w:r>
    </w:p>
    <w:p>
      <w:pPr>
        <w:spacing w:after="0" w:line="2" w:lineRule="exact"/>
        <w:rPr>
          <w:rFonts w:ascii="Arial" w:cs="Arial" w:eastAsia="Arial" w:hAnsi="Arial"/>
          <w:sz w:val="16"/>
          <w:szCs w:val="16"/>
          <w:color w:val="auto"/>
        </w:rPr>
      </w:pPr>
    </w:p>
    <w:p>
      <w:pPr>
        <w:ind w:left="-137" w:right="660" w:firstLine="137"/>
        <w:spacing w:after="0" w:line="288" w:lineRule="auto"/>
        <w:tabs>
          <w:tab w:leader="none" w:pos="79"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Incentive plans provide clear and measurable objectives for top performers to achieve high-level compensation.</w:t>
      </w:r>
    </w:p>
    <w:p>
      <w:pPr>
        <w:spacing w:after="0" w:line="13" w:lineRule="exact"/>
        <w:rPr>
          <w:rFonts w:ascii="Arial" w:cs="Arial" w:eastAsia="Arial" w:hAnsi="Arial"/>
          <w:sz w:val="16"/>
          <w:szCs w:val="16"/>
          <w:color w:val="auto"/>
        </w:rPr>
      </w:pPr>
    </w:p>
    <w:p>
      <w:pPr>
        <w:ind w:left="-137" w:right="120" w:firstLine="137"/>
        <w:spacing w:after="0" w:line="266" w:lineRule="auto"/>
        <w:tabs>
          <w:tab w:leader="none" w:pos="79"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Executives are required to be stockholders and own a minimum level of Company stock throughout their employment.</w:t>
      </w:r>
    </w:p>
    <w:p>
      <w:pPr>
        <w:spacing w:after="0" w:line="1" w:lineRule="exact"/>
        <w:rPr>
          <w:rFonts w:ascii="Arial" w:cs="Arial" w:eastAsia="Arial" w:hAnsi="Arial"/>
          <w:sz w:val="16"/>
          <w:szCs w:val="16"/>
          <w:color w:val="auto"/>
        </w:rPr>
      </w:pPr>
    </w:p>
    <w:p>
      <w:pPr>
        <w:ind w:left="-137" w:right="140" w:firstLine="137"/>
        <w:spacing w:after="0" w:line="288" w:lineRule="auto"/>
        <w:tabs>
          <w:tab w:leader="none" w:pos="7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vesting of equity incentive awards is tied directly to continued multi-year service (retention) and the achievement of specific long-term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-550545</wp:posOffset>
            </wp:positionV>
            <wp:extent cx="7246620"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180" w:space="217"/>
            <w:col w:w="7003"/>
          </w:cols>
          <w:pgMar w:left="240" w:top="125" w:right="259" w:bottom="1440" w:gutter="0" w:footer="0" w:header="0"/>
          <w:type w:val="continuous"/>
        </w:sectPr>
      </w:pPr>
    </w:p>
    <w:p>
      <w:pPr>
        <w:ind w:right="200"/>
        <w:spacing w:after="0" w:line="376" w:lineRule="auto"/>
        <w:rPr>
          <w:sz w:val="20"/>
          <w:szCs w:val="20"/>
          <w:color w:val="auto"/>
        </w:rPr>
      </w:pPr>
      <w:r>
        <w:rPr>
          <w:rFonts w:ascii="Arial" w:cs="Arial" w:eastAsia="Arial" w:hAnsi="Arial"/>
          <w:sz w:val="18"/>
          <w:szCs w:val="18"/>
          <w:i w:val="1"/>
          <w:iCs w:val="1"/>
          <w:color w:val="auto"/>
        </w:rPr>
        <w:t xml:space="preserve">Components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direct” compensation is composed of three principal components, each one contributing to the accomplishment of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goals: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Compensation Component</w:t>
            </w:r>
          </w:p>
        </w:tc>
        <w:tc>
          <w:tcPr>
            <w:tcW w:w="30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2000" w:type="dxa"/>
            <w:vAlign w:val="bottom"/>
          </w:tcPr>
          <w:p>
            <w:pPr>
              <w:jc w:val="center"/>
              <w:ind w:left="848"/>
              <w:spacing w:after="0"/>
              <w:rPr>
                <w:sz w:val="20"/>
                <w:szCs w:val="20"/>
                <w:color w:val="auto"/>
              </w:rPr>
            </w:pPr>
            <w:r>
              <w:rPr>
                <w:rFonts w:ascii="Arial" w:cs="Arial" w:eastAsia="Arial" w:hAnsi="Arial"/>
                <w:sz w:val="14"/>
                <w:szCs w:val="14"/>
                <w:b w:val="1"/>
                <w:bCs w:val="1"/>
                <w:color w:val="auto"/>
                <w:w w:val="97"/>
              </w:rPr>
              <w:t>Attract and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Pay 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Shareholder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b w:val="1"/>
                <w:bCs w:val="1"/>
                <w:color w:val="auto"/>
                <w:w w:val="93"/>
              </w:rPr>
              <w:t>Retain</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Alignment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37730"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3600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Base Salary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Annual Incentives</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Long-term Incentives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63" w:right="60" w:firstLine="63"/>
        <w:spacing w:after="0" w:line="293" w:lineRule="auto"/>
        <w:tabs>
          <w:tab w:leader="none" w:pos="63"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market-competitive salary is an essential factor in attracting and retaining qualified personnel.</w:t>
      </w:r>
    </w:p>
    <w:p>
      <w:pPr>
        <w:spacing w:after="0" w:line="117" w:lineRule="exact"/>
        <w:rPr>
          <w:rFonts w:ascii="Arial" w:cs="Arial" w:eastAsia="Arial" w:hAnsi="Arial"/>
          <w:sz w:val="16"/>
          <w:szCs w:val="16"/>
          <w:color w:val="auto"/>
        </w:rPr>
      </w:pPr>
    </w:p>
    <w:p>
      <w:pPr>
        <w:ind w:left="-63" w:right="80" w:firstLine="63"/>
        <w:spacing w:after="0" w:line="278" w:lineRule="auto"/>
        <w:tabs>
          <w:tab w:leader="none" w:pos="63"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Annual cash bonus opportunity that is tied to an assessment of annual corporate and business unit financial performance, as well as individual contribution.</w:t>
      </w:r>
    </w:p>
    <w:p>
      <w:pPr>
        <w:spacing w:after="0" w:line="22" w:lineRule="exact"/>
        <w:rPr>
          <w:rFonts w:ascii="Arial" w:cs="Arial" w:eastAsia="Arial" w:hAnsi="Arial"/>
          <w:sz w:val="16"/>
          <w:szCs w:val="16"/>
          <w:color w:val="auto"/>
        </w:rPr>
      </w:pPr>
    </w:p>
    <w:p>
      <w:pPr>
        <w:jc w:val="both"/>
        <w:ind w:left="-63" w:right="160" w:firstLine="63"/>
        <w:spacing w:after="0" w:line="278" w:lineRule="auto"/>
        <w:tabs>
          <w:tab w:leader="none" w:pos="72" w:val="left"/>
        </w:tabs>
        <w:numPr>
          <w:ilvl w:val="0"/>
          <w:numId w:val="72"/>
        </w:numPr>
        <w:rPr>
          <w:rFonts w:ascii="Arial" w:cs="Arial" w:eastAsia="Arial" w:hAnsi="Arial"/>
          <w:sz w:val="16"/>
          <w:szCs w:val="16"/>
          <w:color w:val="auto"/>
        </w:rPr>
      </w:pPr>
      <w:r>
        <w:rPr>
          <w:rFonts w:ascii="Arial" w:cs="Arial" w:eastAsia="Arial" w:hAnsi="Arial"/>
          <w:sz w:val="16"/>
          <w:szCs w:val="16"/>
          <w:color w:val="auto"/>
        </w:rPr>
        <w:t>Equity incentive grants, including performance-vested restricted stock grants tied to achievement of consistent multi-year growth in earnings and stockholder value.</w:t>
      </w:r>
    </w:p>
    <w:p>
      <w:pPr>
        <w:spacing w:after="0" w:line="22" w:lineRule="exact"/>
        <w:rPr>
          <w:rFonts w:ascii="Arial" w:cs="Arial" w:eastAsia="Arial" w:hAnsi="Arial"/>
          <w:sz w:val="16"/>
          <w:szCs w:val="16"/>
          <w:color w:val="auto"/>
        </w:rPr>
      </w:pPr>
    </w:p>
    <w:p>
      <w:pPr>
        <w:ind w:left="-63" w:firstLine="63"/>
        <w:spacing w:after="0" w:line="293" w:lineRule="auto"/>
        <w:tabs>
          <w:tab w:leader="none" w:pos="63"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Annual Supplemental Executive Retirement Plan contributions that vest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-715645</wp:posOffset>
            </wp:positionV>
            <wp:extent cx="7237730" cy="780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780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ü</w:t>
      </w:r>
    </w:p>
    <w:p>
      <w:pPr>
        <w:spacing w:after="0" w:line="280" w:lineRule="exact"/>
        <w:rPr>
          <w:sz w:val="20"/>
          <w:szCs w:val="20"/>
          <w:color w:val="auto"/>
        </w:rPr>
      </w:pPr>
    </w:p>
    <w:p>
      <w:pPr>
        <w:spacing w:after="0"/>
        <w:tabs>
          <w:tab w:leader="none" w:pos="1100" w:val="left"/>
          <w:tab w:leader="none" w:pos="224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374" w:lineRule="exact"/>
        <w:rPr>
          <w:sz w:val="20"/>
          <w:szCs w:val="20"/>
          <w:color w:val="auto"/>
        </w:rPr>
      </w:pPr>
    </w:p>
    <w:p>
      <w:pPr>
        <w:spacing w:after="0"/>
        <w:tabs>
          <w:tab w:leader="none" w:pos="1100" w:val="left"/>
          <w:tab w:leader="none" w:pos="2240" w:val="left"/>
          <w:tab w:leader="none" w:pos="338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374" w:lineRule="exact"/>
        <w:rPr>
          <w:sz w:val="20"/>
          <w:szCs w:val="20"/>
          <w:color w:val="auto"/>
        </w:rPr>
      </w:pPr>
    </w:p>
    <w:p>
      <w:pPr>
        <w:spacing w:after="0"/>
        <w:tabs>
          <w:tab w:leader="none" w:pos="3380" w:val="left"/>
        </w:tabs>
        <w:rPr>
          <w:sz w:val="20"/>
          <w:szCs w:val="20"/>
          <w:color w:val="auto"/>
        </w:rPr>
      </w:pPr>
      <w:r>
        <w:rPr>
          <w:rFonts w:ascii="Arial" w:cs="Arial" w:eastAsia="Arial" w:hAnsi="Arial"/>
          <w:sz w:val="21"/>
          <w:szCs w:val="21"/>
          <w:color w:val="auto"/>
        </w:rPr>
        <w:t>ü</w:t>
      </w:r>
      <w:r>
        <w:rPr>
          <w:sz w:val="20"/>
          <w:szCs w:val="20"/>
          <w:color w:val="auto"/>
        </w:rPr>
        <w:tab/>
      </w:r>
      <w:r>
        <w:rPr>
          <w:rFonts w:ascii="Arial" w:cs="Arial" w:eastAsia="Arial" w:hAnsi="Arial"/>
          <w:sz w:val="21"/>
          <w:szCs w:val="21"/>
          <w:color w:val="auto"/>
        </w:rPr>
        <w:t>ü</w:t>
      </w:r>
    </w:p>
    <w:p>
      <w:pPr>
        <w:spacing w:after="0" w:line="306" w:lineRule="exact"/>
        <w:rPr>
          <w:sz w:val="20"/>
          <w:szCs w:val="20"/>
          <w:color w:val="auto"/>
        </w:rPr>
      </w:pPr>
    </w:p>
    <w:p>
      <w:pPr>
        <w:sectPr>
          <w:pgSz w:w="11900" w:h="16838" w:orient="portrait"/>
          <w:cols w:equalWidth="0" w:num="3">
            <w:col w:w="1543" w:space="720"/>
            <w:col w:w="4437" w:space="680"/>
            <w:col w:w="4020"/>
          </w:cols>
          <w:pgMar w:left="240" w:top="125" w:right="259" w:bottom="1440" w:gutter="0" w:footer="0" w:header="0"/>
          <w:type w:val="continuous"/>
        </w:sectPr>
      </w:pPr>
    </w:p>
    <w:p>
      <w:pPr>
        <w:spacing w:after="0" w:line="45"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auto"/>
        </w:rPr>
        <w:t xml:space="preserve">Pay Mix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reviews the mix of base salary, cash bonus and long-term incentives annually. The Committee does not target a fixed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among the compensation elements, but rather aims to provide the majority of executive officer compensation opportunities in the form of incentive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Methodology and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the Compensation Committee</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fiscal 2017, the Company, relying on the Nasdaq Controlled Company exemption described in Part III, Item 10 — “Directors, Executive Officers and Corporate Governance — Corporate Governance — Controlled Company Exemptions,” has included a non-independent director (Mr. Given) on the Compensation Committee. The Board of Directors believes that, with the unique perspective of the non-independent member combined with the perspectives of the independent members, the current Committee is well-situated to act in the interests of all Company stockholders. The Committee has formed a subcommittee comprised of only independent directors (currently, Mr. Lagos and Mr. Roberts) to act on and approve any executive compensation matters that require approval of solely “independent,” “non-employee” or “outside” directors.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25" w:right="25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Committee</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but retains responsibility for ensuring that the plan administration is consistent with the Company's policies.</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Annually, the Committee sets the compensation for our executive officers, including objectives and awards under incentive plans. The Committee also makes recommendations to the Board of Directors on appropriate compensation for the non-employee directors.</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overseeing the compensation of our executive officers, the Committee approves all awards under long-term incentive plans for all other employees. For more information on the Committee's role, see the Committee's charter, which can be found in the Investor Relations section of our website at www.ezcorp.com.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Committee receives data regarding compensation trends, issues and recommendations from management. One member of management, Mr. Given, is a member of the Committee and participates in Committee discussions, deliberations and decisions (except for those matters that require approval solely of “independent,” “non-employee” or “outside” directors, in which case the decisions are made by a subcommittee consisting of only independent directors).</w:t>
      </w:r>
    </w:p>
    <w:p>
      <w:pPr>
        <w:spacing w:after="0" w:line="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members of management, including our Chief Executive Officer, our Chief Human Resources Officer and our Chief Legal Officer, attend Committee meetings at the invitation of the Committee. In addition, our Chief Executive Officer provides input on individual performance and recommendations regarding compensation adjustments to the Committee for positions other than his own.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its charter, the Committee has the sole authority to retain, terminate, obtain advice from, oversee and compensate its outside advisors, including its compensation consultant. The Company has provided appropriate funding to the Committee to do so.</w:t>
      </w:r>
    </w:p>
    <w:p>
      <w:pPr>
        <w:spacing w:after="0" w:line="116"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For the past several years, the Committee has retained Pearl Meyer &amp; Partners, LLC (“Pearl Meyer”) as its independent executive compensation consultant. None of our management participated in the Committee's decision to retain Pearl Meyer. Pearl Meyer reports directly to the Committee, and the Committee may replace Pearl Meyer or hire additional consultants at any time. Pearl Meyer communicates with, and attends meetings of, the Committee as requested; however, the Committee makes all decisions regarding the compensation of the Company's executive officers.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Pearl Meyer provides various executive compensation services to the Committee, including advising the Committee on the principal aspects of our executive compensation program and evolving best practices and providing market information and analysis regarding the competitiveness of our program design and award values in relationship to our performance.</w:t>
      </w:r>
    </w:p>
    <w:p>
      <w:pPr>
        <w:spacing w:after="0" w:line="12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Committee regularly reviews the services provided by its outside consultants and believes that Pearl Meyer is independent in providing executive compensation consulting services. The Committee continues to monitor the independence of its compensation consultant on a regular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 Benchmarking and Peer Group Data</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order to attract and retain the best executives for key management positions, we target our compensation plans to approximate the 75th percentile of the competitive marketplace. The Committee believes that this competitive positioning is appropriate in order for us to attract and retain the caliber of executives required to maintain exceptional operational and financial results over time.</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It is important to note, however, that the majority of pay opportunities for our top executives are incentive-based and that actual realizable compensation is heavily dependent upon actual Company results. See “Executive Compensation Philosophy and Program Design — Pay Mix” above. Failure to achieve targeted results may result in realized compensation being below the 75th percentile, and perhaps below the market median. On the other hand, our incentive compensation programs provide opportunities for compensation to exceed the 75th percentile if specified objectives are achieved at targeted levels or higher. The Committee believes that actual realizable compensation for our top executives is well aligned with our performance.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While the Committee does not set compensation levels for our executive officers based solely on survey or peer group benchmarks, the Committee does regularly refer to external benchmarking data in their deliberations in order to ensure that the pay opportunities offered to our executives are appropriate in light of our performance relative to our peers. The Committee regularly asks Pearl Meyer to conduct a competitive compensation review for our executive officers in order to benchmark compensation. Data in the Pearl Meyer study were collected from several sources, including published compensation surveys and peer company proxy statements.</w:t>
      </w:r>
    </w:p>
    <w:p>
      <w:pPr>
        <w:spacing w:after="0" w:line="13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Pearl Meyer delivered its fiscal 2017 executive compensation report, dated October 27, 2016, to the Committee in November 2016 in connection with the Committee’s review and evaluation of executive compensation programs and levels for fiscal 2017. For that report, Pearl Meyer collected competitive pay data for a peer group of 15 publicly-traded companies based on publicly available data. The peer group included companies that are direct competitors within our industry, have similar business models to our company or have comparable key executive roles. The Company currently falls toward the lower end of the peer group based on financial measures (revenues, EBITDA, total assets and market capitalization), but falls in the upper half of the group based on number of employees). Consequently, benchmarks from this group generally reflect compensation for executives in companies that are, on average, larger than the Company, but may also be considered reflective of compensation required to attract and retain the executive talent required to achieve the Company’s strategic growth objectives. The following is the compensation peer group for fiscal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Peer Company</w:t>
            </w:r>
          </w:p>
        </w:tc>
        <w:tc>
          <w:tcPr>
            <w:tcW w:w="19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Stock Symbol</w:t>
            </w:r>
          </w:p>
        </w:tc>
        <w:tc>
          <w:tcPr>
            <w:tcW w:w="5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Primary Business</w:t>
            </w:r>
          </w:p>
        </w:tc>
      </w:tr>
      <w:tr>
        <w:trPr>
          <w:trHeight w:val="121"/>
        </w:trPr>
        <w:tc>
          <w:tcPr>
            <w:tcW w:w="36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820" w:type="dxa"/>
            <w:vAlign w:val="bottom"/>
          </w:tcPr>
          <w:p>
            <w:pPr>
              <w:spacing w:after="0"/>
              <w:rPr>
                <w:sz w:val="10"/>
                <w:szCs w:val="10"/>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Aaron’s Inc.</w:t>
            </w:r>
          </w:p>
        </w:tc>
        <w:tc>
          <w:tcPr>
            <w:tcW w:w="19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AAN</w:t>
            </w:r>
          </w:p>
        </w:tc>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Specialty Retail</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Cardtronics Plc</w:t>
            </w:r>
          </w:p>
        </w:tc>
        <w:tc>
          <w:tcPr>
            <w:tcW w:w="1980" w:type="dxa"/>
            <w:vAlign w:val="bottom"/>
          </w:tcPr>
          <w:p>
            <w:pPr>
              <w:ind w:left="1000"/>
              <w:spacing w:after="0"/>
              <w:rPr>
                <w:sz w:val="20"/>
                <w:szCs w:val="20"/>
                <w:color w:val="auto"/>
              </w:rPr>
            </w:pPr>
            <w:r>
              <w:rPr>
                <w:rFonts w:ascii="Arial" w:cs="Arial" w:eastAsia="Arial" w:hAnsi="Arial"/>
                <w:sz w:val="18"/>
                <w:szCs w:val="18"/>
                <w:color w:val="auto"/>
              </w:rPr>
              <w:t>CATM</w:t>
            </w:r>
          </w:p>
        </w:tc>
        <w:tc>
          <w:tcPr>
            <w:tcW w:w="5820" w:type="dxa"/>
            <w:vAlign w:val="bottom"/>
          </w:tcPr>
          <w:p>
            <w:pPr>
              <w:ind w:left="140"/>
              <w:spacing w:after="0"/>
              <w:rPr>
                <w:sz w:val="20"/>
                <w:szCs w:val="20"/>
                <w:color w:val="auto"/>
              </w:rPr>
            </w:pPr>
            <w:r>
              <w:rPr>
                <w:rFonts w:ascii="Arial" w:cs="Arial" w:eastAsia="Arial" w:hAnsi="Arial"/>
                <w:sz w:val="18"/>
                <w:szCs w:val="18"/>
                <w:color w:val="auto"/>
              </w:rPr>
              <w:t>Consumer Finance — IT Services</w:t>
            </w:r>
          </w:p>
        </w:tc>
      </w:tr>
      <w:tr>
        <w:trPr>
          <w:trHeight w:val="27"/>
        </w:trPr>
        <w:tc>
          <w:tcPr>
            <w:tcW w:w="3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America International, Inc. (a)</w:t>
            </w:r>
          </w:p>
        </w:tc>
        <w:tc>
          <w:tcPr>
            <w:tcW w:w="19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CSH</w:t>
            </w:r>
          </w:p>
        </w:tc>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Consumer Finance — Pawn and Payday Lending</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Credit Acceptance Corp.</w:t>
            </w:r>
          </w:p>
        </w:tc>
        <w:tc>
          <w:tcPr>
            <w:tcW w:w="1980" w:type="dxa"/>
            <w:vAlign w:val="bottom"/>
          </w:tcPr>
          <w:p>
            <w:pPr>
              <w:ind w:left="1000"/>
              <w:spacing w:after="0"/>
              <w:rPr>
                <w:sz w:val="20"/>
                <w:szCs w:val="20"/>
                <w:color w:val="auto"/>
              </w:rPr>
            </w:pPr>
            <w:r>
              <w:rPr>
                <w:rFonts w:ascii="Arial" w:cs="Arial" w:eastAsia="Arial" w:hAnsi="Arial"/>
                <w:sz w:val="18"/>
                <w:szCs w:val="18"/>
                <w:color w:val="auto"/>
              </w:rPr>
              <w:t>CACC</w:t>
            </w:r>
          </w:p>
        </w:tc>
        <w:tc>
          <w:tcPr>
            <w:tcW w:w="5820" w:type="dxa"/>
            <w:vAlign w:val="bottom"/>
          </w:tcPr>
          <w:p>
            <w:pPr>
              <w:ind w:left="140"/>
              <w:spacing w:after="0"/>
              <w:rPr>
                <w:sz w:val="20"/>
                <w:szCs w:val="20"/>
                <w:color w:val="auto"/>
              </w:rPr>
            </w:pPr>
            <w:r>
              <w:rPr>
                <w:rFonts w:ascii="Arial" w:cs="Arial" w:eastAsia="Arial" w:hAnsi="Arial"/>
                <w:sz w:val="18"/>
                <w:szCs w:val="18"/>
                <w:color w:val="auto"/>
              </w:rPr>
              <w:t>Consumer Finance</w:t>
            </w:r>
          </w:p>
        </w:tc>
      </w:tr>
      <w:tr>
        <w:trPr>
          <w:trHeight w:val="27"/>
        </w:trPr>
        <w:tc>
          <w:tcPr>
            <w:tcW w:w="3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Cash Financial Services Inc.</w:t>
            </w:r>
          </w:p>
        </w:tc>
        <w:tc>
          <w:tcPr>
            <w:tcW w:w="19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FCFS</w:t>
            </w:r>
          </w:p>
        </w:tc>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Consumer Finance — Pawn and Payday Lending</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Green Dot Corporation</w:t>
            </w:r>
          </w:p>
        </w:tc>
        <w:tc>
          <w:tcPr>
            <w:tcW w:w="1980" w:type="dxa"/>
            <w:vAlign w:val="bottom"/>
          </w:tcPr>
          <w:p>
            <w:pPr>
              <w:ind w:left="1000"/>
              <w:spacing w:after="0"/>
              <w:rPr>
                <w:sz w:val="20"/>
                <w:szCs w:val="20"/>
                <w:color w:val="auto"/>
              </w:rPr>
            </w:pPr>
            <w:r>
              <w:rPr>
                <w:rFonts w:ascii="Arial" w:cs="Arial" w:eastAsia="Arial" w:hAnsi="Arial"/>
                <w:sz w:val="18"/>
                <w:szCs w:val="18"/>
                <w:color w:val="auto"/>
              </w:rPr>
              <w:t>GDOT</w:t>
            </w:r>
          </w:p>
        </w:tc>
        <w:tc>
          <w:tcPr>
            <w:tcW w:w="5820" w:type="dxa"/>
            <w:vAlign w:val="bottom"/>
          </w:tcPr>
          <w:p>
            <w:pPr>
              <w:ind w:left="140"/>
              <w:spacing w:after="0"/>
              <w:rPr>
                <w:sz w:val="20"/>
                <w:szCs w:val="20"/>
                <w:color w:val="auto"/>
              </w:rPr>
            </w:pPr>
            <w:r>
              <w:rPr>
                <w:rFonts w:ascii="Arial" w:cs="Arial" w:eastAsia="Arial" w:hAnsi="Arial"/>
                <w:sz w:val="18"/>
                <w:szCs w:val="18"/>
                <w:color w:val="auto"/>
              </w:rPr>
              <w:t>Consumer Finance — Debit Cards</w:t>
            </w:r>
          </w:p>
        </w:tc>
      </w:tr>
      <w:tr>
        <w:trPr>
          <w:trHeight w:val="27"/>
        </w:trPr>
        <w:tc>
          <w:tcPr>
            <w:tcW w:w="3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H&amp;R Block, Inc.</w:t>
            </w:r>
          </w:p>
        </w:tc>
        <w:tc>
          <w:tcPr>
            <w:tcW w:w="19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HRB</w:t>
            </w:r>
          </w:p>
        </w:tc>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Diversified Consumer Services</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Heartland Payment Systems, Inc.</w:t>
            </w:r>
          </w:p>
        </w:tc>
        <w:tc>
          <w:tcPr>
            <w:tcW w:w="1980" w:type="dxa"/>
            <w:vAlign w:val="bottom"/>
          </w:tcPr>
          <w:p>
            <w:pPr>
              <w:ind w:left="1000"/>
              <w:spacing w:after="0"/>
              <w:rPr>
                <w:sz w:val="20"/>
                <w:szCs w:val="20"/>
                <w:color w:val="auto"/>
              </w:rPr>
            </w:pPr>
            <w:r>
              <w:rPr>
                <w:rFonts w:ascii="Arial" w:cs="Arial" w:eastAsia="Arial" w:hAnsi="Arial"/>
                <w:sz w:val="18"/>
                <w:szCs w:val="18"/>
                <w:color w:val="auto"/>
              </w:rPr>
              <w:t>HPY</w:t>
            </w:r>
          </w:p>
        </w:tc>
        <w:tc>
          <w:tcPr>
            <w:tcW w:w="5820" w:type="dxa"/>
            <w:vAlign w:val="bottom"/>
          </w:tcPr>
          <w:p>
            <w:pPr>
              <w:ind w:left="140"/>
              <w:spacing w:after="0"/>
              <w:rPr>
                <w:sz w:val="20"/>
                <w:szCs w:val="20"/>
                <w:color w:val="auto"/>
              </w:rPr>
            </w:pPr>
            <w:r>
              <w:rPr>
                <w:rFonts w:ascii="Arial" w:cs="Arial" w:eastAsia="Arial" w:hAnsi="Arial"/>
                <w:sz w:val="18"/>
                <w:szCs w:val="18"/>
                <w:color w:val="auto"/>
              </w:rPr>
              <w:t>Consumer Finance — IT Services</w:t>
            </w:r>
          </w:p>
        </w:tc>
      </w:tr>
      <w:tr>
        <w:trPr>
          <w:trHeight w:val="27"/>
        </w:trPr>
        <w:tc>
          <w:tcPr>
            <w:tcW w:w="3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Moneygram International Inc.</w:t>
            </w:r>
          </w:p>
        </w:tc>
        <w:tc>
          <w:tcPr>
            <w:tcW w:w="19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MGI</w:t>
            </w:r>
          </w:p>
        </w:tc>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Consumer Finance — Money Transfer and Payment Services</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OneMain Holdings, Inc.</w:t>
            </w:r>
          </w:p>
        </w:tc>
        <w:tc>
          <w:tcPr>
            <w:tcW w:w="1980" w:type="dxa"/>
            <w:vAlign w:val="bottom"/>
          </w:tcPr>
          <w:p>
            <w:pPr>
              <w:ind w:left="1000"/>
              <w:spacing w:after="0"/>
              <w:rPr>
                <w:sz w:val="20"/>
                <w:szCs w:val="20"/>
                <w:color w:val="auto"/>
              </w:rPr>
            </w:pPr>
            <w:r>
              <w:rPr>
                <w:rFonts w:ascii="Arial" w:cs="Arial" w:eastAsia="Arial" w:hAnsi="Arial"/>
                <w:sz w:val="18"/>
                <w:szCs w:val="18"/>
                <w:color w:val="auto"/>
              </w:rPr>
              <w:t>OMF</w:t>
            </w:r>
          </w:p>
        </w:tc>
        <w:tc>
          <w:tcPr>
            <w:tcW w:w="5820" w:type="dxa"/>
            <w:vAlign w:val="bottom"/>
          </w:tcPr>
          <w:p>
            <w:pPr>
              <w:ind w:left="140"/>
              <w:spacing w:after="0"/>
              <w:rPr>
                <w:sz w:val="20"/>
                <w:szCs w:val="20"/>
                <w:color w:val="auto"/>
              </w:rPr>
            </w:pPr>
            <w:r>
              <w:rPr>
                <w:rFonts w:ascii="Arial" w:cs="Arial" w:eastAsia="Arial" w:hAnsi="Arial"/>
                <w:sz w:val="18"/>
                <w:szCs w:val="18"/>
                <w:color w:val="auto"/>
              </w:rPr>
              <w:t>Consumer Finance</w:t>
            </w:r>
          </w:p>
        </w:tc>
      </w:tr>
      <w:tr>
        <w:trPr>
          <w:trHeight w:val="27"/>
        </w:trPr>
        <w:tc>
          <w:tcPr>
            <w:tcW w:w="3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Outerwall Inc.</w:t>
            </w:r>
          </w:p>
        </w:tc>
        <w:tc>
          <w:tcPr>
            <w:tcW w:w="19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OUTR</w:t>
            </w:r>
          </w:p>
        </w:tc>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Specialty Retail</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Rent-a-Center, Inc.</w:t>
            </w:r>
          </w:p>
        </w:tc>
        <w:tc>
          <w:tcPr>
            <w:tcW w:w="1980" w:type="dxa"/>
            <w:vAlign w:val="bottom"/>
          </w:tcPr>
          <w:p>
            <w:pPr>
              <w:ind w:left="1000"/>
              <w:spacing w:after="0"/>
              <w:rPr>
                <w:sz w:val="20"/>
                <w:szCs w:val="20"/>
                <w:color w:val="auto"/>
              </w:rPr>
            </w:pPr>
            <w:r>
              <w:rPr>
                <w:rFonts w:ascii="Arial" w:cs="Arial" w:eastAsia="Arial" w:hAnsi="Arial"/>
                <w:sz w:val="18"/>
                <w:szCs w:val="18"/>
                <w:color w:val="auto"/>
              </w:rPr>
              <w:t>RCII</w:t>
            </w:r>
          </w:p>
        </w:tc>
        <w:tc>
          <w:tcPr>
            <w:tcW w:w="5820" w:type="dxa"/>
            <w:vAlign w:val="bottom"/>
          </w:tcPr>
          <w:p>
            <w:pPr>
              <w:ind w:left="140"/>
              <w:spacing w:after="0"/>
              <w:rPr>
                <w:sz w:val="20"/>
                <w:szCs w:val="20"/>
                <w:color w:val="auto"/>
              </w:rPr>
            </w:pPr>
            <w:r>
              <w:rPr>
                <w:rFonts w:ascii="Arial" w:cs="Arial" w:eastAsia="Arial" w:hAnsi="Arial"/>
                <w:sz w:val="18"/>
                <w:szCs w:val="18"/>
                <w:color w:val="auto"/>
              </w:rPr>
              <w:t>Specialty Retail</w:t>
            </w:r>
          </w:p>
        </w:tc>
      </w:tr>
      <w:tr>
        <w:trPr>
          <w:trHeight w:val="27"/>
        </w:trPr>
        <w:tc>
          <w:tcPr>
            <w:tcW w:w="3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System Services, Inc.</w:t>
            </w:r>
          </w:p>
        </w:tc>
        <w:tc>
          <w:tcPr>
            <w:tcW w:w="19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TSS</w:t>
            </w:r>
          </w:p>
        </w:tc>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Consumer Finance — IT Services</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WEX Inc.</w:t>
            </w:r>
          </w:p>
        </w:tc>
        <w:tc>
          <w:tcPr>
            <w:tcW w:w="1980" w:type="dxa"/>
            <w:vAlign w:val="bottom"/>
          </w:tcPr>
          <w:p>
            <w:pPr>
              <w:ind w:left="1000"/>
              <w:spacing w:after="0"/>
              <w:rPr>
                <w:sz w:val="20"/>
                <w:szCs w:val="20"/>
                <w:color w:val="auto"/>
              </w:rPr>
            </w:pPr>
            <w:r>
              <w:rPr>
                <w:rFonts w:ascii="Arial" w:cs="Arial" w:eastAsia="Arial" w:hAnsi="Arial"/>
                <w:sz w:val="18"/>
                <w:szCs w:val="18"/>
                <w:color w:val="auto"/>
              </w:rPr>
              <w:t>WEX</w:t>
            </w:r>
          </w:p>
        </w:tc>
        <w:tc>
          <w:tcPr>
            <w:tcW w:w="5820" w:type="dxa"/>
            <w:vAlign w:val="bottom"/>
          </w:tcPr>
          <w:p>
            <w:pPr>
              <w:ind w:left="140"/>
              <w:spacing w:after="0"/>
              <w:rPr>
                <w:sz w:val="20"/>
                <w:szCs w:val="20"/>
                <w:color w:val="auto"/>
              </w:rPr>
            </w:pPr>
            <w:r>
              <w:rPr>
                <w:rFonts w:ascii="Arial" w:cs="Arial" w:eastAsia="Arial" w:hAnsi="Arial"/>
                <w:sz w:val="18"/>
                <w:szCs w:val="18"/>
                <w:color w:val="auto"/>
              </w:rPr>
              <w:t>Consumer Finance — IT Services</w:t>
            </w:r>
          </w:p>
        </w:tc>
      </w:tr>
      <w:tr>
        <w:trPr>
          <w:trHeight w:val="27"/>
        </w:trPr>
        <w:tc>
          <w:tcPr>
            <w:tcW w:w="3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43"/>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 Acceptance Corp.</w:t>
            </w:r>
          </w:p>
        </w:tc>
        <w:tc>
          <w:tcPr>
            <w:tcW w:w="19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WRLD</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Finance — Small Loans</w:t>
            </w:r>
          </w:p>
        </w:tc>
      </w:tr>
      <w:tr>
        <w:trPr>
          <w:trHeight w:val="27"/>
        </w:trPr>
        <w:tc>
          <w:tcPr>
            <w:tcW w:w="36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582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right="140" w:hanging="332"/>
        <w:spacing w:after="0" w:line="273"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Effective September 1, 2016, Cash America International, Inc. merged with First Cash Financial Services Inc. and no longer exists as a separate publicly traded company. The information for Cash America International, Inc. used in the Pearl Meyer peer group study included the latest publicly available information prior to that time.</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supplement peer group data, Pearl Meyer also provided compensation statistics from a review of published compensation surveys. Survey data reflected compensation rates across a broad group of general industry companies with revenues of around $1 billion. Using a survey sample in combination with peer group data (along with the practice of reviewing market quartiles, as opposed to averages) mitigates the impact of outliers, year-over-year volatility of compensation levels and the risk of selection bias.</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Pearl Meyer’s fiscal 2017 executive compensation review was substantially consistent with the review performed for fiscal 2016, and generally concluded that the total direct compensation for the Company’s executives below the Chief Executive Officer level on average approximate the market 75th percentile. Pearl Meyer noted that, when measuring total direct compensation at target levels, the competitive posture of the Company’s Chief Executive Officer position was below the 75th percentile, primarily due to below-market long-term incentive opportunities for the Chief Executive Officer. Pearl Meyer also observed that the average mix of pay for the Company’s executives is more heavily weighted toward annual cash compensation than the average peer group company, but that the long-term compensation opportunities for the Company’s executives continued to be more heavily oriented toward performance-based opportunities than the peer group average, principally as a result of our long-term equity awards being 100% performance-based (vs. a significant time-vested component at most peer companies).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objective with respect to base salary levels is to provide sufficient fixed cash income to retain and attract experienced and valuable leaders in a competitive market for executive talent. The base salaries of our executive officers are reviewed and adjusted (if appropriate) annually to reflect, among other things, individual performance, base salaries for comparable positions from a review of market data discussed previously, the tenure of the officers, economic conditions and the base salaries of the officers relative to one another.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for each of our Named Executive Officer, the base salaries that were in effect for fiscal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820" w:type="dxa"/>
            <w:vAlign w:val="bottom"/>
          </w:tcPr>
          <w:p>
            <w:pPr>
              <w:spacing w:after="0"/>
              <w:rPr>
                <w:sz w:val="14"/>
                <w:szCs w:val="14"/>
                <w:color w:val="auto"/>
              </w:rPr>
            </w:pPr>
          </w:p>
        </w:tc>
        <w:tc>
          <w:tcPr>
            <w:tcW w:w="1240" w:type="dxa"/>
            <w:vAlign w:val="bottom"/>
          </w:tcPr>
          <w:p>
            <w:pPr>
              <w:jc w:val="right"/>
              <w:ind w:right="114"/>
              <w:spacing w:after="0"/>
              <w:rPr>
                <w:sz w:val="20"/>
                <w:szCs w:val="20"/>
                <w:color w:val="auto"/>
              </w:rPr>
            </w:pPr>
            <w:r>
              <w:rPr>
                <w:rFonts w:ascii="Arial" w:cs="Arial" w:eastAsia="Arial" w:hAnsi="Arial"/>
                <w:sz w:val="14"/>
                <w:szCs w:val="14"/>
                <w:b w:val="1"/>
                <w:bCs w:val="1"/>
                <w:color w:val="auto"/>
                <w:w w:val="90"/>
              </w:rPr>
              <w:t>Fiscal 2017 Base</w:t>
            </w:r>
          </w:p>
        </w:tc>
        <w:tc>
          <w:tcPr>
            <w:tcW w:w="260" w:type="dxa"/>
            <w:vAlign w:val="bottom"/>
          </w:tcPr>
          <w:p>
            <w:pPr>
              <w:spacing w:after="0"/>
              <w:rPr>
                <w:sz w:val="14"/>
                <w:szCs w:val="14"/>
                <w:color w:val="auto"/>
              </w:rPr>
            </w:pPr>
          </w:p>
        </w:tc>
        <w:tc>
          <w:tcPr>
            <w:tcW w:w="144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Fiscal 2016 Base</w:t>
            </w:r>
          </w:p>
        </w:tc>
        <w:tc>
          <w:tcPr>
            <w:tcW w:w="13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auto"/>
            </w:tcBorders>
            <w:vMerge w:val="continue"/>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Salary</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Salary</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1,000,000</w:t>
            </w:r>
          </w:p>
        </w:tc>
        <w:tc>
          <w:tcPr>
            <w:tcW w:w="13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Mr. Chism (a)</w:t>
            </w:r>
          </w:p>
        </w:tc>
        <w:tc>
          <w:tcPr>
            <w:tcW w:w="28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450,000</w:t>
            </w:r>
          </w:p>
        </w:tc>
        <w:tc>
          <w:tcPr>
            <w:tcW w:w="260" w:type="dxa"/>
            <w:vAlign w:val="bottom"/>
          </w:tcPr>
          <w:p>
            <w:pPr>
              <w:spacing w:after="0"/>
              <w:rPr>
                <w:sz w:val="21"/>
                <w:szCs w:val="21"/>
                <w:color w:val="auto"/>
              </w:rPr>
            </w:pPr>
          </w:p>
        </w:tc>
        <w:tc>
          <w:tcPr>
            <w:tcW w:w="14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2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600,000</w:t>
            </w:r>
          </w:p>
        </w:tc>
        <w:tc>
          <w:tcPr>
            <w:tcW w:w="13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28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675,000</w:t>
            </w:r>
          </w:p>
        </w:tc>
        <w:tc>
          <w:tcPr>
            <w:tcW w:w="260" w:type="dxa"/>
            <w:vAlign w:val="bottom"/>
          </w:tcPr>
          <w:p>
            <w:pPr>
              <w:spacing w:after="0"/>
              <w:rPr>
                <w:sz w:val="21"/>
                <w:szCs w:val="21"/>
                <w:color w:val="auto"/>
              </w:rPr>
            </w:pPr>
          </w:p>
        </w:tc>
        <w:tc>
          <w:tcPr>
            <w:tcW w:w="1440" w:type="dxa"/>
            <w:vAlign w:val="bottom"/>
          </w:tcPr>
          <w:p>
            <w:pPr>
              <w:jc w:val="right"/>
              <w:ind w:right="254"/>
              <w:spacing w:after="0"/>
              <w:rPr>
                <w:sz w:val="20"/>
                <w:szCs w:val="20"/>
                <w:color w:val="auto"/>
              </w:rPr>
            </w:pPr>
            <w:r>
              <w:rPr>
                <w:rFonts w:ascii="Arial" w:cs="Arial" w:eastAsia="Arial" w:hAnsi="Arial"/>
                <w:sz w:val="18"/>
                <w:szCs w:val="18"/>
                <w:color w:val="auto"/>
              </w:rPr>
              <w:t>675,000</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2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410,000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410,000</w:t>
            </w:r>
          </w:p>
        </w:tc>
        <w:tc>
          <w:tcPr>
            <w:tcW w:w="13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Mr. Ashby (b)</w:t>
            </w:r>
          </w:p>
        </w:tc>
        <w:tc>
          <w:tcPr>
            <w:tcW w:w="28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700,000</w:t>
            </w:r>
          </w:p>
        </w:tc>
        <w:tc>
          <w:tcPr>
            <w:tcW w:w="260" w:type="dxa"/>
            <w:vAlign w:val="bottom"/>
          </w:tcPr>
          <w:p>
            <w:pPr>
              <w:spacing w:after="0"/>
              <w:rPr>
                <w:sz w:val="21"/>
                <w:szCs w:val="21"/>
                <w:color w:val="auto"/>
              </w:rPr>
            </w:pPr>
          </w:p>
        </w:tc>
        <w:tc>
          <w:tcPr>
            <w:tcW w:w="1440" w:type="dxa"/>
            <w:vAlign w:val="bottom"/>
          </w:tcPr>
          <w:p>
            <w:pPr>
              <w:jc w:val="right"/>
              <w:ind w:right="254"/>
              <w:spacing w:after="0"/>
              <w:rPr>
                <w:sz w:val="20"/>
                <w:szCs w:val="20"/>
                <w:color w:val="auto"/>
              </w:rPr>
            </w:pPr>
            <w:r>
              <w:rPr>
                <w:rFonts w:ascii="Arial" w:cs="Arial" w:eastAsia="Arial" w:hAnsi="Arial"/>
                <w:sz w:val="18"/>
                <w:szCs w:val="18"/>
                <w:color w:val="auto"/>
              </w:rPr>
              <w:t>700,000</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20" w:hanging="412"/>
        <w:spacing w:after="0"/>
        <w:tabs>
          <w:tab w:leader="none" w:pos="4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Chism joined the Company as Chief Financial Officer in May 2017. His base salary for fiscal 2017 was negotiated at that time.</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Ashby left the Company in May 2017.</w:t>
      </w:r>
    </w:p>
    <w:p>
      <w:pPr>
        <w:spacing w:after="0" w:line="16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November 2016, the Committee determined that the base salaries for the executive officers would again be held flat for fiscal 2017 (other than an increase of less than 7% for one executive officer to reflect an expanded role). None of the Named Executive Officers received any base salary increase for fiscal 2017.</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2017, the Committee determined that the base salaries for the executive officers would again be held flat for fiscal 2018 (other than an increase of approximately 17% for the General Manager of the Company’s Empeño Fácil business in Mexico to recognize outstanding performance and better align his total direct compensation opportunity to the market). Consequently, the fiscal 2018 base salary for each of the Named Executive Officers will be the same as the base salary for fiscal 2017, as shown in the table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executive officers, as well as other key employees, are eligible to participate in our annual Short-Term Incentive Compensation Plan (“STI”). The annual cash bonus opportunities offered to participants in the plan are designed to provide a powerful performance incentive contingent upon participants' contributions toward achievement of annual corporate and business unit financial results, as well as personal objectives that are tied to our strategic goals.</w:t>
      </w:r>
    </w:p>
    <w:p>
      <w:pPr>
        <w:spacing w:after="0" w:line="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fiscal 2017, the incentive bonus opportunity for each executive officer was a function of a designated target amount (stated as a percentage of base salary) and a business performance modifier ranging from 0% to 150% based on the achievement of specified levels of consolidated EBITDA ranging from $86.4 million to $116.8 million. This calculation provides the maximum bonus opportunity for each executive, with the final payout amount being subject to an evaluation of the executive’s individual performance. In calculating EBITDA, the Committee is permitted to make adjustments for specified special or extraordinary events or circumstances if the Committee, in its discretion, considers it appropriate to do so. The following table sets forth the fiscal 2017 STI bonus target (stated as a percentage of base salary) for each of the Named Executive Officers: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5940" w:type="dxa"/>
            <w:vAlign w:val="bottom"/>
          </w:tcPr>
          <w:p>
            <w:pPr>
              <w:jc w:val="center"/>
              <w:ind w:left="3714"/>
              <w:spacing w:after="0"/>
              <w:rPr>
                <w:sz w:val="20"/>
                <w:szCs w:val="20"/>
                <w:color w:val="auto"/>
              </w:rPr>
            </w:pPr>
            <w:r>
              <w:rPr>
                <w:rFonts w:ascii="Arial" w:cs="Arial" w:eastAsia="Arial" w:hAnsi="Arial"/>
                <w:sz w:val="14"/>
                <w:szCs w:val="14"/>
                <w:b w:val="1"/>
                <w:bCs w:val="1"/>
                <w:color w:val="auto"/>
                <w:w w:val="92"/>
              </w:rPr>
              <w:t>Fiscal 2017 Target Amount (as a</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auto"/>
            </w:tcBorders>
            <w:vMerge w:val="continue"/>
          </w:tcPr>
          <w:p>
            <w:pPr>
              <w:spacing w:after="0"/>
              <w:rPr>
                <w:sz w:val="16"/>
                <w:szCs w:val="16"/>
                <w:color w:val="auto"/>
              </w:rPr>
            </w:pPr>
          </w:p>
        </w:tc>
        <w:tc>
          <w:tcPr>
            <w:tcW w:w="5940" w:type="dxa"/>
            <w:vAlign w:val="bottom"/>
            <w:tcBorders>
              <w:bottom w:val="single" w:sz="8" w:color="auto"/>
            </w:tcBorders>
          </w:tcPr>
          <w:p>
            <w:pPr>
              <w:jc w:val="center"/>
              <w:ind w:left="3714"/>
              <w:spacing w:after="0"/>
              <w:rPr>
                <w:sz w:val="20"/>
                <w:szCs w:val="20"/>
                <w:color w:val="auto"/>
              </w:rPr>
            </w:pPr>
            <w:r>
              <w:rPr>
                <w:rFonts w:ascii="Arial" w:cs="Arial" w:eastAsia="Arial" w:hAnsi="Arial"/>
                <w:sz w:val="14"/>
                <w:szCs w:val="14"/>
                <w:b w:val="1"/>
                <w:bCs w:val="1"/>
                <w:color w:val="auto"/>
                <w:w w:val="92"/>
              </w:rPr>
              <w:t>% of base salary)</w:t>
            </w:r>
          </w:p>
        </w:tc>
        <w:tc>
          <w:tcPr>
            <w:tcW w:w="0" w:type="dxa"/>
            <w:vAlign w:val="bottom"/>
          </w:tcPr>
          <w:p>
            <w:pPr>
              <w:spacing w:after="0"/>
              <w:rPr>
                <w:sz w:val="1"/>
                <w:szCs w:val="1"/>
                <w:color w:val="auto"/>
              </w:rPr>
            </w:pPr>
          </w:p>
        </w:tc>
      </w:tr>
      <w:tr>
        <w:trPr>
          <w:trHeight w:val="121"/>
        </w:trPr>
        <w:tc>
          <w:tcPr>
            <w:tcW w:w="54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5940" w:type="dxa"/>
            <w:vAlign w:val="bottom"/>
            <w:tcBorders>
              <w:bottom w:val="single" w:sz="8" w:color="CCEEFF"/>
            </w:tcBorders>
            <w:shd w:val="clear" w:color="auto" w:fill="CCEEFF"/>
          </w:tcPr>
          <w:p>
            <w:pPr>
              <w:jc w:val="center"/>
              <w:ind w:left="3714"/>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Mr. Chism</w:t>
            </w:r>
          </w:p>
        </w:tc>
        <w:tc>
          <w:tcPr>
            <w:tcW w:w="5940" w:type="dxa"/>
            <w:vAlign w:val="bottom"/>
          </w:tcPr>
          <w:p>
            <w:pPr>
              <w:jc w:val="center"/>
              <w:ind w:left="3714"/>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5940" w:type="dxa"/>
            <w:vAlign w:val="bottom"/>
            <w:tcBorders>
              <w:bottom w:val="single" w:sz="8" w:color="CCEEFF"/>
            </w:tcBorders>
            <w:shd w:val="clear" w:color="auto" w:fill="CCEEFF"/>
          </w:tcPr>
          <w:p>
            <w:pPr>
              <w:jc w:val="center"/>
              <w:ind w:left="3714"/>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5940" w:type="dxa"/>
            <w:vAlign w:val="bottom"/>
          </w:tcPr>
          <w:p>
            <w:pPr>
              <w:jc w:val="center"/>
              <w:ind w:left="3714"/>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5940" w:type="dxa"/>
            <w:vAlign w:val="bottom"/>
            <w:tcBorders>
              <w:bottom w:val="single" w:sz="8" w:color="CCEEFF"/>
            </w:tcBorders>
            <w:shd w:val="clear" w:color="auto" w:fill="CCEEFF"/>
          </w:tcPr>
          <w:p>
            <w:pPr>
              <w:jc w:val="center"/>
              <w:ind w:left="3714"/>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Mr. Ashby (a)</w:t>
            </w:r>
          </w:p>
        </w:tc>
        <w:tc>
          <w:tcPr>
            <w:tcW w:w="5940" w:type="dxa"/>
            <w:vAlign w:val="bottom"/>
          </w:tcPr>
          <w:p>
            <w:pPr>
              <w:jc w:val="center"/>
              <w:ind w:left="3714"/>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Ashby left the Company in May 2017.</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November 2017, the Committee reviewed the Company's performance during fiscal 2017, noting the performance highlights described above under "Executive Summary — 2017 Business Highlights." The Committee also noted that, based on the Company’s financial results for fiscal 2017, the Company had achieved consolidated EBITDA of $82.6 million. The Committee considered and approved adjustments that were designed to exclude the impact of special or extraordinary events that are beyond the control of management, such as the looting in Mexico that negatively impacted the Company’s performance in the second quarter of fiscal 2017 and the hurricanes in Texas and Florida that negatively impacted the Company’s performance in the fourth quarter. The Committee determined that, with those adjustments, adjusted EBITDA for purposes of calculating the fiscal 2017 STI bonus payouts was $94.7 million and, based on that performance, confirmed the fiscal 2017 STI payout at the 77% level. Taking into account the individual performance modifiers, the Committee approved the payouts for the Named Executive Officers as indicated in the “Non-Equity Incentive Plan Compensation” column in the Summary Compensation Table below. Those amounts were calculated as follows:</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Company</w:t>
            </w:r>
          </w:p>
        </w:tc>
        <w:tc>
          <w:tcPr>
            <w:tcW w:w="1220" w:type="dxa"/>
            <w:vAlign w:val="bottom"/>
          </w:tcPr>
          <w:p>
            <w:pPr>
              <w:jc w:val="center"/>
              <w:ind w:left="57"/>
              <w:spacing w:after="0"/>
              <w:rPr>
                <w:sz w:val="20"/>
                <w:szCs w:val="20"/>
                <w:color w:val="auto"/>
              </w:rPr>
            </w:pPr>
            <w:r>
              <w:rPr>
                <w:rFonts w:ascii="Arial" w:cs="Arial" w:eastAsia="Arial" w:hAnsi="Arial"/>
                <w:sz w:val="14"/>
                <w:szCs w:val="14"/>
                <w:b w:val="1"/>
                <w:bCs w:val="1"/>
                <w:color w:val="auto"/>
                <w:w w:val="97"/>
              </w:rPr>
              <w:t>Individual</w:t>
            </w:r>
          </w:p>
        </w:tc>
        <w:tc>
          <w:tcPr>
            <w:tcW w:w="320" w:type="dxa"/>
            <w:vAlign w:val="bottom"/>
          </w:tcPr>
          <w:p>
            <w:pPr>
              <w:spacing w:after="0"/>
              <w:rPr>
                <w:sz w:val="14"/>
                <w:szCs w:val="14"/>
                <w:color w:val="auto"/>
              </w:rPr>
            </w:pPr>
          </w:p>
        </w:tc>
        <w:tc>
          <w:tcPr>
            <w:tcW w:w="11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149"/>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 (a)</w:t>
            </w:r>
          </w:p>
        </w:tc>
        <w:tc>
          <w:tcPr>
            <w:tcW w:w="880" w:type="dxa"/>
            <w:vAlign w:val="bottom"/>
          </w:tcPr>
          <w:p>
            <w:pPr>
              <w:spacing w:after="0"/>
              <w:rPr>
                <w:sz w:val="12"/>
                <w:szCs w:val="12"/>
                <w:color w:val="auto"/>
              </w:rPr>
            </w:pPr>
          </w:p>
        </w:tc>
        <w:tc>
          <w:tcPr>
            <w:tcW w:w="12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2017 Salary</w:t>
            </w:r>
          </w:p>
        </w:tc>
        <w:tc>
          <w:tcPr>
            <w:tcW w:w="12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Target Amount</w:t>
            </w:r>
          </w:p>
        </w:tc>
        <w:tc>
          <w:tcPr>
            <w:tcW w:w="15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Target Opportunity</w:t>
            </w:r>
          </w:p>
        </w:tc>
        <w:tc>
          <w:tcPr>
            <w:tcW w:w="12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9"/>
              </w:rPr>
              <w:t>Modifier (b)</w:t>
            </w:r>
          </w:p>
        </w:tc>
        <w:tc>
          <w:tcPr>
            <w:tcW w:w="122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w w:val="99"/>
              </w:rPr>
              <w:t>Modifier (b)</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Grimshaw</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1,000,000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2,500,000</w:t>
            </w:r>
          </w:p>
        </w:tc>
        <w:tc>
          <w:tcPr>
            <w:tcW w:w="1260" w:type="dxa"/>
            <w:vAlign w:val="bottom"/>
            <w:tcBorders>
              <w:bottom w:val="single" w:sz="8" w:color="CCEEFF"/>
            </w:tcBorders>
            <w:shd w:val="clear" w:color="auto" w:fill="CCEEFF"/>
          </w:tcPr>
          <w:p>
            <w:pPr>
              <w:jc w:val="center"/>
              <w:ind w:right="17"/>
              <w:spacing w:after="0"/>
              <w:rPr>
                <w:sz w:val="20"/>
                <w:szCs w:val="20"/>
                <w:color w:val="auto"/>
              </w:rPr>
            </w:pPr>
            <w:r>
              <w:rPr>
                <w:rFonts w:ascii="Arial" w:cs="Arial" w:eastAsia="Arial" w:hAnsi="Arial"/>
                <w:sz w:val="18"/>
                <w:szCs w:val="18"/>
                <w:color w:val="auto"/>
                <w:w w:val="88"/>
              </w:rPr>
              <w:t>77%</w:t>
            </w:r>
          </w:p>
        </w:tc>
        <w:tc>
          <w:tcPr>
            <w:tcW w:w="12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N/A</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1,925,000</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Mr. Chism (c)</w:t>
            </w:r>
          </w:p>
        </w:tc>
        <w:tc>
          <w:tcPr>
            <w:tcW w:w="88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450,000</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4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360,000</w:t>
            </w:r>
          </w:p>
        </w:tc>
        <w:tc>
          <w:tcPr>
            <w:tcW w:w="1260" w:type="dxa"/>
            <w:vAlign w:val="bottom"/>
          </w:tcPr>
          <w:p>
            <w:pPr>
              <w:jc w:val="center"/>
              <w:ind w:right="17"/>
              <w:spacing w:after="0"/>
              <w:rPr>
                <w:sz w:val="20"/>
                <w:szCs w:val="20"/>
                <w:color w:val="auto"/>
              </w:rPr>
            </w:pPr>
            <w:r>
              <w:rPr>
                <w:rFonts w:ascii="Arial" w:cs="Arial" w:eastAsia="Arial" w:hAnsi="Arial"/>
                <w:sz w:val="18"/>
                <w:szCs w:val="18"/>
                <w:color w:val="auto"/>
                <w:w w:val="88"/>
              </w:rPr>
              <w:t>77%</w:t>
            </w:r>
          </w:p>
        </w:tc>
        <w:tc>
          <w:tcPr>
            <w:tcW w:w="1220" w:type="dxa"/>
            <w:vAlign w:val="bottom"/>
          </w:tcPr>
          <w:p>
            <w:pPr>
              <w:jc w:val="center"/>
              <w:ind w:left="37"/>
              <w:spacing w:after="0"/>
              <w:rPr>
                <w:sz w:val="20"/>
                <w:szCs w:val="20"/>
                <w:color w:val="auto"/>
              </w:rPr>
            </w:pPr>
            <w:r>
              <w:rPr>
                <w:rFonts w:ascii="Arial" w:cs="Arial" w:eastAsia="Arial" w:hAnsi="Arial"/>
                <w:sz w:val="18"/>
                <w:szCs w:val="18"/>
                <w:color w:val="auto"/>
                <w:w w:val="94"/>
              </w:rPr>
              <w:t>50%</w:t>
            </w:r>
          </w:p>
        </w:tc>
        <w:tc>
          <w:tcPr>
            <w:tcW w:w="3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85,447</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600,000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750,000</w:t>
            </w:r>
          </w:p>
        </w:tc>
        <w:tc>
          <w:tcPr>
            <w:tcW w:w="1260" w:type="dxa"/>
            <w:vAlign w:val="bottom"/>
            <w:tcBorders>
              <w:bottom w:val="single" w:sz="8" w:color="CCEEFF"/>
            </w:tcBorders>
            <w:shd w:val="clear" w:color="auto" w:fill="CCEEFF"/>
          </w:tcPr>
          <w:p>
            <w:pPr>
              <w:jc w:val="center"/>
              <w:ind w:right="17"/>
              <w:spacing w:after="0"/>
              <w:rPr>
                <w:sz w:val="20"/>
                <w:szCs w:val="20"/>
                <w:color w:val="auto"/>
              </w:rPr>
            </w:pPr>
            <w:r>
              <w:rPr>
                <w:rFonts w:ascii="Arial" w:cs="Arial" w:eastAsia="Arial" w:hAnsi="Arial"/>
                <w:sz w:val="18"/>
                <w:szCs w:val="18"/>
                <w:color w:val="auto"/>
                <w:w w:val="88"/>
              </w:rPr>
              <w:t>77%</w:t>
            </w:r>
          </w:p>
        </w:tc>
        <w:tc>
          <w:tcPr>
            <w:tcW w:w="12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N/A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577,500</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Mr. Rotunda</w:t>
            </w:r>
          </w:p>
        </w:tc>
        <w:tc>
          <w:tcPr>
            <w:tcW w:w="88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675,000</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4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1,012,500</w:t>
            </w:r>
          </w:p>
        </w:tc>
        <w:tc>
          <w:tcPr>
            <w:tcW w:w="1260" w:type="dxa"/>
            <w:vAlign w:val="bottom"/>
          </w:tcPr>
          <w:p>
            <w:pPr>
              <w:jc w:val="center"/>
              <w:ind w:right="17"/>
              <w:spacing w:after="0"/>
              <w:rPr>
                <w:sz w:val="20"/>
                <w:szCs w:val="20"/>
                <w:color w:val="auto"/>
              </w:rPr>
            </w:pPr>
            <w:r>
              <w:rPr>
                <w:rFonts w:ascii="Arial" w:cs="Arial" w:eastAsia="Arial" w:hAnsi="Arial"/>
                <w:sz w:val="18"/>
                <w:szCs w:val="18"/>
                <w:color w:val="auto"/>
                <w:w w:val="88"/>
              </w:rPr>
              <w:t>77%</w:t>
            </w:r>
          </w:p>
        </w:tc>
        <w:tc>
          <w:tcPr>
            <w:tcW w:w="1220" w:type="dxa"/>
            <w:vAlign w:val="bottom"/>
          </w:tcPr>
          <w:p>
            <w:pPr>
              <w:jc w:val="center"/>
              <w:ind w:left="37"/>
              <w:spacing w:after="0"/>
              <w:rPr>
                <w:sz w:val="20"/>
                <w:szCs w:val="20"/>
                <w:color w:val="auto"/>
              </w:rPr>
            </w:pPr>
            <w:r>
              <w:rPr>
                <w:rFonts w:ascii="Arial" w:cs="Arial" w:eastAsia="Arial" w:hAnsi="Arial"/>
                <w:sz w:val="18"/>
                <w:szCs w:val="18"/>
                <w:color w:val="auto"/>
                <w:w w:val="91"/>
              </w:rPr>
              <w:t>100%</w:t>
            </w:r>
          </w:p>
        </w:tc>
        <w:tc>
          <w:tcPr>
            <w:tcW w:w="3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779,625</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Welch</w:t>
            </w:r>
          </w:p>
        </w:tc>
        <w:tc>
          <w:tcPr>
            <w:tcW w:w="8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410,000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307,500</w:t>
            </w:r>
          </w:p>
        </w:tc>
        <w:tc>
          <w:tcPr>
            <w:tcW w:w="126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88"/>
              </w:rPr>
              <w:t>77%</w:t>
            </w:r>
          </w:p>
        </w:tc>
        <w:tc>
          <w:tcPr>
            <w:tcW w:w="12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4"/>
              </w:rPr>
              <w:t>80%</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213,098</w:t>
            </w: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Ashby left the Company effective May 8, 2017 and did not receive any payout under the fiscal 2017 STI bonus plan.</w:t>
      </w:r>
    </w:p>
    <w:p>
      <w:pPr>
        <w:spacing w:after="0" w:line="55" w:lineRule="exact"/>
        <w:rPr>
          <w:rFonts w:ascii="Arial" w:cs="Arial" w:eastAsia="Arial" w:hAnsi="Arial"/>
          <w:sz w:val="14"/>
          <w:szCs w:val="14"/>
          <w:color w:val="auto"/>
        </w:rPr>
      </w:pPr>
    </w:p>
    <w:p>
      <w:pPr>
        <w:ind w:left="340" w:hanging="332"/>
        <w:spacing w:after="0" w:line="247"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For Mr. Grimshaw and Mr. Given, 100% of their Target Opportunity is subject to the Company Performance Modifier. For each of the other Named Executive Officers, 50% of the Target Opportunity is subject to reduction based on the Individual Performance Modifier and then the Company Performance Modifier is applied to the resulting Target Opportunity. The Individual Performance Modifiers for Mr. Chism, Mr. Rotunda and Mr. Welch were recommended by the Chief Executive Officer and approved by the Compensation Committee. The Chief Executive Officer’s recommendations were based on his subjective evaluation of each executive's performance during the year relative to the Company's performance as a whole, with the expectation that only extraordinary performance would merit a 100% Individual Performance Modifier. Given these standards, the Chief Executive Officer recommended, and the Compensation Committee approved, the Individual Performance Modifiers noted above.</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For Mr. Chism, the award was prorated based on the date of his appointment of Chief Financial Officer effective May 9, 2017.</w:t>
      </w:r>
    </w:p>
    <w:p>
      <w:pPr>
        <w:spacing w:after="0" w:line="1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2017, the Committee approved the short-term incentive bonus plan for fiscal 2018, which will be substantially identical to the fiscal 2017 plan, except that the business performance modifiers for participants who are assigned to specific business units will be based on the EBITDA performance of those respective business units (subject to the achievement of a threshold level of consolidated EBITDA). The business performance modifiers for corporate participants will continue to be based on consolidated EBITDA performance. The fiscal 2018 Target Amount for each of the Named Executive Officers is the same as the fiscal 2017 Target Amount (as shown in the table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6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compensation, in the form of performance-based equity awards, is a key component in our executive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helping to encourage long-term commitment, shareholder alignment and long-term performance orientation. The value of equity awards over time bears a direct relationship to the price of our shares and the returns experienced by our stockholders. These awards are made under the EZCORP Long-Term Incentive Plan (“LTIP”).</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All of our executive officers are eligible to receive equity incentive awards. For fiscal 2016 and forward, we modified our approach to long-term incentive compensation to place greater emphasis on long-term performance that enhances stockholder value. Now, unlike many of our peers who have a significant time-vested component to their long-term awards, 100% of our long-term incentive awards are subject to performance-based vesting. In order to further emphasize the long-term nature of these awards, 100% of the LTIP awards vest at the end of the three-year performance period, rather than a prorated vesting each year during the performance period. The Committee believes that this structure incentivizes and rewards longer term vision and strategies and provides a balance to the Company’s short-term programs, which tend to be focused on annual performance.</w:t>
      </w:r>
    </w:p>
    <w:p>
      <w:pPr>
        <w:spacing w:after="0" w:line="12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Grant frequency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considers new LTIP grants for all executives every year, although we do not necessarily grant new equity to all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every year. The frequency of LTIP grants and the amount of equity awards granted in a given year are based in part upon an assessment of past equity awards still outstanding at the time new grants are to be made.</w:t>
      </w:r>
    </w:p>
    <w:p>
      <w:pPr>
        <w:spacing w:after="0" w:line="12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LTIP awards may be made at any time as determined by the Committee, and the grant price (i.e., the stock price used to determine the number of shares or units awarded) is generally the closing trading price on the date the award is approved. The annual LTIP awards, however, are intended to incentivize performance over the full designated performance period. Therefore,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Committee considers it appropriate to use the stock price at the beginning of the performance period as the grant price, even though the awards may be approved by the Committee at a later date. In the Committee’s view, this methodology, consistently applied, neutralizes the stock price as a factor impacting the timing of awards.</w:t>
      </w:r>
    </w:p>
    <w:p>
      <w:pPr>
        <w:spacing w:after="0" w:line="12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Fiscal 2017 LTIP awards </w:t>
      </w:r>
      <w:r>
        <w:rPr>
          <w:rFonts w:ascii="Arial" w:cs="Arial" w:eastAsia="Arial" w:hAnsi="Arial"/>
          <w:sz w:val="17"/>
          <w:szCs w:val="17"/>
          <w:color w:val="auto"/>
        </w:rPr>
        <w:t>— In November 2016, the Committee approved the fiscal 2017 LTIP awards for our key employees, including the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The approved awards consist of restricted stock units that vest at the end of a three-year period (September 30, 2019) based on the following performance metrics: the vesting of 80% of the units is subject to achieving specified EBITDA growth targets, and the vesting of 20% of the units is subject to achieving specified reductions in net debt (defined as consolidated long-term recourse debt minus cash, cash equivalents and restricted cash). The specified performance metrics provide for vesting of either 0%, 50% or 100% of the units, depending on the level of performance; there is no “kicker” for over-performance, and no more than 100% of the units will vest in any event. The number of units awarded to each recipient was a function of a multiple of the recipient’s base salary divided by $11.06 (the closing trading price of our Class A Common Stock on September 30,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approved fiscal 2017 LTIP awards for the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4740" w:type="dxa"/>
            <w:vAlign w:val="bottom"/>
          </w:tcPr>
          <w:p>
            <w:pPr>
              <w:jc w:val="center"/>
              <w:ind w:left="3334"/>
              <w:spacing w:after="0"/>
              <w:rPr>
                <w:sz w:val="20"/>
                <w:szCs w:val="20"/>
                <w:color w:val="auto"/>
              </w:rPr>
            </w:pPr>
            <w:r>
              <w:rPr>
                <w:rFonts w:ascii="Arial" w:cs="Arial" w:eastAsia="Arial" w:hAnsi="Arial"/>
                <w:sz w:val="14"/>
                <w:szCs w:val="14"/>
                <w:b w:val="1"/>
                <w:bCs w:val="1"/>
                <w:color w:val="auto"/>
                <w:w w:val="90"/>
              </w:rPr>
              <w:t>Percent of Base</w:t>
            </w:r>
          </w:p>
        </w:tc>
        <w:tc>
          <w:tcPr>
            <w:tcW w:w="13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Units</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auto"/>
            </w:tcBorders>
            <w:vMerge w:val="continue"/>
          </w:tcPr>
          <w:p>
            <w:pPr>
              <w:spacing w:after="0"/>
              <w:rPr>
                <w:sz w:val="16"/>
                <w:szCs w:val="16"/>
                <w:color w:val="auto"/>
              </w:rPr>
            </w:pPr>
          </w:p>
        </w:tc>
        <w:tc>
          <w:tcPr>
            <w:tcW w:w="4740" w:type="dxa"/>
            <w:vAlign w:val="bottom"/>
            <w:tcBorders>
              <w:bottom w:val="single" w:sz="8" w:color="auto"/>
            </w:tcBorders>
          </w:tcPr>
          <w:p>
            <w:pPr>
              <w:jc w:val="center"/>
              <w:ind w:left="3334"/>
              <w:spacing w:after="0"/>
              <w:rPr>
                <w:sz w:val="20"/>
                <w:szCs w:val="20"/>
                <w:color w:val="auto"/>
              </w:rPr>
            </w:pPr>
            <w:r>
              <w:rPr>
                <w:rFonts w:ascii="Arial" w:cs="Arial" w:eastAsia="Arial" w:hAnsi="Arial"/>
                <w:sz w:val="14"/>
                <w:szCs w:val="14"/>
                <w:b w:val="1"/>
                <w:bCs w:val="1"/>
                <w:color w:val="auto"/>
                <w:w w:val="95"/>
              </w:rPr>
              <w:t>Salary</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24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4740" w:type="dxa"/>
            <w:vAlign w:val="bottom"/>
            <w:tcBorders>
              <w:bottom w:val="single" w:sz="8" w:color="CCEEFF"/>
            </w:tcBorders>
            <w:shd w:val="clear" w:color="auto" w:fill="CCEEFF"/>
          </w:tcPr>
          <w:p>
            <w:pPr>
              <w:jc w:val="center"/>
              <w:ind w:left="3334"/>
              <w:spacing w:after="0"/>
              <w:rPr>
                <w:sz w:val="20"/>
                <w:szCs w:val="20"/>
                <w:color w:val="auto"/>
              </w:rPr>
            </w:pPr>
            <w:r>
              <w:rPr>
                <w:rFonts w:ascii="Arial" w:cs="Arial" w:eastAsia="Arial" w:hAnsi="Arial"/>
                <w:sz w:val="18"/>
                <w:szCs w:val="18"/>
                <w:color w:val="auto"/>
                <w:w w:val="86"/>
              </w:rPr>
              <w:t>300%</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271,248</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Mr. Chism (a)</w:t>
            </w:r>
          </w:p>
        </w:tc>
        <w:tc>
          <w:tcPr>
            <w:tcW w:w="4740" w:type="dxa"/>
            <w:vAlign w:val="bottom"/>
          </w:tcPr>
          <w:p>
            <w:pPr>
              <w:jc w:val="center"/>
              <w:ind w:left="3334"/>
              <w:spacing w:after="0"/>
              <w:rPr>
                <w:sz w:val="20"/>
                <w:szCs w:val="20"/>
                <w:color w:val="auto"/>
              </w:rPr>
            </w:pPr>
            <w:r>
              <w:rPr>
                <w:rFonts w:ascii="Arial" w:cs="Arial" w:eastAsia="Arial" w:hAnsi="Arial"/>
                <w:sz w:val="18"/>
                <w:szCs w:val="18"/>
                <w:color w:val="auto"/>
                <w:w w:val="93"/>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4740" w:type="dxa"/>
            <w:vAlign w:val="bottom"/>
            <w:tcBorders>
              <w:bottom w:val="single" w:sz="8" w:color="CCEEFF"/>
            </w:tcBorders>
            <w:shd w:val="clear" w:color="auto" w:fill="CCEEFF"/>
          </w:tcPr>
          <w:p>
            <w:pPr>
              <w:jc w:val="center"/>
              <w:ind w:left="3334"/>
              <w:spacing w:after="0"/>
              <w:rPr>
                <w:sz w:val="20"/>
                <w:szCs w:val="20"/>
                <w:color w:val="auto"/>
              </w:rPr>
            </w:pPr>
            <w:r>
              <w:rPr>
                <w:rFonts w:ascii="Arial" w:cs="Arial" w:eastAsia="Arial" w:hAnsi="Arial"/>
                <w:sz w:val="18"/>
                <w:szCs w:val="18"/>
                <w:color w:val="auto"/>
                <w:w w:val="86"/>
              </w:rPr>
              <w:t>150%</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81,374</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4740" w:type="dxa"/>
            <w:vAlign w:val="bottom"/>
          </w:tcPr>
          <w:p>
            <w:pPr>
              <w:jc w:val="center"/>
              <w:ind w:left="3334"/>
              <w:spacing w:after="0"/>
              <w:rPr>
                <w:sz w:val="20"/>
                <w:szCs w:val="20"/>
                <w:color w:val="auto"/>
              </w:rPr>
            </w:pPr>
            <w:r>
              <w:rPr>
                <w:rFonts w:ascii="Arial" w:cs="Arial" w:eastAsia="Arial" w:hAnsi="Arial"/>
                <w:sz w:val="18"/>
                <w:szCs w:val="18"/>
                <w:color w:val="auto"/>
                <w:w w:val="86"/>
              </w:rPr>
              <w:t>100%</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61,031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4740" w:type="dxa"/>
            <w:vAlign w:val="bottom"/>
            <w:tcBorders>
              <w:bottom w:val="single" w:sz="8" w:color="CCEEFF"/>
            </w:tcBorders>
            <w:shd w:val="clear" w:color="auto" w:fill="CCEEFF"/>
          </w:tcPr>
          <w:p>
            <w:pPr>
              <w:jc w:val="center"/>
              <w:ind w:left="3334"/>
              <w:spacing w:after="0"/>
              <w:rPr>
                <w:sz w:val="20"/>
                <w:szCs w:val="20"/>
                <w:color w:val="auto"/>
              </w:rPr>
            </w:pPr>
            <w:r>
              <w:rPr>
                <w:rFonts w:ascii="Arial" w:cs="Arial" w:eastAsia="Arial" w:hAnsi="Arial"/>
                <w:sz w:val="18"/>
                <w:szCs w:val="18"/>
                <w:color w:val="auto"/>
                <w:w w:val="86"/>
              </w:rPr>
              <w:t>100%</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37,071</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Mr. Ashby (b)</w:t>
            </w:r>
          </w:p>
        </w:tc>
        <w:tc>
          <w:tcPr>
            <w:tcW w:w="4740" w:type="dxa"/>
            <w:vAlign w:val="bottom"/>
          </w:tcPr>
          <w:p>
            <w:pPr>
              <w:jc w:val="center"/>
              <w:ind w:left="3334"/>
              <w:spacing w:after="0"/>
              <w:rPr>
                <w:sz w:val="20"/>
                <w:szCs w:val="20"/>
                <w:color w:val="auto"/>
              </w:rPr>
            </w:pPr>
            <w:r>
              <w:rPr>
                <w:rFonts w:ascii="Arial" w:cs="Arial" w:eastAsia="Arial" w:hAnsi="Arial"/>
                <w:sz w:val="18"/>
                <w:szCs w:val="18"/>
                <w:color w:val="auto"/>
                <w:w w:val="86"/>
              </w:rPr>
              <w:t>100%</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63,291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Chism joined the Company in May 2017 and received no LTIP award for fiscal 2017.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Ashby left the Company in May 2017, and as a result, these units were forfeited.</w:t>
      </w:r>
    </w:p>
    <w:p>
      <w:pPr>
        <w:spacing w:after="0" w:line="168"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Fiscal 2018 LTIP awards </w:t>
      </w:r>
      <w:r>
        <w:rPr>
          <w:rFonts w:ascii="Arial" w:cs="Arial" w:eastAsia="Arial" w:hAnsi="Arial"/>
          <w:sz w:val="17"/>
          <w:szCs w:val="17"/>
          <w:color w:val="auto"/>
        </w:rPr>
        <w:t>— In November 2017, the Committee approved the fiscal 2018 LTIP awards, the structure of which will be substantially identical to</w:t>
      </w:r>
      <w:r>
        <w:rPr>
          <w:rFonts w:ascii="Arial" w:cs="Arial" w:eastAsia="Arial" w:hAnsi="Arial"/>
          <w:sz w:val="17"/>
          <w:szCs w:val="17"/>
          <w:i w:val="1"/>
          <w:iCs w:val="1"/>
          <w:color w:val="auto"/>
        </w:rPr>
        <w:t xml:space="preserve"> </w:t>
      </w:r>
      <w:r>
        <w:rPr>
          <w:rFonts w:ascii="Arial" w:cs="Arial" w:eastAsia="Arial" w:hAnsi="Arial"/>
          <w:sz w:val="17"/>
          <w:szCs w:val="17"/>
          <w:color w:val="auto"/>
        </w:rPr>
        <w:t>that of the fiscal 2017 awards, except that the vesting of 100% of the units will be subject to achieving specified EBITDA growth targets over the three-year performance period. Consistent with the Committee’s philosophy described above, the stock price used to determine the number of units awarded was $9.50 (the closing trading price of the Class A Common Stock on September 29, 2017, the last trading day of the fiscal year).</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Committee approved certain special performance-based LTIP awards for certain executives and key employees. These awards are scheduled to vest on September 30, 2018, subject to the achievement of specified levels of consolidated EBITDA during fiscal 2018. The following Named Executive Officers received the number of units indicated: Mr. Grimshaw, 64,000; Mr. Given, 19,000; Mr. Rotunda, 17,000; and Mr. Welch, 13,000. Mr. Chism was not eligible for one of these special awards due to his recent hiring.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provide selected executives, including all of the Named Executive Officers, with a non-qualified Supplemental Executive Retirement Plan (“SERP”) in order to offset some of the negative impacts of the highly paid executive contribution limitations applicable to our 401(k) retirement savings plan. For fiscal 2017, the Committee approved contributions to the SERP for each of the executive officers equal to 10% of base salary. This resulted in the following contributions to the SERP for each of the Named Executive Officers: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6520" w:type="dxa"/>
            <w:vAlign w:val="bottom"/>
          </w:tcPr>
          <w:p>
            <w:pPr>
              <w:spacing w:after="0"/>
              <w:rPr>
                <w:sz w:val="14"/>
                <w:szCs w:val="14"/>
                <w:color w:val="auto"/>
              </w:rPr>
            </w:pPr>
          </w:p>
        </w:tc>
        <w:tc>
          <w:tcPr>
            <w:tcW w:w="132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Fiscal 2017 SERP</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6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Contribution</w:t>
            </w: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6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Mr. Chism</w:t>
            </w:r>
          </w:p>
        </w:tc>
        <w:tc>
          <w:tcPr>
            <w:tcW w:w="65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6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65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6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Mr. Ashby</w:t>
            </w:r>
          </w:p>
        </w:tc>
        <w:tc>
          <w:tcPr>
            <w:tcW w:w="65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486"/>
        </w:trPr>
        <w:tc>
          <w:tcPr>
            <w:tcW w:w="3580" w:type="dxa"/>
            <w:vAlign w:val="bottom"/>
          </w:tcPr>
          <w:p>
            <w:pPr>
              <w:spacing w:after="0"/>
              <w:rPr>
                <w:sz w:val="24"/>
                <w:szCs w:val="24"/>
                <w:color w:val="auto"/>
              </w:rPr>
            </w:pPr>
          </w:p>
        </w:tc>
        <w:tc>
          <w:tcPr>
            <w:tcW w:w="6520" w:type="dxa"/>
            <w:vAlign w:val="bottom"/>
          </w:tcPr>
          <w:p>
            <w:pPr>
              <w:jc w:val="right"/>
              <w:ind w:right="4170"/>
              <w:spacing w:after="0"/>
              <w:rPr>
                <w:sz w:val="20"/>
                <w:szCs w:val="20"/>
                <w:color w:val="auto"/>
              </w:rPr>
            </w:pPr>
            <w:r>
              <w:rPr>
                <w:rFonts w:ascii="Arial" w:cs="Arial" w:eastAsia="Arial" w:hAnsi="Arial"/>
                <w:sz w:val="18"/>
                <w:szCs w:val="18"/>
                <w:color w:val="auto"/>
              </w:rPr>
              <w:t>113</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November 2017, the Committee approved fiscal 2018 contributions to the SERP equal to 10% of base salary for each of the executive officers, including the Named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 and Perquisites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executive officers participate in other benefit plans on the same terms as other employees. These plans include medical, dental and life insurance benefits, and our 401(k) retirement savings plan. In addition, we provide supplemental healthcare benefits to our executive officers. The amount of that benefit for the Named Executive Officers during fiscal 2017 is included in the “All Other Compensation” column of the Summary Compensation Table below.</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2014, we have hired several new executive officers who relocated to Austin, Texas from other countries. To assist these executives with securing suitable housing arrangements in Austin, the Committee has approved housing allowances to cover mortgage or rental payments actually made with respect to housing arrangements in the Austin, Texas area. During fiscal 2017, the Committee agreed to extend each of the previously approved allowances to a total of three years from its inception date. The following table shows for each of Mr. Grimshaw and Mr. Given (the only two Named Executive Officers who are receiving housing allowances) the amount of the allowance approved by the Committee, the scheduled expiration date and the amount actually utilized by the executive during fiscal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80" w:type="dxa"/>
            <w:vAlign w:val="bottom"/>
            <w:gridSpan w:val="2"/>
          </w:tcPr>
          <w:p>
            <w:pPr>
              <w:ind w:left="820"/>
              <w:spacing w:after="0"/>
              <w:rPr>
                <w:sz w:val="20"/>
                <w:szCs w:val="20"/>
                <w:color w:val="auto"/>
              </w:rPr>
            </w:pPr>
            <w:r>
              <w:rPr>
                <w:rFonts w:ascii="Arial" w:cs="Arial" w:eastAsia="Arial" w:hAnsi="Arial"/>
                <w:sz w:val="14"/>
                <w:szCs w:val="14"/>
                <w:b w:val="1"/>
                <w:bCs w:val="1"/>
                <w:color w:val="auto"/>
              </w:rPr>
              <w:t>Approved Temporary Housing Allowance</w:t>
            </w:r>
          </w:p>
        </w:tc>
        <w:tc>
          <w:tcPr>
            <w:tcW w:w="120" w:type="dxa"/>
            <w:vAlign w:val="bottom"/>
          </w:tcPr>
          <w:p>
            <w:pPr>
              <w:spacing w:after="0"/>
              <w:rPr>
                <w:sz w:val="16"/>
                <w:szCs w:val="16"/>
                <w:color w:val="auto"/>
              </w:rPr>
            </w:pPr>
          </w:p>
        </w:tc>
        <w:tc>
          <w:tcPr>
            <w:tcW w:w="17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Amount of Allowance</w:t>
            </w:r>
          </w:p>
        </w:tc>
        <w:tc>
          <w:tcPr>
            <w:tcW w:w="0" w:type="dxa"/>
            <w:vAlign w:val="bottom"/>
          </w:tcPr>
          <w:p>
            <w:pPr>
              <w:spacing w:after="0"/>
              <w:rPr>
                <w:sz w:val="1"/>
                <w:szCs w:val="1"/>
                <w:color w:val="auto"/>
              </w:rPr>
            </w:pPr>
          </w:p>
        </w:tc>
      </w:tr>
      <w:tr>
        <w:trPr>
          <w:trHeight w:val="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 (a)</w:t>
            </w:r>
          </w:p>
        </w:tc>
        <w:tc>
          <w:tcPr>
            <w:tcW w:w="1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Amount (per month)</w:t>
            </w:r>
          </w:p>
        </w:tc>
        <w:tc>
          <w:tcPr>
            <w:tcW w:w="24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Scheduled Expiration</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3"/>
              </w:rPr>
              <w:t>Utilized in Fiscal 2017 (b)</w:t>
            </w:r>
          </w:p>
        </w:tc>
        <w:tc>
          <w:tcPr>
            <w:tcW w:w="0" w:type="dxa"/>
            <w:vAlign w:val="bottom"/>
          </w:tcPr>
          <w:p>
            <w:pPr>
              <w:spacing w:after="0"/>
              <w:rPr>
                <w:sz w:val="1"/>
                <w:szCs w:val="1"/>
                <w:color w:val="auto"/>
              </w:rPr>
            </w:pPr>
          </w:p>
        </w:tc>
      </w:tr>
      <w:tr>
        <w:trPr>
          <w:trHeight w:val="121"/>
        </w:trPr>
        <w:tc>
          <w:tcPr>
            <w:tcW w:w="5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25,000</w:t>
            </w:r>
          </w:p>
        </w:tc>
        <w:tc>
          <w:tcPr>
            <w:tcW w:w="2460" w:type="dxa"/>
            <w:vAlign w:val="bottom"/>
            <w:tcBorders>
              <w:bottom w:val="single" w:sz="8" w:color="CCEEFF"/>
            </w:tcBorders>
            <w:shd w:val="clear" w:color="auto" w:fill="CCEEFF"/>
          </w:tcPr>
          <w:p>
            <w:pPr>
              <w:jc w:val="center"/>
              <w:ind w:right="176"/>
              <w:spacing w:after="0"/>
              <w:rPr>
                <w:sz w:val="20"/>
                <w:szCs w:val="20"/>
                <w:color w:val="auto"/>
              </w:rPr>
            </w:pPr>
            <w:r>
              <w:rPr>
                <w:rFonts w:ascii="Arial" w:cs="Arial" w:eastAsia="Arial" w:hAnsi="Arial"/>
                <w:sz w:val="18"/>
                <w:szCs w:val="18"/>
                <w:color w:val="auto"/>
                <w:w w:val="91"/>
              </w:rPr>
              <w:t>November 30,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194,665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Mr. Given</w:t>
            </w:r>
          </w:p>
        </w:tc>
        <w:tc>
          <w:tcPr>
            <w:tcW w:w="180" w:type="dxa"/>
            <w:vAlign w:val="bottom"/>
          </w:tcPr>
          <w:p>
            <w:pPr>
              <w:spacing w:after="0"/>
              <w:rPr>
                <w:sz w:val="21"/>
                <w:szCs w:val="21"/>
                <w:color w:val="auto"/>
              </w:rPr>
            </w:pPr>
          </w:p>
        </w:tc>
        <w:tc>
          <w:tcPr>
            <w:tcW w:w="1920" w:type="dxa"/>
            <w:vAlign w:val="bottom"/>
          </w:tcPr>
          <w:p>
            <w:pPr>
              <w:jc w:val="right"/>
              <w:ind w:right="299"/>
              <w:spacing w:after="0"/>
              <w:rPr>
                <w:sz w:val="20"/>
                <w:szCs w:val="20"/>
                <w:color w:val="auto"/>
              </w:rPr>
            </w:pPr>
            <w:r>
              <w:rPr>
                <w:rFonts w:ascii="Arial" w:cs="Arial" w:eastAsia="Arial" w:hAnsi="Arial"/>
                <w:sz w:val="18"/>
                <w:szCs w:val="18"/>
                <w:color w:val="auto"/>
              </w:rPr>
              <w:t>10,000</w:t>
            </w:r>
          </w:p>
        </w:tc>
        <w:tc>
          <w:tcPr>
            <w:tcW w:w="2460" w:type="dxa"/>
            <w:vAlign w:val="bottom"/>
          </w:tcPr>
          <w:p>
            <w:pPr>
              <w:jc w:val="center"/>
              <w:ind w:right="196"/>
              <w:spacing w:after="0"/>
              <w:rPr>
                <w:sz w:val="20"/>
                <w:szCs w:val="20"/>
                <w:color w:val="auto"/>
              </w:rPr>
            </w:pPr>
            <w:r>
              <w:rPr>
                <w:rFonts w:ascii="Arial" w:cs="Arial" w:eastAsia="Arial" w:hAnsi="Arial"/>
                <w:sz w:val="18"/>
                <w:szCs w:val="18"/>
                <w:color w:val="auto"/>
                <w:w w:val="91"/>
              </w:rPr>
              <w:t>March 31, 2018</w:t>
            </w:r>
          </w:p>
        </w:tc>
        <w:tc>
          <w:tcPr>
            <w:tcW w:w="12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106,473</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Ashby also received a housing allowance, but that allowance terminated upon his departure from the Company in May 2017.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These amounts are included in the “All Other Compensation” column of the Summary Compensation table below.</w:t>
      </w:r>
    </w:p>
    <w:p>
      <w:pPr>
        <w:spacing w:after="0" w:line="3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executives who come to the U.S. from other countries find it difficult to secure automobile leases because of their visa status. To assist with this difficulty, the Company has either purchased or leased automobiles on behalf of certain of our expatriate executive officers and then leased or released the automobiles to the executives. We do not consider these arrangements to be compensatory, as the executives are reimbursing the Company the full costs associated with these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Committee continually monitors the Company's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our compensation plans and policies do not encourage excessive risk-taking.</w:t>
      </w:r>
    </w:p>
    <w:p>
      <w:pPr>
        <w:spacing w:after="0" w:line="1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executive compensation program provides a balance of short-term and long-term incentives that reward achievement of profitable, consistent and sustainable results.</w:t>
      </w:r>
    </w:p>
    <w:p>
      <w:pPr>
        <w:spacing w:after="0" w:line="116" w:lineRule="exact"/>
        <w:rPr>
          <w:sz w:val="20"/>
          <w:szCs w:val="20"/>
          <w:color w:val="auto"/>
        </w:rPr>
      </w:pPr>
    </w:p>
    <w:p>
      <w:pPr>
        <w:ind w:left="660" w:right="54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Annual incentive compensation tied to achievement of profitable Company or business unit performance (as measured by consolidated and/or business unit EBITDA); and</w:t>
      </w:r>
    </w:p>
    <w:p>
      <w:pPr>
        <w:spacing w:after="0" w:line="116" w:lineRule="exact"/>
        <w:rPr>
          <w:rFonts w:ascii="Arial" w:cs="Arial" w:eastAsia="Arial" w:hAnsi="Arial"/>
          <w:sz w:val="18"/>
          <w:szCs w:val="18"/>
          <w:color w:val="auto"/>
        </w:rPr>
      </w:pPr>
    </w:p>
    <w:p>
      <w:pPr>
        <w:ind w:left="660" w:right="460" w:hanging="328"/>
        <w:spacing w:after="0" w:line="308"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Meaningful long-term equity incentive opportunities that are 100% performance-based and provide an incentive to deliver long-term growth in stockholder value as a result of sustained earnings growth, prudent balance sheet management or other measures.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Matters</w:t>
      </w:r>
    </w:p>
    <w:p>
      <w:pPr>
        <w:spacing w:after="0" w:line="17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Mr. Ashby, who had been serving as Chief Financial Officer, left the Company effective May 8, 2017 as part of our continuing efforts to align</w:t>
      </w:r>
      <w:r>
        <w:rPr>
          <w:rFonts w:ascii="Arial" w:cs="Arial" w:eastAsia="Arial" w:hAnsi="Arial"/>
          <w:sz w:val="18"/>
          <w:szCs w:val="18"/>
          <w:i w:val="1"/>
          <w:iCs w:val="1"/>
          <w:color w:val="auto"/>
        </w:rPr>
        <w:t xml:space="preserve"> </w:t>
      </w:r>
      <w:r>
        <w:rPr>
          <w:rFonts w:ascii="Arial" w:cs="Arial" w:eastAsia="Arial" w:hAnsi="Arial"/>
          <w:sz w:val="18"/>
          <w:szCs w:val="18"/>
          <w:color w:val="auto"/>
        </w:rPr>
        <w:t>our corporate organizational and expense structure with a more simplified business model. Mr. Ashby’s departure was not the result of any issue or concern with our accounting, financial reporting or internal control over financial reporting, nor the result of Mr. Ashby’s contributions or performance while at the Company.</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his departure, we entered into a separation agreement that provided Mr. Ashby with the following severance benefits (all of which were approved by the Committee):</w:t>
      </w:r>
    </w:p>
    <w:p>
      <w:pPr>
        <w:spacing w:after="0" w:line="116" w:lineRule="exact"/>
        <w:rPr>
          <w:sz w:val="20"/>
          <w:szCs w:val="20"/>
          <w:color w:val="auto"/>
        </w:rPr>
      </w:pPr>
    </w:p>
    <w:p>
      <w:pPr>
        <w:ind w:left="5580" w:right="3360" w:hanging="5248"/>
        <w:spacing w:after="0" w:line="559" w:lineRule="auto"/>
        <w:tabs>
          <w:tab w:leader="none" w:pos="6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severance payment equal to one year’s salary ($700,000), consistent with Mr. Ashby’s terms of hire; 114</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Accelerated vesting of 4,667 shares of restricted stock that were otherwise scheduled to vest on September 30, 2017;</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Retention of 63,029 (out of 113,452) restricted stock units that are scheduled to vest on September 30, 2018, with the vesting of the retained units remaining subject to the attainment of the applicable performance goals at the vesting date;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Accelerated vesting of his SERP account;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 or reimbursement of the costs of moving Mr. Ashby and his family back to Australia.</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separation agreement, Mr. Ashby provided a general release of claims against the Company and affirmed certain non-competition and non-solicitation obligations to which he is subject for a period of one year following his termination of employment.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severance benefits to our executive officers:</w:t>
      </w:r>
    </w:p>
    <w:p>
      <w:pPr>
        <w:spacing w:after="0" w:line="171"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of our executive officers will receive salary continuation for one year if his or her employment is terminated by the Company without cause.</w:t>
      </w:r>
    </w:p>
    <w:p>
      <w:pPr>
        <w:spacing w:after="0" w:line="194"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or units in the event of the holder's death or disability.</w:t>
      </w:r>
    </w:p>
    <w:p>
      <w:pPr>
        <w:spacing w:after="0" w:line="11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 xml:space="preserve">More information on severance arrangements can be found under “Other Benefit Plans </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Termination Benefits” below. The Committee believes that these benefits provide important protection to the executive officers, are consistent with practice of the peer companies and are appropriate for attraction and retention of executive talent.</w:t>
      </w:r>
    </w:p>
    <w:p>
      <w:pPr>
        <w:spacing w:after="0" w:line="12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executive officers, along with other key employees, has entered into a Protection of Sensitive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and Non-solicitation Agreement, under which the executive is subject to confidentiality and non-disclosure obligations with respect to various categories of proprietary, competitively sensitive and confidential information. In addition, the executive has agreed that, for a period of one year (six months, in the case of Mr. Grimshaw) following the termination of employment with the Company, he or she will not compete with the Company (within a defined area) and will not solicit the Company's employees or suppliers.</w:t>
      </w:r>
    </w:p>
    <w:p>
      <w:pPr>
        <w:spacing w:after="0" w:line="130"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i w:val="1"/>
          <w:iCs w:val="1"/>
          <w:color w:val="auto"/>
        </w:rPr>
        <w:t xml:space="preserve">Other Factors Affecting Compensation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establishing total compensation for the executive officers, the Committee considers the effect of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Internal Revenue Code, which limits the deductibility of compensation paid to each covered employee. Generally, Section 162(m) prevents a company from receiving a federal income tax deduction for compensation paid to a covered employee in excess of $1 million for any year, unless that compensation is performance-based. To the extent practical, the Committee intends to preserve deductibility, but may choose to provide compensation that is not deductible if necessary to attract, retain and reward high-performing executives or if otherwise appropriate under the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2017.</w:t>
      </w:r>
    </w:p>
    <w:p>
      <w:pPr>
        <w:spacing w:after="0" w:line="18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Santiago Creel Miranda</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Lachlan P. Given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Pablo Lagos Espinosa (Chair)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Thomas C. Roberts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Given (a member of the Compensation Committee) is also an executive officer of the Company. The other members of the Compensation Committee (Mr. Creel, Mr. Lagos and Mr. Roberts) are not and have never been an officer of or employed by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Company and do not have any relationship that requires disclosure under Item 404 of Regulation S-K, the SEC’s rules requiring disclosure of certain relationships and related party transactions.</w:t>
      </w:r>
    </w:p>
    <w:p>
      <w:pPr>
        <w:spacing w:after="0" w:line="11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Mr. Grimshaw and Mr. Given (both executive officers of the Company) serve as directors of Cash Converters International Limited, and Mr. Cumins (a director) is the Executive Deputy Chairman and a member of the board of directors of Cash Converters International Limited. However, no compensation committee interlocks exist between the two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table below summarizes the total compensation for fiscal 2017, 2016 and 2015 for the Named Executive Officers. See “Part III, Item 11 — Executive Compensation — Compensation Discussion and Analysis” for a description of how we determined the Named Executive Officers.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52"/>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Compensation (4)</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Compensation (5)</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6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Stuart I. Grimshaw </w:t>
            </w:r>
            <w:r>
              <w:rPr>
                <w:rFonts w:ascii="Arial" w:cs="Arial" w:eastAsia="Arial" w:hAnsi="Arial"/>
                <w:sz w:val="18"/>
                <w:szCs w:val="18"/>
                <w:color w:val="auto"/>
              </w:rPr>
              <w:t>(6)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2,603,981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315,929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5,844,910</w:t>
            </w:r>
          </w:p>
        </w:tc>
        <w:tc>
          <w:tcPr>
            <w:tcW w:w="0" w:type="dxa"/>
            <w:vAlign w:val="bottom"/>
          </w:tcPr>
          <w:p>
            <w:pPr>
              <w:spacing w:after="0"/>
              <w:rPr>
                <w:sz w:val="1"/>
                <w:szCs w:val="1"/>
                <w:color w:val="auto"/>
              </w:rPr>
            </w:pPr>
          </w:p>
        </w:tc>
      </w:tr>
      <w:tr>
        <w:trPr>
          <w:trHeight w:val="284"/>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1,804,343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4,210,000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504,471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7,518,814</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865,385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5,314,000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1,060,000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278,817</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8,768,202</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Daniel M. Chism</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159,231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85,447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8,574</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253,252</w:t>
            </w:r>
          </w:p>
        </w:tc>
        <w:tc>
          <w:tcPr>
            <w:tcW w:w="0" w:type="dxa"/>
            <w:vAlign w:val="bottom"/>
          </w:tcPr>
          <w:p>
            <w:pPr>
              <w:spacing w:after="0"/>
              <w:rPr>
                <w:sz w:val="1"/>
                <w:szCs w:val="1"/>
                <w:color w:val="auto"/>
              </w:rPr>
            </w:pPr>
          </w:p>
        </w:tc>
      </w:tr>
      <w:tr>
        <w:trPr>
          <w:trHeight w:val="284"/>
        </w:trPr>
        <w:tc>
          <w:tcPr>
            <w:tcW w:w="264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Lachlan P. Given </w:t>
            </w:r>
            <w:r>
              <w:rPr>
                <w:rFonts w:ascii="Arial" w:cs="Arial" w:eastAsia="Arial" w:hAnsi="Arial"/>
                <w:sz w:val="18"/>
                <w:szCs w:val="18"/>
                <w:color w:val="auto"/>
              </w:rPr>
              <w:t>(6)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781,190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198,213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2,156,903</w:t>
            </w:r>
          </w:p>
        </w:tc>
        <w:tc>
          <w:tcPr>
            <w:tcW w:w="0" w:type="dxa"/>
            <w:vAlign w:val="bottom"/>
          </w:tcPr>
          <w:p>
            <w:pPr>
              <w:spacing w:after="0"/>
              <w:rPr>
                <w:sz w:val="1"/>
                <w:szCs w:val="1"/>
                <w:color w:val="auto"/>
              </w:rPr>
            </w:pPr>
          </w:p>
        </w:tc>
      </w:tr>
      <w:tr>
        <w:trPr>
          <w:trHeight w:val="284"/>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Chairman</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541,305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1,125,000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190,126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2,456,431</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604,038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2,420,200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154,505</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3,628,743</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 xml:space="preserve">Joseph L. Rotunda </w:t>
            </w:r>
            <w:r>
              <w:rPr>
                <w:rFonts w:ascii="Arial" w:cs="Arial" w:eastAsia="Arial" w:hAnsi="Arial"/>
                <w:sz w:val="18"/>
                <w:szCs w:val="18"/>
                <w:color w:val="auto"/>
              </w:rPr>
              <w:t>(7)</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668,750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585,898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779,625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81,924</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2,116,197</w:t>
            </w:r>
          </w:p>
        </w:tc>
        <w:tc>
          <w:tcPr>
            <w:tcW w:w="0" w:type="dxa"/>
            <w:vAlign w:val="bottom"/>
          </w:tcPr>
          <w:p>
            <w:pPr>
              <w:spacing w:after="0"/>
              <w:rPr>
                <w:sz w:val="1"/>
                <w:szCs w:val="1"/>
                <w:color w:val="auto"/>
              </w:rPr>
            </w:pPr>
          </w:p>
        </w:tc>
      </w:tr>
      <w:tr>
        <w:trPr>
          <w:trHeight w:val="284"/>
        </w:trPr>
        <w:tc>
          <w:tcPr>
            <w:tcW w:w="2640" w:type="dxa"/>
            <w:vAlign w:val="bottom"/>
          </w:tcPr>
          <w:p>
            <w:pPr>
              <w:ind w:left="40"/>
              <w:spacing w:after="0"/>
              <w:rPr>
                <w:sz w:val="20"/>
                <w:szCs w:val="20"/>
                <w:color w:val="auto"/>
              </w:rPr>
            </w:pPr>
            <w:r>
              <w:rPr>
                <w:rFonts w:ascii="Arial" w:cs="Arial" w:eastAsia="Arial" w:hAnsi="Arial"/>
                <w:sz w:val="18"/>
                <w:szCs w:val="18"/>
                <w:color w:val="auto"/>
              </w:rPr>
              <w:t>Chief Operating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668,750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263,857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1,518,750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80,726</w:t>
            </w:r>
          </w:p>
        </w:tc>
        <w:tc>
          <w:tcPr>
            <w:tcW w:w="1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2,532,083</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169,231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97,200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110,387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262,030</w:t>
            </w:r>
          </w:p>
        </w:tc>
        <w:tc>
          <w:tcPr>
            <w:tcW w:w="10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638,848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Thomas H. Welch, Jr.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355,882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67,725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1,046,705</w:t>
            </w:r>
          </w:p>
        </w:tc>
        <w:tc>
          <w:tcPr>
            <w:tcW w:w="0" w:type="dxa"/>
            <w:vAlign w:val="bottom"/>
          </w:tcPr>
          <w:p>
            <w:pPr>
              <w:spacing w:after="0"/>
              <w:rPr>
                <w:sz w:val="1"/>
                <w:szCs w:val="1"/>
                <w:color w:val="auto"/>
              </w:rPr>
            </w:pPr>
          </w:p>
        </w:tc>
      </w:tr>
      <w:tr>
        <w:trPr>
          <w:trHeight w:val="284"/>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Chief Legal Officer and Secretary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196,695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403,594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63,146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1,073,435</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408,385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153,750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223,963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56,487</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842,585</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Mark Ashby (8)</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460,385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607,594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890,128</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1,958,107</w:t>
            </w:r>
          </w:p>
        </w:tc>
        <w:tc>
          <w:tcPr>
            <w:tcW w:w="0" w:type="dxa"/>
            <w:vAlign w:val="bottom"/>
          </w:tcPr>
          <w:p>
            <w:pPr>
              <w:spacing w:after="0"/>
              <w:rPr>
                <w:sz w:val="1"/>
                <w:szCs w:val="1"/>
                <w:color w:val="auto"/>
              </w:rPr>
            </w:pPr>
          </w:p>
        </w:tc>
      </w:tr>
      <w:tr>
        <w:trPr>
          <w:trHeight w:val="284"/>
        </w:trPr>
        <w:tc>
          <w:tcPr>
            <w:tcW w:w="264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335,818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945,000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201,324</w:t>
            </w:r>
          </w:p>
        </w:tc>
        <w:tc>
          <w:tcPr>
            <w:tcW w:w="1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2,182,142</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212,692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787,750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169,179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59,695</w:t>
            </w:r>
          </w:p>
        </w:tc>
        <w:tc>
          <w:tcPr>
            <w:tcW w:w="10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1,229,316</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right="180" w:hanging="332"/>
        <w:spacing w:after="0" w:line="312" w:lineRule="auto"/>
        <w:tabs>
          <w:tab w:leader="none" w:pos="3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amounts shown under “Salary” reflect the gross amounts of base salary paid to each of the Named Executive Officers during the fiscal years so noted. The fiscal 2017 amounts for Mr. Chism and Mr. Ashby and the fiscal 2015 amounts for Mr. Grimshaw, Mr. Ashby and Mr. Rotunda reflect the number of days during the fiscal year that each was employed by the Company.</w:t>
      </w:r>
    </w:p>
    <w:p>
      <w:pPr>
        <w:spacing w:after="0" w:line="43" w:lineRule="exact"/>
        <w:rPr>
          <w:rFonts w:ascii="Arial" w:cs="Arial" w:eastAsia="Arial" w:hAnsi="Arial"/>
          <w:sz w:val="13"/>
          <w:szCs w:val="13"/>
          <w:color w:val="auto"/>
        </w:rPr>
      </w:pPr>
    </w:p>
    <w:p>
      <w:pPr>
        <w:ind w:left="340" w:right="40" w:hanging="332"/>
        <w:spacing w:after="0" w:line="257"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Of fiscal 2015 amount shown for Mr. Ashby, $665,000 represents a sign-on bonus paid pursuant to his terms of hire. The remaining fiscal 2015 amount for Mr. Ashby ($122,750) and the fiscal 2015 amounts for the other Named Executive Officers reflect discretionary retention bonuses that were approved and paid in November 2015, with Mr. Ashby’s and Mr. Rotunda’s bonuses being prorated to reflect the number of days each was employed by the Company during fiscal 2015.</w:t>
      </w:r>
    </w:p>
    <w:p>
      <w:pPr>
        <w:spacing w:after="0" w:line="77" w:lineRule="exact"/>
        <w:rPr>
          <w:rFonts w:ascii="Arial" w:cs="Arial" w:eastAsia="Arial" w:hAnsi="Arial"/>
          <w:sz w:val="14"/>
          <w:szCs w:val="14"/>
          <w:color w:val="auto"/>
        </w:rPr>
      </w:pPr>
    </w:p>
    <w:p>
      <w:pPr>
        <w:ind w:left="340" w:right="260" w:hanging="332"/>
        <w:spacing w:after="0" w:line="257"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or restricted stock unit awards, computed in accordance with FASB ASC 718-10-25. See Note 9 of Notes to Consolidated Financial Statements included in “Part II, Item 8 — Financial Statements and Supplementary Data.” The actual value realized by the Named Executive Officer with respect to stock awards will depend on whether the award vests and, if it vests, the market value of our stock on the date the stock is sold.</w:t>
      </w:r>
    </w:p>
    <w:p>
      <w:pPr>
        <w:spacing w:after="0" w:line="77" w:lineRule="exact"/>
        <w:rPr>
          <w:rFonts w:ascii="Arial" w:cs="Arial" w:eastAsia="Arial" w:hAnsi="Arial"/>
          <w:sz w:val="14"/>
          <w:szCs w:val="14"/>
          <w:color w:val="auto"/>
        </w:rPr>
      </w:pPr>
    </w:p>
    <w:p>
      <w:pPr>
        <w:ind w:left="340" w:right="120"/>
        <w:spacing w:after="0" w:line="273" w:lineRule="auto"/>
        <w:rPr>
          <w:rFonts w:ascii="Arial" w:cs="Arial" w:eastAsia="Arial" w:hAnsi="Arial"/>
          <w:sz w:val="14"/>
          <w:szCs w:val="14"/>
          <w:color w:val="auto"/>
        </w:rPr>
      </w:pPr>
      <w:r>
        <w:rPr>
          <w:rFonts w:ascii="Arial" w:cs="Arial" w:eastAsia="Arial" w:hAnsi="Arial"/>
          <w:sz w:val="14"/>
          <w:szCs w:val="14"/>
          <w:color w:val="auto"/>
        </w:rPr>
        <w:t>For a description of these awards, see the “Grant of Plan-Based Awards” table under “Incentive Plan Based Awards” below. See also “Compensation Discussion and Analysis — Components of Compensation — Long-Term Incentives” above.</w:t>
      </w:r>
    </w:p>
    <w:p>
      <w:pPr>
        <w:spacing w:after="0" w:line="65" w:lineRule="exact"/>
        <w:rPr>
          <w:rFonts w:ascii="Arial" w:cs="Arial" w:eastAsia="Arial" w:hAnsi="Arial"/>
          <w:sz w:val="14"/>
          <w:szCs w:val="14"/>
          <w:color w:val="auto"/>
        </w:rPr>
      </w:pPr>
    </w:p>
    <w:p>
      <w:pPr>
        <w:ind w:left="340" w:right="40" w:hanging="332"/>
        <w:spacing w:after="0" w:line="266" w:lineRule="auto"/>
        <w:tabs>
          <w:tab w:leader="none" w:pos="3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fiscal 2017 and 2016 amounts represent the amount of bonuses paid pursuant to the fiscal 2017 and 2016 Short-Term Incentive Compensation Plan. See “Compensation Discussion and Analysis — Components of Compensation — Annual Incentive Bonuses” above. The fiscal 2016 amount for Mr. Grimshaw also includes $460,000 representing the final special short-term bonus paid to Mr. Grimshaw pursuant to his terms of hire. The Company did not pay STI bonuses for fiscal 2015, but did pay retention bonuses associated with fiscal 2015 as described in note</w:t>
      </w:r>
    </w:p>
    <w:p>
      <w:pPr>
        <w:spacing w:after="0" w:line="1"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(2) above. The fiscal 2015 amount shown for Mr. Grimshaw represents the special short-term incentive bonuses paid to Mr. Grimshaw pursuant to his terms of hire.</w:t>
      </w:r>
    </w:p>
    <w:p>
      <w:pPr>
        <w:spacing w:after="0" w:line="97" w:lineRule="exact"/>
        <w:rPr>
          <w:rFonts w:ascii="Arial" w:cs="Arial" w:eastAsia="Arial" w:hAnsi="Arial"/>
          <w:sz w:val="13"/>
          <w:szCs w:val="13"/>
          <w:color w:val="auto"/>
        </w:rPr>
      </w:pPr>
    </w:p>
    <w:p>
      <w:pPr>
        <w:ind w:left="340" w:right="20" w:hanging="332"/>
        <w:spacing w:after="0" w:line="257"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include the cost of providing various perquisites and personal benefits (including housing allowances, where applicable), as well as the value of our contributions to the company-sponsored 401(k) plan and Supplemental Executive Retirement Plan. For detail of the amounts shown for each Named Executive Officer, see the table under “Other Benefits and Perquisites — All Other Compensation” below.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340" w:right="40" w:hanging="332"/>
        <w:spacing w:after="0" w:line="252"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Grimshaw and Mr. Given also serve on the board of directors of Cash Converters International Limited, with Mr. Grimshaw serving as non-executive chairman. The director fees paid to them by Cash Converters International Limited for fiscal 2017, fiscal 2016 and fiscal 2015 were as follows: Mr. Grimshaw, $129,538, $124,429 and $53,927, respectively; Mr. Given, $81,009, $71,987 and $78,953, respectively. These amounts are not included in the Summary Compensation Table, as they were paid by Cash Converters International Limited, which is not controlled by EZCORP.</w:t>
      </w:r>
    </w:p>
    <w:p>
      <w:pPr>
        <w:spacing w:after="0" w:line="80" w:lineRule="exact"/>
        <w:rPr>
          <w:rFonts w:ascii="Arial" w:cs="Arial" w:eastAsia="Arial" w:hAnsi="Arial"/>
          <w:sz w:val="14"/>
          <w:szCs w:val="14"/>
          <w:color w:val="auto"/>
        </w:rPr>
      </w:pPr>
    </w:p>
    <w:p>
      <w:pPr>
        <w:ind w:left="340" w:right="240" w:hanging="332"/>
        <w:spacing w:after="0" w:line="257"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amounts shown for Mr. Rotunda under All Other Compensation for fiscal 2015 include $220,640 in director fees paid and stock awards granted to Mr. Rotunda as compensation for serving on the Company’s Board of Directors prior to rejoining the Company as an executive in May 2015. See the table under “Other Benefits and Perquisites — All Other Compensation” below. Mr. Rotunda has not received any additional compensation for serving on the Board of Directors since May 2015.</w:t>
      </w:r>
    </w:p>
    <w:p>
      <w:pPr>
        <w:spacing w:after="0" w:line="77" w:lineRule="exact"/>
        <w:rPr>
          <w:rFonts w:ascii="Arial" w:cs="Arial" w:eastAsia="Arial" w:hAnsi="Arial"/>
          <w:sz w:val="14"/>
          <w:szCs w:val="14"/>
          <w:color w:val="auto"/>
        </w:rPr>
      </w:pPr>
    </w:p>
    <w:p>
      <w:pPr>
        <w:ind w:left="340" w:right="20" w:hanging="332"/>
        <w:spacing w:after="0" w:line="257"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amount shown for Mr. Ashby under All Other Compensation for fiscal 2017 includes severance benefits paid to him in connection with his separation from the Company effective May 8, 2017, as described in “Compensation Discussion and Analysis — Other Executive Compensation Matters — Severance” above. For detail of these amounts, see the table under “Other Benefits and Perquisites — All Other Compensation”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 Based Awards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following table sets forth certain information about plan-based awards that we made to the Named Executive Officers during fiscal 2017. For information about the plans under which these awards were granted, see “Compensation Discussion and Analysis — Components of Compensation — Annual Incentive Bonus” and “Compensation Discussion and Analysis — Components of Compensation — Long-Term Incentives” above.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Estimated Future Payouts Under</w:t>
            </w:r>
          </w:p>
        </w:tc>
        <w:tc>
          <w:tcPr>
            <w:tcW w:w="2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4"/>
              </w:rPr>
              <w:t>Non-Equity Incentive Plan Awards (1)</w:t>
            </w:r>
          </w:p>
        </w:tc>
        <w:tc>
          <w:tcPr>
            <w:tcW w:w="100" w:type="dxa"/>
            <w:vAlign w:val="bottom"/>
          </w:tcPr>
          <w:p>
            <w:pPr>
              <w:spacing w:after="0"/>
              <w:rPr>
                <w:sz w:val="16"/>
                <w:szCs w:val="16"/>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Equity Incentive Plan Awards (2)</w:t>
            </w:r>
          </w:p>
        </w:tc>
        <w:tc>
          <w:tcPr>
            <w:tcW w:w="10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7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6"/>
                <w:szCs w:val="6"/>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6"/>
                <w:szCs w:val="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Threshold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7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 (3)</w:t>
            </w:r>
          </w:p>
        </w:tc>
        <w:tc>
          <w:tcPr>
            <w:tcW w:w="0" w:type="dxa"/>
            <w:vAlign w:val="bottom"/>
          </w:tcPr>
          <w:p>
            <w:pPr>
              <w:spacing w:after="0"/>
              <w:rPr>
                <w:sz w:val="1"/>
                <w:szCs w:val="1"/>
                <w:color w:val="auto"/>
              </w:rPr>
            </w:pPr>
          </w:p>
        </w:tc>
      </w:tr>
      <w:tr>
        <w:trPr>
          <w:trHeight w:val="121"/>
        </w:trPr>
        <w:tc>
          <w:tcPr>
            <w:tcW w:w="27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Mr. Grimshaw</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2,500,000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7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11/8/2016</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135,624</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271,248</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271,248</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2,603,981</w:t>
            </w:r>
          </w:p>
        </w:tc>
        <w:tc>
          <w:tcPr>
            <w:tcW w:w="0" w:type="dxa"/>
            <w:vAlign w:val="bottom"/>
          </w:tcPr>
          <w:p>
            <w:pPr>
              <w:spacing w:after="0"/>
              <w:rPr>
                <w:sz w:val="1"/>
                <w:szCs w:val="1"/>
                <w:color w:val="auto"/>
              </w:rPr>
            </w:pPr>
          </w:p>
        </w:tc>
      </w:tr>
      <w:tr>
        <w:trPr>
          <w:trHeight w:val="218"/>
        </w:trPr>
        <w:tc>
          <w:tcPr>
            <w:tcW w:w="2740" w:type="dxa"/>
            <w:vAlign w:val="bottom"/>
          </w:tcPr>
          <w:p>
            <w:pPr>
              <w:ind w:left="40"/>
              <w:spacing w:after="0"/>
              <w:rPr>
                <w:sz w:val="20"/>
                <w:szCs w:val="20"/>
                <w:color w:val="auto"/>
              </w:rPr>
            </w:pPr>
            <w:r>
              <w:rPr>
                <w:rFonts w:ascii="Arial" w:cs="Arial" w:eastAsia="Arial" w:hAnsi="Arial"/>
                <w:sz w:val="14"/>
                <w:szCs w:val="14"/>
                <w:color w:val="auto"/>
              </w:rPr>
              <w:t>Mr. Chism</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10/1/2016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72,000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144,000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216,000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Mr. Given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7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11/8/2016</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40,687</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81,374</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81,374</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781,190</w:t>
            </w:r>
          </w:p>
        </w:tc>
        <w:tc>
          <w:tcPr>
            <w:tcW w:w="0" w:type="dxa"/>
            <w:vAlign w:val="bottom"/>
          </w:tcPr>
          <w:p>
            <w:pPr>
              <w:spacing w:after="0"/>
              <w:rPr>
                <w:sz w:val="1"/>
                <w:szCs w:val="1"/>
                <w:color w:val="auto"/>
              </w:rPr>
            </w:pPr>
          </w:p>
        </w:tc>
      </w:tr>
      <w:tr>
        <w:trPr>
          <w:trHeight w:val="218"/>
        </w:trPr>
        <w:tc>
          <w:tcPr>
            <w:tcW w:w="2740" w:type="dxa"/>
            <w:vAlign w:val="bottom"/>
          </w:tcPr>
          <w:p>
            <w:pPr>
              <w:ind w:left="40"/>
              <w:spacing w:after="0"/>
              <w:rPr>
                <w:sz w:val="20"/>
                <w:szCs w:val="20"/>
                <w:color w:val="auto"/>
              </w:rPr>
            </w:pPr>
            <w:r>
              <w:rPr>
                <w:rFonts w:ascii="Arial" w:cs="Arial" w:eastAsia="Arial" w:hAnsi="Arial"/>
                <w:sz w:val="14"/>
                <w:szCs w:val="14"/>
                <w:color w:val="auto"/>
              </w:rPr>
              <w:t>Mr. Rotunda</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10/1/2016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506,250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1,012,500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1,518,750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11/8/2016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30,516</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61,031</w:t>
            </w:r>
          </w:p>
        </w:tc>
        <w:tc>
          <w:tcPr>
            <w:tcW w:w="1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61,031</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585,898</w:t>
            </w:r>
          </w:p>
        </w:tc>
        <w:tc>
          <w:tcPr>
            <w:tcW w:w="0" w:type="dxa"/>
            <w:vAlign w:val="bottom"/>
          </w:tcPr>
          <w:p>
            <w:pPr>
              <w:spacing w:after="0"/>
              <w:rPr>
                <w:sz w:val="1"/>
                <w:szCs w:val="1"/>
                <w:color w:val="auto"/>
              </w:rPr>
            </w:pPr>
          </w:p>
        </w:tc>
      </w:tr>
      <w:tr>
        <w:trPr>
          <w:trHeight w:val="53"/>
        </w:trPr>
        <w:tc>
          <w:tcPr>
            <w:tcW w:w="2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Mr. Welch</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461,250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7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11/8/2016</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18,536</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37,071</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37,071</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355,882</w:t>
            </w:r>
          </w:p>
        </w:tc>
        <w:tc>
          <w:tcPr>
            <w:tcW w:w="0" w:type="dxa"/>
            <w:vAlign w:val="bottom"/>
          </w:tcPr>
          <w:p>
            <w:pPr>
              <w:spacing w:after="0"/>
              <w:rPr>
                <w:sz w:val="1"/>
                <w:szCs w:val="1"/>
                <w:color w:val="auto"/>
              </w:rPr>
            </w:pPr>
          </w:p>
        </w:tc>
      </w:tr>
      <w:tr>
        <w:trPr>
          <w:trHeight w:val="218"/>
        </w:trPr>
        <w:tc>
          <w:tcPr>
            <w:tcW w:w="2740" w:type="dxa"/>
            <w:vAlign w:val="bottom"/>
          </w:tcPr>
          <w:p>
            <w:pPr>
              <w:ind w:left="40"/>
              <w:spacing w:after="0"/>
              <w:rPr>
                <w:sz w:val="20"/>
                <w:szCs w:val="20"/>
                <w:color w:val="auto"/>
              </w:rPr>
            </w:pPr>
            <w:r>
              <w:rPr>
                <w:rFonts w:ascii="Arial" w:cs="Arial" w:eastAsia="Arial" w:hAnsi="Arial"/>
                <w:sz w:val="14"/>
                <w:szCs w:val="14"/>
                <w:color w:val="auto"/>
              </w:rPr>
              <w:t>Mr. Ashby</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10/1/2016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11/8/2016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31,646</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63,291</w:t>
            </w:r>
          </w:p>
        </w:tc>
        <w:tc>
          <w:tcPr>
            <w:tcW w:w="1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63,291</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607,594</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These amounts represent the potential payouts under the fiscal 2017 Short-Term Incentive Compensation Plan. See “Compensation Discussion and Analysis — Components of Compensation</w:t>
      </w:r>
    </w:p>
    <w:p>
      <w:pPr>
        <w:spacing w:after="0" w:line="24" w:lineRule="exact"/>
        <w:rPr>
          <w:rFonts w:ascii="Arial" w:cs="Arial" w:eastAsia="Arial" w:hAnsi="Arial"/>
          <w:sz w:val="13"/>
          <w:szCs w:val="13"/>
          <w:color w:val="auto"/>
        </w:rPr>
      </w:pPr>
    </w:p>
    <w:p>
      <w:pPr>
        <w:ind w:left="340" w:right="20"/>
        <w:spacing w:after="0" w:line="245" w:lineRule="auto"/>
        <w:rPr>
          <w:rFonts w:ascii="Arial" w:cs="Arial" w:eastAsia="Arial" w:hAnsi="Arial"/>
          <w:sz w:val="13"/>
          <w:szCs w:val="13"/>
          <w:color w:val="auto"/>
        </w:rPr>
      </w:pPr>
      <w:r>
        <w:rPr>
          <w:rFonts w:ascii="Arial" w:cs="Arial" w:eastAsia="Arial" w:hAnsi="Arial"/>
          <w:sz w:val="14"/>
          <w:szCs w:val="14"/>
          <w:color w:val="auto"/>
        </w:rPr>
        <w:t>— Annual Incentive Bonuses” above. The “Target” amount is the amount that will be paid if the specified performance goals are achieved at the target level (although the Compensation Committee may reduce any award if it chooses to do so). The “Threshold” amount reflects the amount that would be paid if the minimum performance goals are achieved, while the “Maximum” amount represents the maximum amount that will be paid if the maximum performance goals are achieved. The numbers shown for Mr. Chism reflect the proration of his potential payout based on his start date of May 8, 2017. See the “Non-Equity Incentive Plan Compensation” column in the Summary Compensation Table above for the amount of the actual payout for each of the Named Executive Officers.</w:t>
      </w:r>
    </w:p>
    <w:p>
      <w:pPr>
        <w:spacing w:after="0" w:line="84" w:lineRule="exact"/>
        <w:rPr>
          <w:rFonts w:ascii="Arial" w:cs="Arial" w:eastAsia="Arial" w:hAnsi="Arial"/>
          <w:sz w:val="13"/>
          <w:szCs w:val="13"/>
          <w:color w:val="auto"/>
        </w:rPr>
      </w:pPr>
    </w:p>
    <w:p>
      <w:pPr>
        <w:ind w:left="340" w:right="20" w:hanging="332"/>
        <w:spacing w:after="0" w:line="249"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These amounts represent the fiscal 2017 awards under the Long-Term Incentive Plan. See “Compensation Discussion and Analysis — Components of Compensation — Long-Term Incentives” above. The “Target” amount is the number of units that will vest if the specified performance goals are achieved at the target level. The “Threshold” amount reflects the number of units that will vest if the minimum performance goals are achieved for both the 80% portion of the award subject to EBITDA growth targets and the 20% portion of the award subject to net debt reduction targets. No more than 100% of the Target amount of units will vest; therefore, the “Maximum” amount is the same as the Target amount. Each unit represents the right to receive one share of Class A Common Stock upon vesting.</w:t>
      </w:r>
    </w:p>
    <w:p>
      <w:pPr>
        <w:spacing w:after="0" w:line="83" w:lineRule="exact"/>
        <w:rPr>
          <w:rFonts w:ascii="Arial" w:cs="Arial" w:eastAsia="Arial" w:hAnsi="Arial"/>
          <w:sz w:val="14"/>
          <w:szCs w:val="14"/>
          <w:color w:val="auto"/>
        </w:rPr>
      </w:pPr>
    </w:p>
    <w:p>
      <w:pPr>
        <w:jc w:val="both"/>
        <w:ind w:left="340" w:right="400" w:hanging="332"/>
        <w:spacing w:after="0" w:line="358" w:lineRule="auto"/>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Represents the estimated grant date fair value of fiscal 2017 equity awards, assuming payout at “Target” level. This is the estimated amount of aggregate compensation cost we expect to recognize over the performance period, determined as of the grant date. See “Compensation Discussion and Analysis — Components of Compensation — Long-Term Incentives” above.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certain information about outstanding stock awards held by the Named Executive Officers as of the end of fiscal 2017. None of the Named Executive Officers holds any stock options.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b w:val="1"/>
                <w:bCs w:val="1"/>
                <w:color w:val="auto"/>
              </w:rPr>
              <w:t>Stock Awards</w:t>
            </w:r>
          </w:p>
        </w:tc>
        <w:tc>
          <w:tcPr>
            <w:tcW w:w="2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Award Date</w:t>
            </w:r>
          </w:p>
        </w:tc>
        <w:tc>
          <w:tcPr>
            <w:tcW w:w="120" w:type="dxa"/>
            <w:vAlign w:val="bottom"/>
          </w:tcPr>
          <w:p>
            <w:pPr>
              <w:spacing w:after="0"/>
              <w:rPr>
                <w:sz w:val="13"/>
                <w:szCs w:val="13"/>
                <w:color w:val="auto"/>
              </w:rPr>
            </w:pPr>
          </w:p>
        </w:tc>
        <w:tc>
          <w:tcPr>
            <w:tcW w:w="2740" w:type="dxa"/>
            <w:vAlign w:val="bottom"/>
          </w:tcPr>
          <w:p>
            <w:pPr>
              <w:jc w:val="right"/>
              <w:ind w:right="16"/>
              <w:spacing w:after="0" w:line="153" w:lineRule="exact"/>
              <w:rPr>
                <w:sz w:val="20"/>
                <w:szCs w:val="20"/>
                <w:color w:val="auto"/>
              </w:rPr>
            </w:pPr>
            <w:r>
              <w:rPr>
                <w:rFonts w:ascii="Arial" w:cs="Arial" w:eastAsia="Arial" w:hAnsi="Arial"/>
                <w:sz w:val="14"/>
                <w:szCs w:val="14"/>
                <w:b w:val="1"/>
                <w:bCs w:val="1"/>
                <w:color w:val="auto"/>
                <w:w w:val="97"/>
              </w:rPr>
              <w:t>Number of Shares or Units of Stock That</w:t>
            </w:r>
          </w:p>
        </w:tc>
        <w:tc>
          <w:tcPr>
            <w:tcW w:w="680" w:type="dxa"/>
            <w:vAlign w:val="bottom"/>
          </w:tcPr>
          <w:p>
            <w:pPr>
              <w:spacing w:after="0"/>
              <w:rPr>
                <w:sz w:val="13"/>
                <w:szCs w:val="13"/>
                <w:color w:val="auto"/>
              </w:rPr>
            </w:pPr>
          </w:p>
        </w:tc>
        <w:tc>
          <w:tcPr>
            <w:tcW w:w="33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5"/>
              </w:rPr>
              <w:t>Market Value of Shares or Units of Stock That Have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Have Not Vested</w:t>
            </w:r>
          </w:p>
        </w:tc>
        <w:tc>
          <w:tcPr>
            <w:tcW w:w="6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1131"/>
              <w:spacing w:after="0"/>
              <w:rPr>
                <w:sz w:val="20"/>
                <w:szCs w:val="20"/>
                <w:color w:val="auto"/>
              </w:rPr>
            </w:pPr>
            <w:r>
              <w:rPr>
                <w:rFonts w:ascii="Arial" w:cs="Arial" w:eastAsia="Arial" w:hAnsi="Arial"/>
                <w:sz w:val="14"/>
                <w:szCs w:val="14"/>
                <w:b w:val="1"/>
                <w:bCs w:val="1"/>
                <w:color w:val="auto"/>
              </w:rPr>
              <w:t>Not Vested (1)</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11/3/2014</w:t>
            </w:r>
          </w:p>
        </w:tc>
        <w:tc>
          <w:tcPr>
            <w:tcW w:w="28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1,900,000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3/21/2016</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324,149</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23"/>
                <w:szCs w:val="23"/>
                <w:color w:val="auto"/>
              </w:rPr>
            </w:pP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3,079,416</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12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271,248</w:t>
            </w: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2,576,856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Mr. Given</w:t>
            </w:r>
          </w:p>
        </w:tc>
        <w:tc>
          <w:tcPr>
            <w:tcW w:w="1240" w:type="dxa"/>
            <w:vAlign w:val="bottom"/>
          </w:tcPr>
          <w:p>
            <w:pPr>
              <w:jc w:val="right"/>
              <w:spacing w:after="0"/>
              <w:rPr>
                <w:sz w:val="20"/>
                <w:szCs w:val="20"/>
                <w:color w:val="auto"/>
              </w:rPr>
            </w:pPr>
            <w:r>
              <w:rPr>
                <w:rFonts w:ascii="Arial" w:cs="Arial" w:eastAsia="Arial" w:hAnsi="Arial"/>
                <w:sz w:val="18"/>
                <w:szCs w:val="18"/>
                <w:color w:val="auto"/>
              </w:rPr>
              <w:t>10/1/2014</w:t>
            </w:r>
          </w:p>
        </w:tc>
        <w:tc>
          <w:tcPr>
            <w:tcW w:w="2860" w:type="dxa"/>
            <w:vAlign w:val="bottom"/>
            <w:gridSpan w:val="2"/>
          </w:tcPr>
          <w:p>
            <w:pPr>
              <w:jc w:val="right"/>
              <w:ind w:right="16"/>
              <w:spacing w:after="0"/>
              <w:rPr>
                <w:sz w:val="20"/>
                <w:szCs w:val="20"/>
                <w:color w:val="auto"/>
              </w:rPr>
            </w:pPr>
            <w:r>
              <w:rPr>
                <w:rFonts w:ascii="Arial" w:cs="Arial" w:eastAsia="Arial" w:hAnsi="Arial"/>
                <w:sz w:val="18"/>
                <w:szCs w:val="18"/>
                <w:color w:val="auto"/>
              </w:rPr>
              <w:t>150,000</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21"/>
                <w:szCs w:val="21"/>
                <w:color w:val="auto"/>
              </w:rPr>
            </w:pP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1,425,000</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3/21/2016</w:t>
            </w:r>
          </w:p>
        </w:tc>
        <w:tc>
          <w:tcPr>
            <w:tcW w:w="2860" w:type="dxa"/>
            <w:vAlign w:val="bottom"/>
            <w:gridSpan w:val="2"/>
          </w:tcPr>
          <w:p>
            <w:pPr>
              <w:jc w:val="right"/>
              <w:ind w:right="16"/>
              <w:spacing w:after="0"/>
              <w:rPr>
                <w:sz w:val="20"/>
                <w:szCs w:val="20"/>
                <w:color w:val="auto"/>
              </w:rPr>
            </w:pPr>
            <w:r>
              <w:rPr>
                <w:rFonts w:ascii="Arial" w:cs="Arial" w:eastAsia="Arial" w:hAnsi="Arial"/>
                <w:sz w:val="18"/>
                <w:szCs w:val="18"/>
                <w:color w:val="auto"/>
              </w:rPr>
              <w:t>97,245</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23"/>
                <w:szCs w:val="23"/>
                <w:color w:val="auto"/>
              </w:rPr>
            </w:pP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923,828</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11/8/2016</w:t>
            </w:r>
          </w:p>
        </w:tc>
        <w:tc>
          <w:tcPr>
            <w:tcW w:w="2860" w:type="dxa"/>
            <w:vAlign w:val="bottom"/>
            <w:gridSpan w:val="2"/>
          </w:tcPr>
          <w:p>
            <w:pPr>
              <w:jc w:val="right"/>
              <w:ind w:right="16"/>
              <w:spacing w:after="0"/>
              <w:rPr>
                <w:sz w:val="20"/>
                <w:szCs w:val="20"/>
                <w:color w:val="auto"/>
              </w:rPr>
            </w:pPr>
            <w:r>
              <w:rPr>
                <w:rFonts w:ascii="Arial" w:cs="Arial" w:eastAsia="Arial" w:hAnsi="Arial"/>
                <w:sz w:val="18"/>
                <w:szCs w:val="18"/>
                <w:color w:val="auto"/>
              </w:rPr>
              <w:t>81,374</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23"/>
                <w:szCs w:val="23"/>
                <w:color w:val="auto"/>
              </w:rPr>
            </w:pP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773,053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Mr. Rotunda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11/13/2015</w:t>
            </w:r>
          </w:p>
        </w:tc>
        <w:tc>
          <w:tcPr>
            <w:tcW w:w="28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14,820</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9"/>
                <w:szCs w:val="19"/>
                <w:color w:val="auto"/>
              </w:rPr>
            </w:pP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140,790</w:t>
            </w:r>
          </w:p>
        </w:tc>
        <w:tc>
          <w:tcPr>
            <w:tcW w:w="0" w:type="dxa"/>
            <w:vAlign w:val="bottom"/>
          </w:tcPr>
          <w:p>
            <w:pPr>
              <w:spacing w:after="0"/>
              <w:rPr>
                <w:sz w:val="1"/>
                <w:szCs w:val="1"/>
                <w:color w:val="auto"/>
              </w:rPr>
            </w:pPr>
          </w:p>
        </w:tc>
      </w:tr>
      <w:tr>
        <w:trPr>
          <w:trHeight w:val="284"/>
        </w:trPr>
        <w:tc>
          <w:tcPr>
            <w:tcW w:w="3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3/21/2016</w:t>
            </w:r>
          </w:p>
        </w:tc>
        <w:tc>
          <w:tcPr>
            <w:tcW w:w="120" w:type="dxa"/>
            <w:vAlign w:val="bottom"/>
            <w:shd w:val="clear" w:color="auto" w:fill="CCEEFF"/>
          </w:tcPr>
          <w:p>
            <w:pPr>
              <w:spacing w:after="0"/>
              <w:rPr>
                <w:sz w:val="24"/>
                <w:szCs w:val="24"/>
                <w:color w:val="auto"/>
              </w:rPr>
            </w:pPr>
          </w:p>
        </w:tc>
        <w:tc>
          <w:tcPr>
            <w:tcW w:w="2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89,141</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846,840</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12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61,031</w:t>
            </w: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579,795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Mr. Welch</w:t>
            </w:r>
          </w:p>
        </w:tc>
        <w:tc>
          <w:tcPr>
            <w:tcW w:w="1240" w:type="dxa"/>
            <w:vAlign w:val="bottom"/>
          </w:tcPr>
          <w:p>
            <w:pPr>
              <w:jc w:val="right"/>
              <w:spacing w:after="0"/>
              <w:rPr>
                <w:sz w:val="20"/>
                <w:szCs w:val="20"/>
                <w:color w:val="auto"/>
              </w:rPr>
            </w:pPr>
            <w:r>
              <w:rPr>
                <w:rFonts w:ascii="Arial" w:cs="Arial" w:eastAsia="Arial" w:hAnsi="Arial"/>
                <w:sz w:val="18"/>
                <w:szCs w:val="18"/>
                <w:color w:val="auto"/>
              </w:rPr>
              <w:t>10/1/2014</w:t>
            </w:r>
          </w:p>
        </w:tc>
        <w:tc>
          <w:tcPr>
            <w:tcW w:w="2860" w:type="dxa"/>
            <w:vAlign w:val="bottom"/>
            <w:gridSpan w:val="2"/>
          </w:tcPr>
          <w:p>
            <w:pPr>
              <w:jc w:val="right"/>
              <w:ind w:right="16"/>
              <w:spacing w:after="0"/>
              <w:rPr>
                <w:sz w:val="20"/>
                <w:szCs w:val="20"/>
                <w:color w:val="auto"/>
              </w:rPr>
            </w:pPr>
            <w:r>
              <w:rPr>
                <w:rFonts w:ascii="Arial" w:cs="Arial" w:eastAsia="Arial" w:hAnsi="Arial"/>
                <w:sz w:val="18"/>
                <w:szCs w:val="18"/>
                <w:color w:val="auto"/>
              </w:rPr>
              <w:t>24,000</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21"/>
                <w:szCs w:val="21"/>
                <w:color w:val="auto"/>
              </w:rPr>
            </w:pP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228,000</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3/21/2016</w:t>
            </w:r>
          </w:p>
        </w:tc>
        <w:tc>
          <w:tcPr>
            <w:tcW w:w="2860" w:type="dxa"/>
            <w:vAlign w:val="bottom"/>
            <w:gridSpan w:val="2"/>
          </w:tcPr>
          <w:p>
            <w:pPr>
              <w:jc w:val="right"/>
              <w:ind w:right="16"/>
              <w:spacing w:after="0"/>
              <w:rPr>
                <w:sz w:val="20"/>
                <w:szCs w:val="20"/>
                <w:color w:val="auto"/>
              </w:rPr>
            </w:pPr>
            <w:r>
              <w:rPr>
                <w:rFonts w:ascii="Arial" w:cs="Arial" w:eastAsia="Arial" w:hAnsi="Arial"/>
                <w:sz w:val="18"/>
                <w:szCs w:val="18"/>
                <w:color w:val="auto"/>
              </w:rPr>
              <w:t>66,451</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23"/>
                <w:szCs w:val="23"/>
                <w:color w:val="auto"/>
              </w:rPr>
            </w:pP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631,285</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11/8/2016</w:t>
            </w:r>
          </w:p>
        </w:tc>
        <w:tc>
          <w:tcPr>
            <w:tcW w:w="2860" w:type="dxa"/>
            <w:vAlign w:val="bottom"/>
            <w:gridSpan w:val="2"/>
          </w:tcPr>
          <w:p>
            <w:pPr>
              <w:jc w:val="right"/>
              <w:ind w:right="16"/>
              <w:spacing w:after="0"/>
              <w:rPr>
                <w:sz w:val="20"/>
                <w:szCs w:val="20"/>
                <w:color w:val="auto"/>
              </w:rPr>
            </w:pPr>
            <w:r>
              <w:rPr>
                <w:rFonts w:ascii="Arial" w:cs="Arial" w:eastAsia="Arial" w:hAnsi="Arial"/>
                <w:sz w:val="18"/>
                <w:szCs w:val="18"/>
                <w:color w:val="auto"/>
              </w:rPr>
              <w:t>37,071</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23"/>
                <w:szCs w:val="23"/>
                <w:color w:val="auto"/>
              </w:rPr>
            </w:pP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352,175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Mr. Ashby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3/21/16</w:t>
            </w:r>
          </w:p>
        </w:tc>
        <w:tc>
          <w:tcPr>
            <w:tcW w:w="28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63,029</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9"/>
                <w:szCs w:val="19"/>
                <w:color w:val="auto"/>
              </w:rPr>
            </w:pP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598,776</w:t>
            </w:r>
          </w:p>
        </w:tc>
        <w:tc>
          <w:tcPr>
            <w:tcW w:w="0" w:type="dxa"/>
            <w:vAlign w:val="bottom"/>
          </w:tcPr>
          <w:p>
            <w:pPr>
              <w:spacing w:after="0"/>
              <w:rPr>
                <w:sz w:val="1"/>
                <w:szCs w:val="1"/>
                <w:color w:val="auto"/>
              </w:rPr>
            </w:pPr>
          </w:p>
        </w:tc>
      </w:tr>
      <w:tr>
        <w:trPr>
          <w:trHeight w:val="41"/>
        </w:trPr>
        <w:tc>
          <w:tcPr>
            <w:tcW w:w="33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Market value is based on the closing price of our Class A Common Stock on September 29, 2017, the last market trading day of fiscal 2017 ($9.50).</w:t>
      </w:r>
    </w:p>
    <w:p>
      <w:pPr>
        <w:spacing w:after="0" w:line="109" w:lineRule="exact"/>
        <w:rPr>
          <w:rFonts w:ascii="Arial" w:cs="Arial" w:eastAsia="Arial" w:hAnsi="Arial"/>
          <w:sz w:val="14"/>
          <w:szCs w:val="14"/>
          <w:color w:val="auto"/>
        </w:rPr>
      </w:pPr>
    </w:p>
    <w:p>
      <w:pPr>
        <w:ind w:left="340" w:right="80" w:hanging="332"/>
        <w:spacing w:after="0" w:line="273" w:lineRule="auto"/>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Vesting of these shares is subject to the attainment of specified EBITDA growth objectives. Of these shares, half are scheduled to vest on September 30, 2018 and half are scheduled to vest on September 30, 2020.</w:t>
      </w:r>
    </w:p>
    <w:p>
      <w:pPr>
        <w:spacing w:after="0" w:line="65" w:lineRule="exact"/>
        <w:rPr>
          <w:rFonts w:ascii="Arial" w:cs="Arial" w:eastAsia="Arial" w:hAnsi="Arial"/>
          <w:sz w:val="14"/>
          <w:szCs w:val="14"/>
          <w:color w:val="auto"/>
        </w:rPr>
      </w:pPr>
    </w:p>
    <w:p>
      <w:pPr>
        <w:ind w:left="340" w:right="180" w:hanging="332"/>
        <w:spacing w:after="0" w:line="257" w:lineRule="auto"/>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These units are scheduled to vest on September 30, 2018 subject to specified performance objectives as follows: vesting of 80% of the units is subject to the attainment of specified EBITDA growth objectives; and vesting of 20% of the units is subject to the attainment of specified net debt reduction objectives. See “Compensation Discussion and Analysis — Components of Compensation — Long-Term Incentives” above.</w:t>
      </w:r>
    </w:p>
    <w:p>
      <w:pPr>
        <w:spacing w:after="0" w:line="77" w:lineRule="exact"/>
        <w:rPr>
          <w:rFonts w:ascii="Arial" w:cs="Arial" w:eastAsia="Arial" w:hAnsi="Arial"/>
          <w:sz w:val="14"/>
          <w:szCs w:val="14"/>
          <w:color w:val="auto"/>
        </w:rPr>
      </w:pPr>
    </w:p>
    <w:p>
      <w:pPr>
        <w:ind w:left="340" w:right="180" w:hanging="332"/>
        <w:spacing w:after="0" w:line="257" w:lineRule="auto"/>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These units are scheduled to vest on September 30, 2019 subject to specified performance objectives as follows: vesting of 80% of the units is subject to the attainment of specified EBITDA growth objectives; and vesting of 20% of the units is subject to the attainment of specified net debt reduction objectives. See “Compensation Discussion and Analysis — Components of Compensation — Long-Term Incentives” above.</w:t>
      </w:r>
    </w:p>
    <w:p>
      <w:pPr>
        <w:spacing w:after="0" w:line="77" w:lineRule="exact"/>
        <w:rPr>
          <w:rFonts w:ascii="Arial" w:cs="Arial" w:eastAsia="Arial" w:hAnsi="Arial"/>
          <w:sz w:val="14"/>
          <w:szCs w:val="14"/>
          <w:color w:val="auto"/>
        </w:rPr>
      </w:pPr>
    </w:p>
    <w:p>
      <w:pPr>
        <w:ind w:left="340" w:right="180" w:hanging="332"/>
        <w:spacing w:after="0" w:line="257" w:lineRule="auto"/>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Vesting of 4,940 of these shares was subject to the attainment of specified EBITDA growth objectives, and these shares vested on November 13, 2017 when the Compensation Committee certified that the applicable performance objectives had been achieved. The remaining 9,880 shares vest through fiscal 2020 in specified amounts if the per-share trading price of our Class A Common Stock achieves specified levels ranging from $15 to $80.</w:t>
      </w:r>
    </w:p>
    <w:p>
      <w:pPr>
        <w:spacing w:after="0" w:line="77" w:lineRule="exact"/>
        <w:rPr>
          <w:rFonts w:ascii="Arial" w:cs="Arial" w:eastAsia="Arial" w:hAnsi="Arial"/>
          <w:sz w:val="14"/>
          <w:szCs w:val="14"/>
          <w:color w:val="auto"/>
        </w:rPr>
      </w:pPr>
    </w:p>
    <w:p>
      <w:pPr>
        <w:ind w:left="340" w:right="100" w:hanging="332"/>
        <w:spacing w:after="0" w:line="257" w:lineRule="auto"/>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Vesting of 8,000 of these shares was subject to the attainment of specified EBITDA growth objectives, and these shares vested on November 13, 2017 when the Compensation Committee certified that the applicable performance objectives had been achieved. The remaining 16,000 shares vest through fiscal 2020 in specified amounts if the per-share trading price of our Class A Common Stock achieves specified levels ranging from $15 to $80.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Vested</w:t>
      </w:r>
    </w:p>
    <w:p>
      <w:pPr>
        <w:spacing w:after="0" w:line="17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following table sets forth, with respect to each of the Named Executive Officers, certain information about restricted stock vesting during fiscal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r>
        <w:trPr>
          <w:trHeight w:val="250"/>
        </w:trPr>
        <w:tc>
          <w:tcPr>
            <w:tcW w:w="63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2620" w:type="dxa"/>
            <w:vAlign w:val="bottom"/>
          </w:tcPr>
          <w:p>
            <w:pPr>
              <w:jc w:val="right"/>
              <w:ind w:right="15"/>
              <w:spacing w:after="0"/>
              <w:rPr>
                <w:sz w:val="20"/>
                <w:szCs w:val="20"/>
                <w:color w:val="auto"/>
              </w:rPr>
            </w:pPr>
            <w:r>
              <w:rPr>
                <w:rFonts w:ascii="Arial" w:cs="Arial" w:eastAsia="Arial" w:hAnsi="Arial"/>
                <w:sz w:val="14"/>
                <w:szCs w:val="14"/>
                <w:b w:val="1"/>
                <w:bCs w:val="1"/>
                <w:color w:val="auto"/>
                <w:w w:val="95"/>
              </w:rPr>
              <w:t>Number of Shares Acquired on Vesting</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Value Realized on Vesting (1)</w:t>
            </w:r>
          </w:p>
        </w:tc>
      </w:tr>
      <w:tr>
        <w:trPr>
          <w:trHeight w:val="121"/>
        </w:trPr>
        <w:tc>
          <w:tcPr>
            <w:tcW w:w="6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2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100,000</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1,135,000</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Mr. Given</w:t>
            </w:r>
          </w:p>
        </w:tc>
        <w:tc>
          <w:tcPr>
            <w:tcW w:w="2620" w:type="dxa"/>
            <w:vAlign w:val="bottom"/>
          </w:tcPr>
          <w:p>
            <w:pPr>
              <w:jc w:val="right"/>
              <w:ind w:right="15"/>
              <w:spacing w:after="0"/>
              <w:rPr>
                <w:sz w:val="20"/>
                <w:szCs w:val="20"/>
                <w:color w:val="auto"/>
              </w:rPr>
            </w:pPr>
            <w:r>
              <w:rPr>
                <w:rFonts w:ascii="Arial" w:cs="Arial" w:eastAsia="Arial" w:hAnsi="Arial"/>
                <w:sz w:val="18"/>
                <w:szCs w:val="18"/>
                <w:color w:val="auto"/>
              </w:rPr>
              <w:t>75,000</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851,250</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Rotunda</w:t>
            </w:r>
          </w:p>
        </w:tc>
        <w:tc>
          <w:tcPr>
            <w:tcW w:w="2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4,940</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56,069</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Mr. Welch</w:t>
            </w:r>
          </w:p>
        </w:tc>
        <w:tc>
          <w:tcPr>
            <w:tcW w:w="2620" w:type="dxa"/>
            <w:vAlign w:val="bottom"/>
          </w:tcPr>
          <w:p>
            <w:pPr>
              <w:jc w:val="right"/>
              <w:ind w:right="15"/>
              <w:spacing w:after="0"/>
              <w:rPr>
                <w:sz w:val="20"/>
                <w:szCs w:val="20"/>
                <w:color w:val="auto"/>
              </w:rPr>
            </w:pPr>
            <w:r>
              <w:rPr>
                <w:rFonts w:ascii="Arial" w:cs="Arial" w:eastAsia="Arial" w:hAnsi="Arial"/>
                <w:sz w:val="18"/>
                <w:szCs w:val="18"/>
                <w:color w:val="auto"/>
              </w:rPr>
              <w:t>8,000</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90,800</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Mr. Ashby</w:t>
            </w:r>
          </w:p>
        </w:tc>
        <w:tc>
          <w:tcPr>
            <w:tcW w:w="2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4,667</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41,303</w:t>
            </w:r>
          </w:p>
        </w:tc>
      </w:tr>
      <w:tr>
        <w:trPr>
          <w:trHeight w:val="27"/>
        </w:trPr>
        <w:tc>
          <w:tcPr>
            <w:tcW w:w="6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Computed using the fair market value of the stock on the date of vesting.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These shares vested on December 5, 2016 (market value, $11.35 per share).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340" w:right="20" w:hanging="332"/>
        <w:spacing w:after="0" w:line="273"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Vesting of these shares was accelerated to May 10, 2017 (market value, $8.85 per share) pursuant to the terms of Mr. Ashby’s severance from the Company. See “Compensation Discussion and Analysis — Other Executive Compensation Matters — Severance”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401(k) Retirement Plan </w:t>
      </w:r>
      <w:r>
        <w:rPr>
          <w:rFonts w:ascii="Arial" w:cs="Arial" w:eastAsia="Arial" w:hAnsi="Arial"/>
          <w:sz w:val="16"/>
          <w:szCs w:val="16"/>
          <w:color w:val="auto"/>
        </w:rPr>
        <w:t>— All employees are given an opportunity to participate in our 401(k) retirement savings plan (following a new-hire waiting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This plan allows participants to have pre-tax amounts withheld from their pay and provides for a discretionary employer matching contribution (historically, 25% up to 6% of salary). Until fiscal 2015, we made the matching contribution in the form of shares of our Class A Common Stock, but made the fiscal 2015 and subsequent matching contributions in the form of cash. Participants may invest their contributions in various fund options, but are prohibited from investing their contributions in our common stock. A participant vests in the matching contributions pro rata over their first three years of service. All of a participant’s matching contributions vest 100% in the event of the participant’s death or disability or the termination of the plan due to a change in control.</w:t>
      </w:r>
    </w:p>
    <w:p>
      <w:pPr>
        <w:spacing w:after="0" w:line="1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 xml:space="preserve">Supplemental Executive Retirement Plan </w:t>
      </w:r>
      <w:r>
        <w:rPr>
          <w:rFonts w:ascii="Arial" w:cs="Arial" w:eastAsia="Arial" w:hAnsi="Arial"/>
          <w:sz w:val="17"/>
          <w:szCs w:val="17"/>
          <w:color w:val="auto"/>
        </w:rPr>
        <w:t>— The Internal Revenue Code limits the amount of pre-tax savings that highly paid executives can contribute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401(k) plan. To offset some of the negative impact of these limitations on retirement savings and to encourage retention of key executives, we provide selected executives with a non-qualified Supplemental Executive Retirement Plan (“SERP”), with the same investment alternatives as are available under the 401(k) retirement savings plan. Company contributions to the SERP are formula-based, reviewed and recommended by management and approved by the Compensation Committee each year. For fiscal 2017, our annual contributions to the SERP were calculated as a percentage of base salary, with that percentage being 10% for executive officers and 6% for vice presidents. For fiscal 2018, the company contributions to the SERP will continue at the same rate. Under the terms of the SERP, participants are also allowed to voluntarily defer all or a portion of their salary and bonus payments into the SERP. There were nine participants in the SERP during fiscal 2017.</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company-contributed SERP funds have a vesting schedule as an additional retention tool. Generally, the funds vest over three years from the contribution date, with one-third vesting each year. All of a participant’s company-contributed SERP funds vest 100% in the event of the participant’s death or disability or the termination of the plan due to a change in control. In addition, all company-contributed SERP funds are 100% vested when a participant attains normal retirement age (generally 60 years old and five years of active service) while actively employed by us. All company-contributed SERP funds are forfeited, regardless of vesting status, if the participant’s employment is terminated for cause.</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the SERP contributions, earnings and balance at the end of fiscal 2017 for each of the Named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2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720" w:type="dxa"/>
            <w:vAlign w:val="bottom"/>
            <w:gridSpan w:val="3"/>
          </w:tcPr>
          <w:p>
            <w:pPr>
              <w:jc w:val="center"/>
              <w:ind w:left="1179"/>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 in Fiscal</w:t>
            </w: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Withdrawals/Distributions</w:t>
            </w: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Forfeitures in</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at September 30,</w:t>
            </w:r>
          </w:p>
        </w:tc>
        <w:tc>
          <w:tcPr>
            <w:tcW w:w="0" w:type="dxa"/>
            <w:vAlign w:val="bottom"/>
          </w:tcPr>
          <w:p>
            <w:pPr>
              <w:spacing w:after="0"/>
              <w:rPr>
                <w:sz w:val="1"/>
                <w:szCs w:val="1"/>
                <w:color w:val="auto"/>
              </w:rPr>
            </w:pPr>
          </w:p>
        </w:tc>
      </w:tr>
      <w:tr>
        <w:trPr>
          <w:trHeight w:val="192"/>
        </w:trPr>
        <w:tc>
          <w:tcPr>
            <w:tcW w:w="300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Fiscal 2017 (1)</w:t>
            </w:r>
          </w:p>
        </w:tc>
        <w:tc>
          <w:tcPr>
            <w:tcW w:w="200" w:type="dxa"/>
            <w:vAlign w:val="bottom"/>
          </w:tcPr>
          <w:p>
            <w:pPr>
              <w:spacing w:after="0"/>
              <w:rPr>
                <w:sz w:val="16"/>
                <w:szCs w:val="16"/>
                <w:color w:val="auto"/>
              </w:rPr>
            </w:pPr>
          </w:p>
        </w:tc>
        <w:tc>
          <w:tcPr>
            <w:tcW w:w="102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2017 (2)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 Fiscal 2017</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Fiscal 2017</w:t>
            </w:r>
          </w:p>
        </w:tc>
        <w:tc>
          <w:tcPr>
            <w:tcW w:w="240" w:type="dxa"/>
            <w:vAlign w:val="bottom"/>
          </w:tcPr>
          <w:p>
            <w:pPr>
              <w:spacing w:after="0"/>
              <w:rPr>
                <w:sz w:val="16"/>
                <w:szCs w:val="16"/>
                <w:color w:val="auto"/>
              </w:rPr>
            </w:pPr>
          </w:p>
        </w:tc>
        <w:tc>
          <w:tcPr>
            <w:tcW w:w="980" w:type="dxa"/>
            <w:vAlign w:val="bottom"/>
          </w:tcPr>
          <w:p>
            <w:pPr>
              <w:jc w:val="center"/>
              <w:ind w:right="153"/>
              <w:spacing w:after="0"/>
              <w:rPr>
                <w:sz w:val="20"/>
                <w:szCs w:val="20"/>
                <w:color w:val="auto"/>
              </w:rPr>
            </w:pPr>
            <w:r>
              <w:rPr>
                <w:rFonts w:ascii="Arial" w:cs="Arial" w:eastAsia="Arial" w:hAnsi="Arial"/>
                <w:sz w:val="14"/>
                <w:szCs w:val="14"/>
                <w:b w:val="1"/>
                <w:bCs w:val="1"/>
                <w:color w:val="auto"/>
                <w:w w:val="95"/>
              </w:rPr>
              <w:t>2017 (3)</w:t>
            </w:r>
          </w:p>
        </w:tc>
        <w:tc>
          <w:tcPr>
            <w:tcW w:w="0" w:type="dxa"/>
            <w:vAlign w:val="bottom"/>
          </w:tcPr>
          <w:p>
            <w:pPr>
              <w:spacing w:after="0"/>
              <w:rPr>
                <w:sz w:val="1"/>
                <w:szCs w:val="1"/>
                <w:color w:val="auto"/>
              </w:rPr>
            </w:pPr>
          </w:p>
        </w:tc>
      </w:tr>
      <w:tr>
        <w:trPr>
          <w:trHeight w:val="121"/>
        </w:trPr>
        <w:tc>
          <w:tcPr>
            <w:tcW w:w="30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352,865</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Mr. Chism</w:t>
            </w:r>
          </w:p>
        </w:tc>
        <w:tc>
          <w:tcPr>
            <w:tcW w:w="15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1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214,783</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15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67,500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10,859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149,997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1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543,292</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Mr. Ashby (4)</w:t>
            </w:r>
          </w:p>
        </w:tc>
        <w:tc>
          <w:tcPr>
            <w:tcW w:w="15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15,986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162,115</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These amounts were included in the Summary Compensation Table above in the column labeled “All Other Compensation.”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These amounts were not included in the Summary Compensation Table as the earnings were not in excess of market rates.</w:t>
      </w:r>
    </w:p>
    <w:p>
      <w:pPr>
        <w:spacing w:after="0" w:line="55" w:lineRule="exact"/>
        <w:rPr>
          <w:rFonts w:ascii="Arial" w:cs="Arial" w:eastAsia="Arial" w:hAnsi="Arial"/>
          <w:sz w:val="14"/>
          <w:szCs w:val="14"/>
          <w:color w:val="auto"/>
        </w:rPr>
      </w:pPr>
    </w:p>
    <w:p>
      <w:pPr>
        <w:ind w:left="340" w:right="280" w:hanging="332"/>
        <w:spacing w:after="0" w:line="273"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Of the Aggregate Balance at September 30, 2017, the following amounts were previously reported as compensation in the Summary Compensation Tables for prior years: $200,000 for Mr. Grimshaw, $120,000 for Mr. Given, $400,504 for Mr. Welch and $70,000 for Mr. Ashby.</w:t>
      </w:r>
    </w:p>
    <w:p>
      <w:pPr>
        <w:spacing w:after="0" w:line="11" w:lineRule="exact"/>
        <w:rPr>
          <w:rFonts w:ascii="Arial" w:cs="Arial" w:eastAsia="Arial" w:hAnsi="Arial"/>
          <w:sz w:val="14"/>
          <w:szCs w:val="14"/>
          <w:color w:val="auto"/>
        </w:rPr>
      </w:pPr>
    </w:p>
    <w:p>
      <w:pPr>
        <w:ind w:left="340" w:right="20" w:hanging="332"/>
        <w:spacing w:after="0" w:line="257"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Pursuant to the terms of Mr. Ashby’s separation agreement, the vesting of 100% of his SERP account was accelerated in connection with the termination of his employment from the Company, including the fiscal 2017 Company contribution of $70,000 and any earnings thereon. See “Compensation Discussion and Analysis — Other Executive Compensation Matters — Severance” above. The balance in the account will be paid to Mr. Ashby in December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 The following table describes each component of the amounts shown in the “All Other Compensation” column in the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 above.</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Value of</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Health Care</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Contributions to</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Supplemental Life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Defined</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Housing</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Supplemental</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Insurance</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Contribution Plans</w:t>
            </w: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Benefits (4)</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Insurance (1)</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Premiums (2)</w:t>
            </w:r>
          </w:p>
        </w:tc>
        <w:tc>
          <w:tcPr>
            <w:tcW w:w="120" w:type="dxa"/>
            <w:vAlign w:val="bottom"/>
          </w:tcPr>
          <w:p>
            <w:pPr>
              <w:spacing w:after="0"/>
              <w:rPr>
                <w:sz w:val="16"/>
                <w:szCs w:val="16"/>
                <w:color w:val="auto"/>
              </w:rPr>
            </w:pPr>
          </w:p>
        </w:tc>
        <w:tc>
          <w:tcPr>
            <w:tcW w:w="112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(3)</w:t>
            </w:r>
          </w:p>
        </w:tc>
        <w:tc>
          <w:tcPr>
            <w:tcW w:w="1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Grimshaw</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105,019</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   194,665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315,929</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103,975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188,265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199,688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504,471</w:t>
            </w:r>
          </w:p>
        </w:tc>
        <w:tc>
          <w:tcPr>
            <w:tcW w:w="0" w:type="dxa"/>
            <w:vAlign w:val="bottom"/>
          </w:tcPr>
          <w:p>
            <w:pPr>
              <w:spacing w:after="0"/>
              <w:rPr>
                <w:sz w:val="1"/>
                <w:szCs w:val="1"/>
                <w:color w:val="auto"/>
              </w:rPr>
            </w:pPr>
          </w:p>
        </w:tc>
      </w:tr>
      <w:tr>
        <w:trPr>
          <w:trHeight w:val="277"/>
        </w:trPr>
        <w:tc>
          <w:tcPr>
            <w:tcW w:w="27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168,393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278,817</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Mr. Chism</w:t>
            </w:r>
          </w:p>
        </w:tc>
        <w:tc>
          <w:tcPr>
            <w:tcW w:w="56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106,473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198,213</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112,075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190,126</w:t>
            </w:r>
          </w:p>
        </w:tc>
        <w:tc>
          <w:tcPr>
            <w:tcW w:w="0" w:type="dxa"/>
            <w:vAlign w:val="bottom"/>
          </w:tcPr>
          <w:p>
            <w:pPr>
              <w:spacing w:after="0"/>
              <w:rPr>
                <w:sz w:val="1"/>
                <w:szCs w:val="1"/>
                <w:color w:val="auto"/>
              </w:rPr>
            </w:pPr>
          </w:p>
        </w:tc>
      </w:tr>
      <w:tr>
        <w:trPr>
          <w:trHeight w:val="277"/>
        </w:trPr>
        <w:tc>
          <w:tcPr>
            <w:tcW w:w="27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8,528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85,033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154,505</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Mr. Rotunda</w:t>
            </w:r>
          </w:p>
        </w:tc>
        <w:tc>
          <w:tcPr>
            <w:tcW w:w="56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68,183</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81,924</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68,183</w:t>
            </w:r>
          </w:p>
        </w:tc>
        <w:tc>
          <w:tcPr>
            <w:tcW w:w="1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80,726</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255,075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262,030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Welch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47,000</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67,725</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44,975</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63,146</w:t>
            </w:r>
          </w:p>
        </w:tc>
        <w:tc>
          <w:tcPr>
            <w:tcW w:w="0" w:type="dxa"/>
            <w:vAlign w:val="bottom"/>
          </w:tcPr>
          <w:p>
            <w:pPr>
              <w:spacing w:after="0"/>
              <w:rPr>
                <w:sz w:val="1"/>
                <w:szCs w:val="1"/>
                <w:color w:val="auto"/>
              </w:rPr>
            </w:pPr>
          </w:p>
        </w:tc>
      </w:tr>
      <w:tr>
        <w:trPr>
          <w:trHeight w:val="277"/>
        </w:trPr>
        <w:tc>
          <w:tcPr>
            <w:tcW w:w="27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44,900</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56,487</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Mr. Ashby</w:t>
            </w:r>
          </w:p>
        </w:tc>
        <w:tc>
          <w:tcPr>
            <w:tcW w:w="56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76,011</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72,000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732,289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890,128</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70,281</w:t>
            </w: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118,500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201,324</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58,258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59,695</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40" w:right="140" w:hanging="332"/>
        <w:spacing w:after="0" w:line="257"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We provide a fully insured supplemental executive medical plan to certain executives, including all of the Named Executive Officers for healthcare costs in excess of amounts covered by our health insurance plans. The amounts shown represent the total premiums paid for the supplemental executive medical plan for each of the Named Executive Officers during each of the years presented.</w:t>
      </w:r>
    </w:p>
    <w:p>
      <w:pPr>
        <w:spacing w:after="0" w:line="23" w:lineRule="exact"/>
        <w:rPr>
          <w:rFonts w:ascii="Arial" w:cs="Arial" w:eastAsia="Arial" w:hAnsi="Arial"/>
          <w:sz w:val="14"/>
          <w:szCs w:val="14"/>
          <w:color w:val="auto"/>
        </w:rPr>
      </w:pPr>
    </w:p>
    <w:p>
      <w:pPr>
        <w:ind w:left="340" w:right="540" w:hanging="332"/>
        <w:spacing w:after="0" w:line="273"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group life insurance premiums paid on behalf of the Named Executive Officers. The benefit provides life and accidental death and dismemberment coverage for the Named Executive Officers at three times annual salary up to a maximum of $1 million.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the fiscal 2017 Company contributions to the 401(k) plan and the Supplemental Executive Retirement Plan.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amounts shown as Other Benefits include the following:</w:t>
      </w:r>
    </w:p>
    <w:p>
      <w:pPr>
        <w:spacing w:after="0" w:line="55" w:lineRule="exact"/>
        <w:rPr>
          <w:rFonts w:ascii="Arial" w:cs="Arial" w:eastAsia="Arial" w:hAnsi="Arial"/>
          <w:sz w:val="14"/>
          <w:szCs w:val="14"/>
          <w:color w:val="auto"/>
        </w:rPr>
      </w:pPr>
    </w:p>
    <w:p>
      <w:pPr>
        <w:ind w:left="340" w:right="80"/>
        <w:spacing w:after="0" w:line="257" w:lineRule="auto"/>
        <w:rPr>
          <w:rFonts w:ascii="Arial" w:cs="Arial" w:eastAsia="Arial" w:hAnsi="Arial"/>
          <w:sz w:val="14"/>
          <w:szCs w:val="14"/>
          <w:color w:val="auto"/>
        </w:rPr>
      </w:pPr>
      <w:r>
        <w:rPr>
          <w:rFonts w:ascii="Arial" w:cs="Arial" w:eastAsia="Arial" w:hAnsi="Arial"/>
          <w:sz w:val="14"/>
          <w:szCs w:val="14"/>
          <w:color w:val="auto"/>
        </w:rPr>
        <w:t>Mr. Grimshaw — The amounts shown represent perquisites and other personal benefits, including spousal travel for business-related meetings and Company-paid subsidy for health club membership. The 2016 amount also includes $199,568 paid to Mr. Grimshaw, as previously agreed, to reimburse him for incremental Australian taxes he incurred as a result of the payment of his sign-on bonus in fiscal 2014 prior to his relocation to the U.S.</w:t>
      </w:r>
    </w:p>
    <w:p>
      <w:pPr>
        <w:spacing w:after="0" w:line="23"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Mr. Given — The amount shown represents perquisites and other personal benefits, including spousal and family travel for business-related meetings.</w:t>
      </w:r>
    </w:p>
    <w:p>
      <w:pPr>
        <w:spacing w:after="0" w:line="55" w:lineRule="exact"/>
        <w:rPr>
          <w:rFonts w:ascii="Arial" w:cs="Arial" w:eastAsia="Arial" w:hAnsi="Arial"/>
          <w:sz w:val="14"/>
          <w:szCs w:val="14"/>
          <w:color w:val="auto"/>
        </w:rPr>
      </w:pPr>
    </w:p>
    <w:p>
      <w:pPr>
        <w:ind w:left="340" w:right="200"/>
        <w:spacing w:after="0" w:line="273" w:lineRule="auto"/>
        <w:rPr>
          <w:rFonts w:ascii="Arial" w:cs="Arial" w:eastAsia="Arial" w:hAnsi="Arial"/>
          <w:sz w:val="14"/>
          <w:szCs w:val="14"/>
          <w:color w:val="auto"/>
        </w:rPr>
      </w:pPr>
      <w:r>
        <w:rPr>
          <w:rFonts w:ascii="Arial" w:cs="Arial" w:eastAsia="Arial" w:hAnsi="Arial"/>
          <w:sz w:val="14"/>
          <w:szCs w:val="14"/>
          <w:color w:val="auto"/>
        </w:rPr>
        <w:t>Mr. Rotunda — The 2015 amount represents (a) $60,000 in cash and $160,460 in restricted stock awards Mr. Rotunda received as non-employee director compensation prior to his rejoining the Company as an executive officer in May 2015 and (b) $34,615 in fees paid pursuant to a consulting agreement that was terminated in November 2013.</w:t>
      </w:r>
    </w:p>
    <w:p>
      <w:pPr>
        <w:spacing w:after="0" w:line="1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Mr. Welch — The amounts shown represent Company-paid subsidy for health club membership.</w:t>
      </w:r>
    </w:p>
    <w:p>
      <w:pPr>
        <w:spacing w:after="0" w:line="55" w:lineRule="exact"/>
        <w:rPr>
          <w:rFonts w:ascii="Arial" w:cs="Arial" w:eastAsia="Arial" w:hAnsi="Arial"/>
          <w:sz w:val="14"/>
          <w:szCs w:val="14"/>
          <w:color w:val="auto"/>
        </w:rPr>
      </w:pPr>
    </w:p>
    <w:p>
      <w:pPr>
        <w:ind w:left="340" w:right="20"/>
        <w:spacing w:after="0" w:line="257" w:lineRule="auto"/>
        <w:rPr>
          <w:rFonts w:ascii="Arial" w:cs="Arial" w:eastAsia="Arial" w:hAnsi="Arial"/>
          <w:sz w:val="14"/>
          <w:szCs w:val="14"/>
          <w:color w:val="auto"/>
        </w:rPr>
      </w:pPr>
      <w:r>
        <w:rPr>
          <w:rFonts w:ascii="Arial" w:cs="Arial" w:eastAsia="Arial" w:hAnsi="Arial"/>
          <w:sz w:val="14"/>
          <w:szCs w:val="14"/>
          <w:color w:val="auto"/>
        </w:rPr>
        <w:t>Mr. Ashby — The 2017 amount includes $721,063 in aggregate cash payments to Mr. Ashby in connection with his termination of employment and departure from the Company effective May 8, 2017. See “Compensation Discussion and Analysis — Other Executive Compensation Matters — Severance” above. The remainder of the 2017 amount and the 2015 amount represent various perquisites and other personal benefits, including spousal travel and relocation costs.</w:t>
      </w:r>
    </w:p>
    <w:p>
      <w:pPr>
        <w:spacing w:after="0" w:line="1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Termination and Change-in-Control Benefits — The following is a summary of various agreements that provide for benefits to the Named Executive Officers upon termination of employment or a change-in-control:</w:t>
      </w:r>
    </w:p>
    <w:p>
      <w:pPr>
        <w:spacing w:after="0" w:line="116" w:lineRule="exact"/>
        <w:rPr>
          <w:sz w:val="20"/>
          <w:szCs w:val="20"/>
          <w:color w:val="auto"/>
        </w:rPr>
      </w:pPr>
    </w:p>
    <w:p>
      <w:pPr>
        <w:ind w:left="340" w:right="36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Restricted Stock Award Agreements — The standard restricted stock award agreement pursuant to which we grant restricted stock or restricted stock units to our employees generally provides that vesting is accelerated in the event of the holder’s death or disability.</w:t>
      </w:r>
    </w:p>
    <w:p>
      <w:pPr>
        <w:spacing w:after="0" w:line="116" w:lineRule="exact"/>
        <w:rPr>
          <w:rFonts w:ascii="Arial" w:cs="Arial" w:eastAsia="Arial" w:hAnsi="Arial"/>
          <w:sz w:val="18"/>
          <w:szCs w:val="18"/>
          <w:color w:val="auto"/>
        </w:rPr>
      </w:pPr>
    </w:p>
    <w:p>
      <w:pPr>
        <w:ind w:left="340" w:right="360"/>
        <w:spacing w:after="0" w:line="264" w:lineRule="auto"/>
        <w:rPr>
          <w:rFonts w:ascii="Arial" w:cs="Arial" w:eastAsia="Arial" w:hAnsi="Arial"/>
          <w:sz w:val="18"/>
          <w:szCs w:val="18"/>
          <w:color w:val="auto"/>
        </w:rPr>
      </w:pPr>
      <w:r>
        <w:rPr>
          <w:rFonts w:ascii="Arial" w:cs="Arial" w:eastAsia="Arial" w:hAnsi="Arial"/>
          <w:sz w:val="18"/>
          <w:szCs w:val="18"/>
          <w:color w:val="auto"/>
        </w:rPr>
        <w:t>Mr. Rotunda’s current and future long-term incentive awards contain a special term providing for the continued vesting (rather than forfeiture) of all unvested awards in accordance with their terms (including corporate-level performance criteria) if Mr. Rotunda voluntarily retires from his executive position with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i w:val="1"/>
          <w:iCs w:val="1"/>
          <w:color w:val="auto"/>
        </w:rPr>
        <w:t xml:space="preserve">SERP Contributions </w:t>
      </w:r>
      <w:r>
        <w:rPr>
          <w:rFonts w:ascii="Arial" w:cs="Arial" w:eastAsia="Arial" w:hAnsi="Arial"/>
          <w:sz w:val="18"/>
          <w:szCs w:val="18"/>
          <w:color w:val="auto"/>
        </w:rPr>
        <w:t>— For all executives (including the Named Executive Officers), any unvested Company contributions to the SERP will vest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of death or disability of the participant or a change-in-control.</w:t>
      </w:r>
    </w:p>
    <w:p>
      <w:pPr>
        <w:spacing w:after="0" w:line="116" w:lineRule="exact"/>
        <w:rPr>
          <w:sz w:val="20"/>
          <w:szCs w:val="20"/>
          <w:color w:val="auto"/>
        </w:rPr>
      </w:pPr>
    </w:p>
    <w:p>
      <w:pPr>
        <w:ind w:left="340" w:right="680" w:hanging="332"/>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General severance benefits </w:t>
      </w:r>
      <w:r>
        <w:rPr>
          <w:rFonts w:ascii="Arial" w:cs="Arial" w:eastAsia="Arial" w:hAnsi="Arial"/>
          <w:sz w:val="18"/>
          <w:szCs w:val="18"/>
          <w:color w:val="auto"/>
        </w:rPr>
        <w:t>— We currently provide each of our executive officers with one year salary continuation if his or her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the Company without cause.</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sets forth the amounts of severance or termination benefits that would have been payable to each of the Named Executive Officers upon the occurrence of various events, assuming each of the events occurred on September 30, 2017, except for Mr. Ashby, whose severance benefits shown below reflect actual amounts paid to him upon his departure from the Company effective May 8,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Accelerated</w:t>
            </w:r>
          </w:p>
        </w:tc>
        <w:tc>
          <w:tcPr>
            <w:tcW w:w="160" w:type="dxa"/>
            <w:vAlign w:val="bottom"/>
          </w:tcPr>
          <w:p>
            <w:pPr>
              <w:spacing w:after="0"/>
              <w:rPr>
                <w:sz w:val="14"/>
                <w:szCs w:val="14"/>
                <w:color w:val="auto"/>
              </w:rPr>
            </w:pPr>
          </w:p>
        </w:tc>
        <w:tc>
          <w:tcPr>
            <w:tcW w:w="9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0"/>
              </w:rPr>
              <w:t>Accelerated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Incentive</w:t>
            </w: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Healthcare</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Vesting of</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60" w:type="dxa"/>
            <w:vAlign w:val="bottom"/>
          </w:tcPr>
          <w:p>
            <w:pPr>
              <w:spacing w:after="0"/>
              <w:rPr>
                <w:sz w:val="12"/>
                <w:szCs w:val="12"/>
                <w:color w:val="auto"/>
              </w:rPr>
            </w:pPr>
          </w:p>
        </w:tc>
        <w:tc>
          <w:tcPr>
            <w:tcW w:w="9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Vesting of</w:t>
            </w:r>
          </w:p>
        </w:tc>
        <w:tc>
          <w:tcPr>
            <w:tcW w:w="340" w:type="dxa"/>
            <w:vAlign w:val="bottom"/>
          </w:tcPr>
          <w:p>
            <w:pPr>
              <w:spacing w:after="0"/>
              <w:rPr>
                <w:sz w:val="12"/>
                <w:szCs w:val="12"/>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 (1)</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SERP Balance</w:t>
            </w: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Resignation for Good Reason:</w:t>
            </w:r>
          </w:p>
        </w:tc>
        <w:tc>
          <w:tcPr>
            <w:tcW w:w="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1,000,000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Chism</w:t>
            </w:r>
          </w:p>
        </w:tc>
        <w:tc>
          <w:tcPr>
            <w:tcW w:w="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Mr. Given</w:t>
            </w:r>
          </w:p>
        </w:tc>
        <w:tc>
          <w:tcPr>
            <w:tcW w:w="9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Rotunda</w:t>
            </w:r>
          </w:p>
        </w:tc>
        <w:tc>
          <w:tcPr>
            <w:tcW w:w="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Mr. Welch</w:t>
            </w:r>
          </w:p>
        </w:tc>
        <w:tc>
          <w:tcPr>
            <w:tcW w:w="9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Termination Without Cause:</w:t>
            </w:r>
          </w:p>
        </w:tc>
        <w:tc>
          <w:tcPr>
            <w:tcW w:w="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1,000,000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Chism</w:t>
            </w:r>
          </w:p>
        </w:tc>
        <w:tc>
          <w:tcPr>
            <w:tcW w:w="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Mr. Given</w:t>
            </w:r>
          </w:p>
        </w:tc>
        <w:tc>
          <w:tcPr>
            <w:tcW w:w="9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Rotunda</w:t>
            </w:r>
          </w:p>
        </w:tc>
        <w:tc>
          <w:tcPr>
            <w:tcW w:w="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Mr. Welch</w:t>
            </w:r>
          </w:p>
        </w:tc>
        <w:tc>
          <w:tcPr>
            <w:tcW w:w="9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Ashby (2)</w:t>
            </w:r>
          </w:p>
        </w:tc>
        <w:tc>
          <w:tcPr>
            <w:tcW w:w="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54,073</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Death or Disability:</w:t>
            </w: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Grimshaw</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7,556,272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352,865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Mr. Chism</w:t>
            </w:r>
          </w:p>
        </w:tc>
        <w:tc>
          <w:tcPr>
            <w:tcW w:w="9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Given</w:t>
            </w:r>
          </w:p>
        </w:tc>
        <w:tc>
          <w:tcPr>
            <w:tcW w:w="9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3,121,881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214,783</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Mr. Rotunda (3)</w:t>
            </w:r>
          </w:p>
        </w:tc>
        <w:tc>
          <w:tcPr>
            <w:tcW w:w="9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1,567,424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Welch (3)</w:t>
            </w:r>
          </w:p>
        </w:tc>
        <w:tc>
          <w:tcPr>
            <w:tcW w:w="9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1,211,459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Mr. Ashby</w:t>
            </w:r>
          </w:p>
        </w:tc>
        <w:tc>
          <w:tcPr>
            <w:tcW w:w="9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the number of shares subject to accelerated vesting (as described above), multiplied by the closing sales price of the Class A Common Stock on September 29, 2017 ($9.50).</w:t>
      </w:r>
    </w:p>
    <w:p>
      <w:pPr>
        <w:spacing w:after="0" w:line="120" w:lineRule="exact"/>
        <w:rPr>
          <w:rFonts w:ascii="Arial" w:cs="Arial" w:eastAsia="Arial" w:hAnsi="Arial"/>
          <w:sz w:val="13"/>
          <w:szCs w:val="13"/>
          <w:color w:val="auto"/>
        </w:rPr>
      </w:pPr>
    </w:p>
    <w:p>
      <w:pPr>
        <w:ind w:left="340" w:right="60" w:hanging="332"/>
        <w:spacing w:after="0" w:line="277" w:lineRule="auto"/>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Mr. Ashby left the Company effective May 8, 2017, and the amounts shown were paid pursuant to his separation agreement. See “Compensation Discussion and Analysis — Other Executive Compensation Matters — Severance” above. The accelerated vesting of restricted stock amount reflects the closing sales price of the Class A Common Stock on May 9, 2017 ($8.85), the first trading day following the effective date of his departure from the Company. The accelerated vesting of SERP balance represents the unvested portion of Mr. Ashby’s SERP balance at May 8, 2017. The amount shown under Other represents payment or reimbursement for moving Mr. Ashby and his family back to Australia.</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Rotunda and Mr. Welch are fully vested in their SERP balances.</w:t>
      </w:r>
    </w:p>
    <w:p>
      <w:pPr>
        <w:spacing w:after="0" w:line="1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an executive’s employment was terminated following a change-in-control, then the additional benefits described above would apply, depending on the circumstances of the termination.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125" w:right="27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Each non-employee director receives a basic annual retainer fee, with the chair of the Audit Committee and the chair of the Compensation Committee each receiving an additional amount. During fiscal 2017, the basic annual retainer fee was $80,000, and additional amounts paid to the chair of the Audit Committee and the chair of the Compensation Committee were $27,500 and $15,000, respectively. Annual retainer fees are paid in cash on a quarterly basis.</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Compensation Committee.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sets forth the compensation paid to our non-employee directors for fiscal 2017. Mr. Grimshaw, Mr. Given and Mr. Rotunda are executive officers of the Company and do not receive any additional compensation for serving on the Board of Directors.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w:t>
            </w:r>
          </w:p>
        </w:tc>
        <w:tc>
          <w:tcPr>
            <w:tcW w:w="4040" w:type="dxa"/>
            <w:vAlign w:val="bottom"/>
            <w:gridSpan w:val="3"/>
          </w:tcPr>
          <w:p>
            <w:pPr>
              <w:ind w:left="2500"/>
              <w:spacing w:after="0"/>
              <w:rPr>
                <w:sz w:val="20"/>
                <w:szCs w:val="20"/>
                <w:color w:val="auto"/>
              </w:rPr>
            </w:pPr>
            <w:r>
              <w:rPr>
                <w:rFonts w:ascii="Arial" w:cs="Arial" w:eastAsia="Arial" w:hAnsi="Arial"/>
                <w:sz w:val="14"/>
                <w:szCs w:val="14"/>
                <w:b w:val="1"/>
                <w:bCs w:val="1"/>
                <w:color w:val="auto"/>
              </w:rPr>
              <w:t>Fees Earned or Paid in</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Restricted Stock</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60" w:type="dxa"/>
            <w:vAlign w:val="bottom"/>
            <w:vMerge w:val="continue"/>
          </w:tcPr>
          <w:p>
            <w:pPr>
              <w:spacing w:after="0"/>
              <w:rPr>
                <w:sz w:val="16"/>
                <w:szCs w:val="16"/>
                <w:color w:val="auto"/>
              </w:rPr>
            </w:pPr>
          </w:p>
        </w:tc>
        <w:tc>
          <w:tcPr>
            <w:tcW w:w="27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(1)</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Awards (2)</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6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Matthew Appel</w:t>
            </w:r>
          </w:p>
        </w:tc>
        <w:tc>
          <w:tcPr>
            <w:tcW w:w="276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266,700</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Santiago Creel Miranda</w:t>
            </w:r>
          </w:p>
        </w:tc>
        <w:tc>
          <w:tcPr>
            <w:tcW w:w="27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139,200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239,200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Peter Cumins</w:t>
            </w:r>
          </w:p>
        </w:tc>
        <w:tc>
          <w:tcPr>
            <w:tcW w:w="2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219,200</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Pablo Lagos Espinosa</w:t>
            </w:r>
          </w:p>
        </w:tc>
        <w:tc>
          <w:tcPr>
            <w:tcW w:w="27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139,200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254,200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C. Roberts</w:t>
            </w:r>
          </w:p>
        </w:tc>
        <w:tc>
          <w:tcPr>
            <w:tcW w:w="2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139,200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239,200</w:t>
            </w:r>
          </w:p>
        </w:tc>
        <w:tc>
          <w:tcPr>
            <w:tcW w:w="0" w:type="dxa"/>
            <w:vAlign w:val="bottom"/>
          </w:tcPr>
          <w:p>
            <w:pPr>
              <w:spacing w:after="0"/>
              <w:rPr>
                <w:sz w:val="1"/>
                <w:szCs w:val="1"/>
                <w:color w:val="auto"/>
              </w:rPr>
            </w:pPr>
          </w:p>
        </w:tc>
      </w:tr>
      <w:tr>
        <w:trPr>
          <w:trHeight w:val="27"/>
        </w:trPr>
        <w:tc>
          <w:tcPr>
            <w:tcW w:w="426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180" w:hanging="332"/>
        <w:spacing w:after="0" w:line="269" w:lineRule="auto"/>
        <w:tabs>
          <w:tab w:leader="none" w:pos="3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Amounts shown for Mr. Appel, Mr. Creel, Mr. Lagos and Mr. Roberts include $20,000 each for serving on the special acquisition committee appointed and commissioned by the Board of Directors to review, evaluate and approve the terms of the GPMX acquisition. See “Part III — Item 10 — Directors, Executive Officers and Corporate Governance — Corporate Governance</w:t>
      </w:r>
    </w:p>
    <w:p>
      <w:pPr>
        <w:spacing w:after="0" w:line="1" w:lineRule="exact"/>
        <w:rPr>
          <w:rFonts w:ascii="Arial" w:cs="Arial" w:eastAsia="Arial" w:hAnsi="Arial"/>
          <w:sz w:val="13"/>
          <w:szCs w:val="13"/>
          <w:color w:val="auto"/>
        </w:rPr>
      </w:pPr>
    </w:p>
    <w:p>
      <w:pPr>
        <w:ind w:left="340" w:right="80"/>
        <w:spacing w:after="0" w:line="255" w:lineRule="auto"/>
        <w:rPr>
          <w:rFonts w:ascii="Arial" w:cs="Arial" w:eastAsia="Arial" w:hAnsi="Arial"/>
          <w:sz w:val="13"/>
          <w:szCs w:val="13"/>
          <w:color w:val="auto"/>
        </w:rPr>
      </w:pPr>
      <w:r>
        <w:rPr>
          <w:rFonts w:ascii="Arial" w:cs="Arial" w:eastAsia="Arial" w:hAnsi="Arial"/>
          <w:sz w:val="14"/>
          <w:szCs w:val="14"/>
          <w:color w:val="auto"/>
        </w:rPr>
        <w:t>— Meetings and Attendance” above. This special acquisition committee was formed in May 2017 and dissolved as of the completion of the GPMX acquisition in October 2017. In connection with the formation of the special acquisition committee, the Board of Directors approved a special fee of $5,000 per month for each member, commencing June 2017.</w:t>
      </w:r>
    </w:p>
    <w:p>
      <w:pPr>
        <w:spacing w:after="0" w:line="78" w:lineRule="exact"/>
        <w:rPr>
          <w:rFonts w:ascii="Arial" w:cs="Arial" w:eastAsia="Arial" w:hAnsi="Arial"/>
          <w:sz w:val="13"/>
          <w:szCs w:val="13"/>
          <w:color w:val="auto"/>
        </w:rPr>
      </w:pPr>
    </w:p>
    <w:p>
      <w:pPr>
        <w:ind w:left="340" w:right="340" w:hanging="332"/>
        <w:spacing w:after="0" w:line="257"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awards, computed in accordance with FASB ASC 718-10-25. See Note 9 of Notes to Consolidated Financial Statements included in “Part II, Item 8 — Financial Statements and Supplementary Data.” The actual value realized by the director with respect to stock awards will depend on the market value of our stock on the date the stock is sold.</w:t>
      </w:r>
    </w:p>
    <w:p>
      <w:pPr>
        <w:spacing w:after="0" w:line="77" w:lineRule="exact"/>
        <w:rPr>
          <w:rFonts w:ascii="Arial" w:cs="Arial" w:eastAsia="Arial" w:hAnsi="Arial"/>
          <w:sz w:val="14"/>
          <w:szCs w:val="14"/>
          <w:color w:val="auto"/>
        </w:rPr>
      </w:pPr>
    </w:p>
    <w:p>
      <w:pPr>
        <w:ind w:left="340" w:right="80"/>
        <w:spacing w:after="0" w:line="277" w:lineRule="auto"/>
        <w:rPr>
          <w:rFonts w:ascii="Arial" w:cs="Arial" w:eastAsia="Arial" w:hAnsi="Arial"/>
          <w:sz w:val="14"/>
          <w:szCs w:val="14"/>
          <w:color w:val="auto"/>
        </w:rPr>
      </w:pPr>
      <w:r>
        <w:rPr>
          <w:rFonts w:ascii="Arial" w:cs="Arial" w:eastAsia="Arial" w:hAnsi="Arial"/>
          <w:sz w:val="13"/>
          <w:szCs w:val="13"/>
          <w:color w:val="auto"/>
        </w:rPr>
        <w:t>Each non-employee director received a grant of 14,500 shares of restricted stock in November 2016. That amount was determined by dividing $160,000 (200% times the annual director fee) by $11.06, the trading price of the Class A Common Stock at the beginning of fiscal 2017. Half of these shares vested on September 30, 2017, and the remainder are scheduled to vest on September 30, 2018. The values shown above were computed using the closing price of our Class A Common Stock on the date of grant ($9.60 on November 8, 2016) which differed from the amount used to determine the number of shares awarded as the grant date in accordance with FASB ASC 718-10-25 was over a month after the determination date.</w:t>
      </w:r>
    </w:p>
    <w:p>
      <w:pPr>
        <w:spacing w:after="0" w:line="66"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As of September 30, 2017, each of the non-employee directors held 7,250 shares of unvested restricted stock.</w:t>
      </w:r>
    </w:p>
    <w:p>
      <w:pPr>
        <w:spacing w:after="0" w:line="22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non-employee director compensation program for fiscal 2018 will be the same as the fiscal 2017 program described above, except that 100% of the restricted stock award will vest after one year (i.e., on September 30,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have approved the 2010 Long-Term Incentive Plan, which we currently use for stock incentive awards. These awards can be in the form of stock options, stock appreciation rights, stock bonuses, restricted stock, restricted stock units, performance units or performance shares. We do not have any equity compensation plans that were not approved by stockholders. The following table summarizes information about our equity compensation plans as of September 30,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Issued Upon Exercise</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 (1)</w:t>
            </w:r>
          </w:p>
        </w:tc>
        <w:tc>
          <w:tcPr>
            <w:tcW w:w="20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1"/>
        </w:trPr>
        <w:tc>
          <w:tcPr>
            <w:tcW w:w="572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6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391,515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391,515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Excludes 2,413,783 shares of restricted stock that were outstanding as of September 30, 2017.</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October 31, 2017 (except as noted below) for (i) each person known to us to be the beneficial owner of more than 5% of the total number of shares outstanding, (ii) each of our directors, (iii) each of the Named Executive Officers (other than Mr. Ashby, who is no longer with the Company), and (iv) all directors and executive officers as a group. Unless otherwise indicated, each person named below holds sole voting and investment power over the shares shown, subject to community property laws where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40" w:type="dxa"/>
            <w:vAlign w:val="bottom"/>
            <w:gridSpan w:val="3"/>
          </w:tcPr>
          <w:p>
            <w:pPr>
              <w:jc w:val="center"/>
              <w:ind w:left="800"/>
              <w:spacing w:after="0"/>
              <w:rPr>
                <w:sz w:val="20"/>
                <w:szCs w:val="20"/>
                <w:color w:val="auto"/>
              </w:rPr>
            </w:pPr>
            <w:r>
              <w:rPr>
                <w:rFonts w:ascii="Arial" w:cs="Arial" w:eastAsia="Arial" w:hAnsi="Arial"/>
                <w:sz w:val="14"/>
                <w:szCs w:val="14"/>
                <w:b w:val="1"/>
                <w:bCs w:val="1"/>
                <w:color w:val="auto"/>
                <w:w w:val="92"/>
              </w:rPr>
              <w:t>Class A Non-voting</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3"/>
          </w:tcPr>
          <w:p>
            <w:pPr>
              <w:jc w:val="center"/>
              <w:ind w:left="860"/>
              <w:spacing w:after="0"/>
              <w:rPr>
                <w:sz w:val="20"/>
                <w:szCs w:val="20"/>
                <w:color w:val="auto"/>
              </w:rPr>
            </w:pPr>
            <w:r>
              <w:rPr>
                <w:rFonts w:ascii="Arial" w:cs="Arial" w:eastAsia="Arial" w:hAnsi="Arial"/>
                <w:sz w:val="14"/>
                <w:szCs w:val="14"/>
                <w:b w:val="1"/>
                <w:bCs w:val="1"/>
                <w:color w:val="auto"/>
                <w:w w:val="91"/>
              </w:rPr>
              <w:t>Class B Voting</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330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4"/>
                <w:szCs w:val="14"/>
                <w:b w:val="1"/>
                <w:bCs w:val="1"/>
                <w:color w:val="auto"/>
                <w:w w:val="93"/>
              </w:rPr>
              <w:t>Common Stock</w:t>
            </w:r>
          </w:p>
        </w:tc>
        <w:tc>
          <w:tcPr>
            <w:tcW w:w="84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860"/>
              <w:spacing w:after="0"/>
              <w:rPr>
                <w:sz w:val="20"/>
                <w:szCs w:val="20"/>
                <w:color w:val="auto"/>
              </w:rPr>
            </w:pPr>
            <w:r>
              <w:rPr>
                <w:rFonts w:ascii="Arial" w:cs="Arial" w:eastAsia="Arial" w:hAnsi="Arial"/>
                <w:sz w:val="14"/>
                <w:szCs w:val="14"/>
                <w:b w:val="1"/>
                <w:bCs w:val="1"/>
                <w:color w:val="auto"/>
                <w:w w:val="91"/>
              </w:rPr>
              <w:t>Common Stock</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Beneficial Owner</w:t>
            </w:r>
          </w:p>
        </w:tc>
        <w:tc>
          <w:tcPr>
            <w:tcW w:w="1360" w:type="dxa"/>
            <w:vAlign w:val="bottom"/>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920" w:type="dxa"/>
            <w:vAlign w:val="bottom"/>
            <w:gridSpan w:val="3"/>
          </w:tcPr>
          <w:p>
            <w:pPr>
              <w:ind w:left="42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1400" w:type="dxa"/>
            <w:vAlign w:val="bottom"/>
          </w:tcPr>
          <w:p>
            <w:pPr>
              <w:jc w:val="right"/>
              <w:ind w:right="160"/>
              <w:spacing w:after="0"/>
              <w:rPr>
                <w:sz w:val="20"/>
                <w:szCs w:val="20"/>
                <w:color w:val="auto"/>
              </w:rPr>
            </w:pPr>
            <w:r>
              <w:rPr>
                <w:rFonts w:ascii="Arial" w:cs="Arial" w:eastAsia="Arial" w:hAnsi="Arial"/>
                <w:sz w:val="14"/>
                <w:szCs w:val="14"/>
                <w:b w:val="1"/>
                <w:bCs w:val="1"/>
                <w:color w:val="auto"/>
              </w:rPr>
              <w:t>Voting Percent</w:t>
            </w:r>
          </w:p>
        </w:tc>
      </w:tr>
      <w:tr>
        <w:trPr>
          <w:trHeight w:val="121"/>
        </w:trPr>
        <w:tc>
          <w:tcPr>
            <w:tcW w:w="3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MS Pawn Limited Partnership (a)</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MS Pawn Corporation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Phillip Ean Cohen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2500 Bee Cave Road</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Bldg One, Suite 200</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9"/>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Rollingwood, Texas 78746</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2,974,047</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w:t>
            </w:r>
          </w:p>
        </w:tc>
        <w:tc>
          <w:tcPr>
            <w:tcW w:w="15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5.78%   (b)</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2,970,171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Blackrock, Inc.</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3300" w:type="dxa"/>
            <w:vAlign w:val="bottom"/>
          </w:tcPr>
          <w:p>
            <w:pPr>
              <w:ind w:left="160"/>
              <w:spacing w:after="0" w:line="203" w:lineRule="exact"/>
              <w:rPr>
                <w:sz w:val="20"/>
                <w:szCs w:val="20"/>
                <w:color w:val="auto"/>
              </w:rPr>
            </w:pPr>
            <w:r>
              <w:rPr>
                <w:rFonts w:ascii="Arial" w:cs="Arial" w:eastAsia="Arial" w:hAnsi="Arial"/>
                <w:sz w:val="16"/>
                <w:szCs w:val="16"/>
                <w:color w:val="auto"/>
              </w:rPr>
              <w:t>55 East 52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Street</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3300" w:type="dxa"/>
            <w:vAlign w:val="bottom"/>
          </w:tcPr>
          <w:p>
            <w:pPr>
              <w:ind w:left="160"/>
              <w:spacing w:after="0"/>
              <w:rPr>
                <w:sz w:val="20"/>
                <w:szCs w:val="20"/>
                <w:color w:val="auto"/>
              </w:rPr>
            </w:pPr>
            <w:r>
              <w:rPr>
                <w:rFonts w:ascii="Arial" w:cs="Arial" w:eastAsia="Arial" w:hAnsi="Arial"/>
                <w:sz w:val="16"/>
                <w:szCs w:val="16"/>
                <w:color w:val="auto"/>
              </w:rPr>
              <w:t>New York, New York 10055</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5,958,000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11.59%</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Lafitte Capital Management 707 Brazos Street,</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Suite 310 Austin, Texas 78701</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4,400,000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Dimensional Fund Advisors</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3300" w:type="dxa"/>
            <w:vAlign w:val="bottom"/>
          </w:tcPr>
          <w:p>
            <w:pPr>
              <w:ind w:left="200"/>
              <w:spacing w:after="0"/>
              <w:rPr>
                <w:sz w:val="20"/>
                <w:szCs w:val="20"/>
                <w:color w:val="auto"/>
              </w:rPr>
            </w:pPr>
            <w:r>
              <w:rPr>
                <w:rFonts w:ascii="Arial" w:cs="Arial" w:eastAsia="Arial" w:hAnsi="Arial"/>
                <w:sz w:val="16"/>
                <w:szCs w:val="16"/>
                <w:color w:val="auto"/>
              </w:rPr>
              <w:t>6300 Bee Cave Road, Building One</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3300" w:type="dxa"/>
            <w:vAlign w:val="bottom"/>
          </w:tcPr>
          <w:p>
            <w:pPr>
              <w:ind w:left="180"/>
              <w:spacing w:after="0"/>
              <w:rPr>
                <w:sz w:val="20"/>
                <w:szCs w:val="20"/>
                <w:color w:val="auto"/>
              </w:rPr>
            </w:pPr>
            <w:r>
              <w:rPr>
                <w:rFonts w:ascii="Arial" w:cs="Arial" w:eastAsia="Arial" w:hAnsi="Arial"/>
                <w:sz w:val="16"/>
                <w:szCs w:val="16"/>
                <w:color w:val="auto"/>
              </w:rPr>
              <w:t>Austin, Texas 78746</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4,309,470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(d)</w:t>
            </w:r>
          </w:p>
        </w:tc>
        <w:tc>
          <w:tcPr>
            <w:tcW w:w="840" w:type="dxa"/>
            <w:vAlign w:val="bottom"/>
          </w:tcPr>
          <w:p>
            <w:pPr>
              <w:jc w:val="right"/>
              <w:spacing w:after="0"/>
              <w:rPr>
                <w:sz w:val="20"/>
                <w:szCs w:val="20"/>
                <w:color w:val="auto"/>
              </w:rPr>
            </w:pPr>
            <w:r>
              <w:rPr>
                <w:rFonts w:ascii="Arial" w:cs="Arial" w:eastAsia="Arial" w:hAnsi="Arial"/>
                <w:sz w:val="16"/>
                <w:szCs w:val="16"/>
                <w:color w:val="auto"/>
              </w:rPr>
              <w:t>8.38%</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Vanguard Group, Inc.</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100 Vanguard Blvd.</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9"/>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Malvern, Pennsylvania 19355</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3,668,171</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Rovida Advisory Services, LLC</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3300" w:type="dxa"/>
            <w:vAlign w:val="bottom"/>
          </w:tcPr>
          <w:p>
            <w:pPr>
              <w:ind w:left="160"/>
              <w:spacing w:after="0"/>
              <w:rPr>
                <w:sz w:val="20"/>
                <w:szCs w:val="20"/>
                <w:color w:val="auto"/>
              </w:rPr>
            </w:pPr>
            <w:r>
              <w:rPr>
                <w:rFonts w:ascii="Arial" w:cs="Arial" w:eastAsia="Arial" w:hAnsi="Arial"/>
                <w:sz w:val="16"/>
                <w:szCs w:val="16"/>
                <w:color w:val="auto"/>
              </w:rPr>
              <w:t>One Gateway Ctr., #2530</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3300" w:type="dxa"/>
            <w:vAlign w:val="bottom"/>
          </w:tcPr>
          <w:p>
            <w:pPr>
              <w:ind w:left="160"/>
              <w:spacing w:after="0"/>
              <w:rPr>
                <w:sz w:val="20"/>
                <w:szCs w:val="20"/>
                <w:color w:val="auto"/>
              </w:rPr>
            </w:pPr>
            <w:r>
              <w:rPr>
                <w:rFonts w:ascii="Arial" w:cs="Arial" w:eastAsia="Arial" w:hAnsi="Arial"/>
                <w:sz w:val="16"/>
                <w:szCs w:val="16"/>
                <w:color w:val="auto"/>
              </w:rPr>
              <w:t>Newark, New Jersey 07102</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3,175,000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(e)</w:t>
            </w:r>
          </w:p>
        </w:tc>
        <w:tc>
          <w:tcPr>
            <w:tcW w:w="840" w:type="dxa"/>
            <w:vAlign w:val="bottom"/>
          </w:tcPr>
          <w:p>
            <w:pPr>
              <w:jc w:val="right"/>
              <w:spacing w:after="0"/>
              <w:rPr>
                <w:sz w:val="20"/>
                <w:szCs w:val="20"/>
                <w:color w:val="auto"/>
              </w:rPr>
            </w:pPr>
            <w:r>
              <w:rPr>
                <w:rFonts w:ascii="Arial" w:cs="Arial" w:eastAsia="Arial" w:hAnsi="Arial"/>
                <w:sz w:val="16"/>
                <w:szCs w:val="16"/>
                <w:color w:val="auto"/>
              </w:rPr>
              <w:t>6.17%</w:t>
            </w: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Matthew W. Appel</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47,250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(f)</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Santiago Creel Miranda</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59,250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(f)</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Peter Cumins</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49,250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(f)</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Lachlan P. Given</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129,487</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(g)</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Stuart I. Grimshaw</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172,650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(h)</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Pablo Lagos Espinosa</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76,950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(f)</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Thomas C. Roberts</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91,950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(f)</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Joseph L. Rotunda</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748,505</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(i)</w:t>
            </w:r>
          </w:p>
        </w:tc>
        <w:tc>
          <w:tcPr>
            <w:tcW w:w="840" w:type="dxa"/>
            <w:vAlign w:val="bottom"/>
          </w:tcPr>
          <w:p>
            <w:pPr>
              <w:jc w:val="right"/>
              <w:spacing w:after="0"/>
              <w:rPr>
                <w:sz w:val="20"/>
                <w:szCs w:val="20"/>
                <w:color w:val="auto"/>
              </w:rPr>
            </w:pPr>
            <w:r>
              <w:rPr>
                <w:rFonts w:ascii="Arial" w:cs="Arial" w:eastAsia="Arial" w:hAnsi="Arial"/>
                <w:sz w:val="16"/>
                <w:szCs w:val="16"/>
                <w:color w:val="auto"/>
              </w:rPr>
              <w:t>1.46%</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Thomas H. Welch, Jr.</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50,005</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(j)</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w w:val="97"/>
              </w:rPr>
              <w:t>Directors and executive officers as a group (14</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3300" w:type="dxa"/>
            <w:vAlign w:val="bottom"/>
          </w:tcPr>
          <w:p>
            <w:pPr>
              <w:ind w:left="40"/>
              <w:spacing w:after="0"/>
              <w:rPr>
                <w:sz w:val="20"/>
                <w:szCs w:val="20"/>
                <w:color w:val="auto"/>
              </w:rPr>
            </w:pPr>
            <w:r>
              <w:rPr>
                <w:rFonts w:ascii="Arial" w:cs="Arial" w:eastAsia="Arial" w:hAnsi="Arial"/>
                <w:sz w:val="16"/>
                <w:szCs w:val="16"/>
                <w:color w:val="auto"/>
              </w:rPr>
              <w:t>persons)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1,453,245</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(k)</w:t>
            </w:r>
          </w:p>
        </w:tc>
        <w:tc>
          <w:tcPr>
            <w:tcW w:w="840" w:type="dxa"/>
            <w:vAlign w:val="bottom"/>
          </w:tcPr>
          <w:p>
            <w:pPr>
              <w:jc w:val="right"/>
              <w:spacing w:after="0"/>
              <w:rPr>
                <w:sz w:val="20"/>
                <w:szCs w:val="20"/>
                <w:color w:val="auto"/>
              </w:rPr>
            </w:pPr>
            <w:r>
              <w:rPr>
                <w:rFonts w:ascii="Arial" w:cs="Arial" w:eastAsia="Arial" w:hAnsi="Arial"/>
                <w:sz w:val="16"/>
                <w:szCs w:val="16"/>
                <w:color w:val="auto"/>
              </w:rPr>
              <w:t>2.83%</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bl>
    <w:p>
      <w:pPr>
        <w:spacing w:after="0" w:line="68" w:lineRule="exact"/>
        <w:rPr>
          <w:sz w:val="20"/>
          <w:szCs w:val="20"/>
          <w:color w:val="auto"/>
        </w:rPr>
      </w:pPr>
    </w:p>
    <w:p>
      <w:pPr>
        <w:ind w:left="340" w:right="20" w:hanging="332"/>
        <w:spacing w:after="0" w:line="273"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number of shares and percentage reflect Class A Common Stock, inclusive of Class B Common Stock, shares of which are convertible to Class A Common Stock on a one-to-one basis.</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As of June 30, 2017. Based on the Form 13F filed in August 2017.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As of September 30, 2017. Based on the Form 13F filed November 13, 2017.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As of September 30, 2017. Based on the Form 13F filed November 9, 2017.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Does not include 7,250 shares of unvested restricted stock.</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Does not include 150,000 shares of unvested restricted stock or 178,619 unvested restricted stock units (each of which represents the right to receive one share upon vesting).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Does not include 200,000 other shares of unvested restricted stock or 595,397 unvested restricted stock units (each of which represents the right to receive one share upon vesting).</w:t>
      </w:r>
    </w:p>
    <w:p>
      <w:pPr>
        <w:spacing w:after="0" w:line="66" w:lineRule="exact"/>
        <w:rPr>
          <w:rFonts w:ascii="Arial" w:cs="Arial" w:eastAsia="Arial" w:hAnsi="Arial"/>
          <w:sz w:val="13"/>
          <w:szCs w:val="13"/>
          <w:color w:val="auto"/>
        </w:rPr>
      </w:pPr>
    </w:p>
    <w:p>
      <w:pPr>
        <w:ind w:left="340" w:right="320" w:hanging="332"/>
        <w:spacing w:after="0" w:line="273"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Includes 1,865 shares held through the Company’s 401(k) retirement savings plan and 4,940 shares of unvested restricted stock expected to vest within 60 days, but does not include 9,880 other shares of unvested restricted stock or 150,172 unvested restricted stock units (each of which represents the right to receive one share upon vesting).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340" w:right="20" w:hanging="332"/>
        <w:spacing w:after="0" w:line="273"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Includes 433 shares held through the Company’s 401(k) retirement savings plan and 8,000 shares of unvested restricted stock expected to vest within 60 days, but does not include 16,000 other shares of unvested restricted stock or 103,522 unvested restricted stock units (each of which represents the right to receive one share upon vesting).</w:t>
      </w:r>
    </w:p>
    <w:p>
      <w:pPr>
        <w:spacing w:after="0" w:line="11" w:lineRule="exact"/>
        <w:rPr>
          <w:rFonts w:ascii="Arial" w:cs="Arial" w:eastAsia="Arial" w:hAnsi="Arial"/>
          <w:sz w:val="14"/>
          <w:szCs w:val="14"/>
          <w:color w:val="auto"/>
        </w:rPr>
      </w:pPr>
    </w:p>
    <w:p>
      <w:pPr>
        <w:ind w:left="340" w:right="100" w:hanging="332"/>
        <w:spacing w:after="0" w:line="257"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Group includes those persons who were serving as directors and executive officers on November 1, 2017. Number shown includes 2,298 shares held through the Company’s 401(k) retirement savings plan and 23,106 shares of unvested restricted stock expected to vest within 60 days, but does not include 37,880 other shares of unvested restricted stock or 1,733,973 unvested restricted stock units (each of which represents the right to receive one share upon vesting).</w:t>
      </w:r>
    </w:p>
    <w:p>
      <w:pPr>
        <w:spacing w:after="0" w:line="23"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Shares beneficially owned do not exceed one percent of Class A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 with Related Persons</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Assets from Cash Solution Centers, LLC</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August 14, 2017, we completed an acquisition of assets from Cash Solution Centers, LLC ("CSC"). The assets had been used by CSC in the operation of two pawn stores located in Central Texas. The aggregate purchase price was $700,329 and was paid in cash. Daniel M. Chism, who was appointed Chief Financial Officer of the Company effective May 9, 2017, was the owner of a 28% interest in CSC and, as such, had a personal interest in the transaction valued at $196,092. The terms of this transaction were reviewed and approved by the Audit Committee pursuant to the Company's Policy for Review and Evaluation of Related Party Transactions, and the execution and performance of the related Asset Purchase Agreement was approved by the full Board of Directors. Following completion of this transaction, Mr. Chism does not own any interest in any pawn-related businesses outside of his interest in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has evaluated all relationships between each director and the Company and has made the following determinations with respect to each director’s independence: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gridSpan w:val="2"/>
          </w:tcPr>
          <w:p>
            <w:pPr>
              <w:ind w:left="40"/>
              <w:spacing w:after="0"/>
              <w:rPr>
                <w:sz w:val="20"/>
                <w:szCs w:val="20"/>
                <w:color w:val="auto"/>
              </w:rPr>
            </w:pPr>
            <w:r>
              <w:rPr>
                <w:rFonts w:ascii="Arial" w:cs="Arial" w:eastAsia="Arial" w:hAnsi="Arial"/>
                <w:sz w:val="14"/>
                <w:szCs w:val="14"/>
                <w:b w:val="1"/>
                <w:bCs w:val="1"/>
                <w:color w:val="auto"/>
              </w:rPr>
              <w:t>Director</w:t>
            </w:r>
          </w:p>
        </w:tc>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Status (a)</w:t>
            </w:r>
          </w:p>
        </w:tc>
      </w:tr>
      <w:tr>
        <w:trPr>
          <w:trHeight w:val="121"/>
        </w:trPr>
        <w:tc>
          <w:tcPr>
            <w:tcW w:w="6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900" w:type="dxa"/>
            <w:vAlign w:val="bottom"/>
            <w:tcBorders>
              <w:top w:val="single" w:sz="8" w:color="auto"/>
            </w:tcBorders>
          </w:tcPr>
          <w:p>
            <w:pPr>
              <w:spacing w:after="0"/>
              <w:rPr>
                <w:sz w:val="10"/>
                <w:szCs w:val="10"/>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W. Appel</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Santiago Creel Miranda</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Cumins</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(b)</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Lachlan P. Given</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(c)</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Stuart I. Grimshaw</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(c)</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C. Roberts</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(c)</w:t>
            </w:r>
          </w:p>
        </w:tc>
      </w:tr>
    </w:tbl>
    <w:p>
      <w:pPr>
        <w:spacing w:after="0" w:line="125" w:lineRule="exact"/>
        <w:rPr>
          <w:sz w:val="20"/>
          <w:szCs w:val="20"/>
          <w:color w:val="auto"/>
        </w:rPr>
      </w:pPr>
    </w:p>
    <w:p>
      <w:pPr>
        <w:ind w:left="340" w:right="260" w:hanging="332"/>
        <w:spacing w:after="0" w:line="25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spacing w:after="0" w:line="79" w:lineRule="exact"/>
        <w:rPr>
          <w:rFonts w:ascii="Arial" w:cs="Arial" w:eastAsia="Arial" w:hAnsi="Arial"/>
          <w:sz w:val="16"/>
          <w:szCs w:val="16"/>
          <w:color w:val="auto"/>
        </w:rPr>
      </w:pPr>
    </w:p>
    <w:p>
      <w:pPr>
        <w:ind w:left="340" w:right="240" w:hanging="332"/>
        <w:spacing w:after="0" w:line="261"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Mr. Cumins is the Executive Vice Chairman and a member of the board of directors of Cash Converters International Limited. Mr. Grimshaw serves as the chairman of the board of directors of Cash Converters International, and Mr. Given also serves on the board of directors. Because of this relationship, The Board does not treat Mr. Cumins as an independent director, even though he might qualify as such under the Nasdaq Listing Rules.</w:t>
      </w:r>
    </w:p>
    <w:p>
      <w:pPr>
        <w:spacing w:after="0" w:line="75" w:lineRule="exact"/>
        <w:rPr>
          <w:rFonts w:ascii="Arial" w:cs="Arial" w:eastAsia="Arial" w:hAnsi="Arial"/>
          <w:sz w:val="16"/>
          <w:szCs w:val="16"/>
          <w:color w:val="auto"/>
        </w:rPr>
      </w:pPr>
    </w:p>
    <w:p>
      <w:pPr>
        <w:ind w:left="340" w:right="380" w:hanging="332"/>
        <w:spacing w:after="0" w:line="275"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Mr. Grimshaw, Mr. Given and Mr. Rotunda are executive officers and, therefore, are not independent in accordance with the standards set forth in the Nasdaq Listing Rules.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The Company has elected to apply the “Controlled Company” exemption to the Nasdaq requirement that a majority of the directors be considered independent under the standards set forth in the Nasdaq Listing Rules. See “Part III, Item 10 — Directors, Executive Officers and Corporate Governance — Corporate Governance — Controlled Company Exemptions.”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all fees we incurred in connection with professional services provided by BDO USA, LLP for fiscal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121"/>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Audit of financial statements and audit pursuant to section 404 of the Sarbanes-Oxley Act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1,247,169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1,518,547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Quarterly reviews and other audit fees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107,700</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Total audit fees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1,353,064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1,626,247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related fees (a)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Tax fees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fees for services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1,430,822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1,638,247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right="80" w:hanging="332"/>
        <w:spacing w:after="0" w:line="273"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Audit related fees consist primarily of (1) fees incurred in connection with the restatement of previously issued financial statements, including tax revisions in fiscal 2016 and (2) fees incurred in connection with our registration statements on Forms S-3, S-4 and S-8.</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amounts shown for fiscal 2017 include our current estimated costs for the fiscal 2017 integrated audit, for which we have not yet received final billings.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amounts shown for fiscal 2016 include an additional $184,300 of fees that were billed beyond our initial estimates for fiscal 2016 after we filed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 September 30, 2016.</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Audit Committee has adopted a policy requiring its pre-approval of all fees to be paid to our independent audit firm, regardless of the type of service. All non-audit services were reviewed with the Audit Committee, which concluded that the provision of such services by BDO USA, LLP was compatible with the maintenance of that firm’s independence in the conduct of its auditing functions.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161" w:lineRule="exact"/>
        <w:rPr>
          <w:sz w:val="20"/>
          <w:szCs w:val="20"/>
          <w:color w:val="auto"/>
        </w:rPr>
      </w:pPr>
    </w:p>
    <w:p>
      <w:pPr>
        <w:ind w:right="5340"/>
        <w:spacing w:after="0" w:line="438" w:lineRule="auto"/>
        <w:rPr>
          <w:sz w:val="20"/>
          <w:szCs w:val="20"/>
          <w:color w:val="auto"/>
        </w:rPr>
      </w:pPr>
      <w:r>
        <w:rPr>
          <w:rFonts w:ascii="Arial" w:cs="Arial" w:eastAsia="Arial" w:hAnsi="Arial"/>
          <w:sz w:val="18"/>
          <w:szCs w:val="18"/>
          <w:b w:val="1"/>
          <w:bCs w:val="1"/>
          <w:color w:val="auto"/>
        </w:rPr>
        <w:t xml:space="preserve">ITEM 15 — EXHIBITS AND FINANCIAL STATEMENT SCHEDULES </w:t>
      </w:r>
      <w:r>
        <w:rPr>
          <w:rFonts w:ascii="Arial" w:cs="Arial" w:eastAsia="Arial" w:hAnsi="Arial"/>
          <w:sz w:val="18"/>
          <w:szCs w:val="18"/>
          <w:color w:val="auto"/>
        </w:rPr>
        <w:t>(a) The following documents are filed as a part of this 10-K: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EZCORP, Inc. are included in “Part II — Item 8 — Financial Statements and Supplementary Data”:</w:t>
      </w:r>
    </w:p>
    <w:p>
      <w:pPr>
        <w:spacing w:after="0" w:line="194" w:lineRule="exact"/>
        <w:rPr>
          <w:sz w:val="20"/>
          <w:szCs w:val="20"/>
          <w:color w:val="auto"/>
        </w:rPr>
      </w:pPr>
    </w:p>
    <w:p>
      <w:pPr>
        <w:ind w:left="660" w:hanging="328"/>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(2017 and 2016) — BDO USA,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Consolidated Balance Sheets as of September 30, 2017 and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Consolidated Statements of Operations for each of the three years in the period ended September 30,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each of the three years in the period ended September 30,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September 30,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each of the three years in the period ended September 30,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67" w:lineRule="exact"/>
        <w:rPr>
          <w:rFonts w:ascii="Arial" w:cs="Arial" w:eastAsia="Arial" w:hAnsi="Arial"/>
          <w:sz w:val="18"/>
          <w:szCs w:val="18"/>
          <w:color w:val="auto"/>
        </w:rPr>
      </w:pPr>
    </w:p>
    <w:p>
      <w:pPr>
        <w:ind w:left="260" w:hanging="252"/>
        <w:spacing w:after="0"/>
        <w:tabs>
          <w:tab w:leader="none" w:pos="2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 schedules are omitted because they are not required or are not applicable, or the required information is provided in the consolidated financial statements or notes described in Item 15(a)(1) above.</w:t>
      </w:r>
    </w:p>
    <w:p>
      <w:pPr>
        <w:spacing w:after="0" w:line="1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80"/>
          </w:cols>
          <w:pgMar w:left="240" w:top="125" w:right="67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20" w:type="dxa"/>
            <w:vAlign w:val="bottom"/>
            <w:gridSpan w:val="5"/>
          </w:tcPr>
          <w:p>
            <w:pPr>
              <w:ind w:left="40"/>
              <w:spacing w:after="0"/>
              <w:rPr>
                <w:sz w:val="20"/>
                <w:szCs w:val="20"/>
                <w:color w:val="auto"/>
              </w:rPr>
            </w:pPr>
            <w:r>
              <w:rPr>
                <w:rFonts w:ascii="Arial" w:cs="Arial" w:eastAsia="Arial" w:hAnsi="Arial"/>
                <w:sz w:val="14"/>
                <w:szCs w:val="14"/>
                <w:b w:val="1"/>
                <w:bCs w:val="1"/>
                <w:color w:val="auto"/>
              </w:rPr>
              <w:t>Exhibit No.</w:t>
            </w:r>
          </w:p>
        </w:tc>
        <w:tc>
          <w:tcPr>
            <w:tcW w:w="9900" w:type="dxa"/>
            <w:vAlign w:val="bottom"/>
            <w:gridSpan w:val="35"/>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21"/>
        </w:trPr>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0" w:type="dxa"/>
            <w:vAlign w:val="bottom"/>
            <w:tcBorders>
              <w:bottom w:val="single" w:sz="8" w:color="CCEEFF"/>
              <w:right w:val="single" w:sz="8" w:color="CCEEFF"/>
            </w:tcBorders>
            <w:vMerge w:val="restart"/>
            <w:shd w:val="clear" w:color="auto" w:fill="CCEEFF"/>
          </w:tcPr>
          <w:p>
            <w:pPr>
              <w:spacing w:after="0"/>
              <w:rPr>
                <w:sz w:val="17"/>
                <w:szCs w:val="17"/>
                <w:color w:val="auto"/>
              </w:rPr>
            </w:pPr>
          </w:p>
        </w:tc>
        <w:tc>
          <w:tcPr>
            <w:tcW w:w="220" w:type="dxa"/>
            <w:vAlign w:val="bottom"/>
            <w:tcBorders>
              <w:bottom w:val="single" w:sz="8" w:color="0000FF"/>
            </w:tcBorders>
            <w:shd w:val="clear" w:color="auto" w:fill="CCEEFF"/>
          </w:tcPr>
          <w:p>
            <w:pPr>
              <w:jc w:val="center"/>
              <w:spacing w:after="0" w:line="182" w:lineRule="exact"/>
              <w:rPr>
                <w:rFonts w:ascii="Arial" w:cs="Arial" w:eastAsia="Arial" w:hAnsi="Arial"/>
                <w:sz w:val="18"/>
                <w:szCs w:val="18"/>
                <w:color w:val="0000FF"/>
                <w:w w:val="87"/>
              </w:rPr>
            </w:pPr>
            <w:hyperlink r:id="rId33">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100" w:type="dxa"/>
            <w:vAlign w:val="bottom"/>
            <w:tcBorders>
              <w:left w:val="single" w:sz="8" w:color="CCEEFF"/>
              <w:bottom w:val="single" w:sz="8" w:color="CCEEFF"/>
            </w:tcBorders>
            <w:vMerge w:val="restart"/>
            <w:shd w:val="clear" w:color="auto" w:fill="CCEEFF"/>
          </w:tcPr>
          <w:p>
            <w:pPr>
              <w:spacing w:after="0"/>
              <w:rPr>
                <w:sz w:val="17"/>
                <w:szCs w:val="17"/>
                <w:color w:val="auto"/>
              </w:rPr>
            </w:pPr>
          </w:p>
        </w:tc>
        <w:tc>
          <w:tcPr>
            <w:tcW w:w="480" w:type="dxa"/>
            <w:vAlign w:val="bottom"/>
            <w:tcBorders>
              <w:bottom w:val="single" w:sz="8" w:color="CCEEFF"/>
            </w:tcBorders>
            <w:vMerge w:val="restart"/>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160" w:type="dxa"/>
            <w:vAlign w:val="bottom"/>
            <w:tcBorders>
              <w:bottom w:val="single" w:sz="8" w:color="CCEEFF"/>
            </w:tcBorders>
            <w:gridSpan w:val="14"/>
            <w:vMerge w:val="restart"/>
            <w:shd w:val="clear" w:color="auto" w:fill="CCEEFF"/>
          </w:tcPr>
          <w:p>
            <w:pPr>
              <w:spacing w:after="0"/>
              <w:rPr>
                <w:rFonts w:ascii="Arial" w:cs="Arial" w:eastAsia="Arial" w:hAnsi="Arial"/>
                <w:sz w:val="18"/>
                <w:szCs w:val="18"/>
                <w:color w:val="0000FF"/>
                <w:w w:val="89"/>
              </w:rPr>
            </w:pPr>
            <w:hyperlink r:id="rId33">
              <w:r>
                <w:rPr>
                  <w:rFonts w:ascii="Arial" w:cs="Arial" w:eastAsia="Arial" w:hAnsi="Arial"/>
                  <w:sz w:val="18"/>
                  <w:szCs w:val="18"/>
                  <w:color w:val="0000FF"/>
                  <w:w w:val="89"/>
                </w:rPr>
                <w:t>Purchase Agreement, dated as of July 1, 2016, among Prestaciones Finmart, S.A.P.I. de C.V., SOFOM, E.N.R., Change Capital</w:t>
              </w:r>
            </w:hyperlink>
          </w:p>
        </w:tc>
        <w:tc>
          <w:tcPr>
            <w:tcW w:w="740" w:type="dxa"/>
            <w:vAlign w:val="bottom"/>
            <w:tcBorders>
              <w:bottom w:val="single" w:sz="8" w:color="CCEEFF"/>
            </w:tcBorders>
            <w:gridSpan w:val="21"/>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right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vMerge w:val="continue"/>
            <w:shd w:val="clear" w:color="auto" w:fill="CCEEFF"/>
          </w:tcPr>
          <w:p>
            <w:pPr>
              <w:spacing w:after="0"/>
              <w:rPr>
                <w:sz w:val="2"/>
                <w:szCs w:val="2"/>
                <w:color w:val="auto"/>
              </w:rPr>
            </w:pPr>
          </w:p>
        </w:tc>
        <w:tc>
          <w:tcPr>
            <w:tcW w:w="48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right w:val="single" w:sz="8" w:color="CCEEFF"/>
            </w:tcBorders>
            <w:shd w:val="clear" w:color="auto" w:fill="CCEEFF"/>
          </w:tcPr>
          <w:p>
            <w:pPr>
              <w:spacing w:after="0"/>
              <w:rPr>
                <w:sz w:val="2"/>
                <w:szCs w:val="2"/>
                <w:color w:val="auto"/>
              </w:rPr>
            </w:pPr>
          </w:p>
        </w:tc>
        <w:tc>
          <w:tcPr>
            <w:tcW w:w="9160" w:type="dxa"/>
            <w:vAlign w:val="bottom"/>
            <w:tcBorders>
              <w:bottom w:val="single" w:sz="8" w:color="0000FF"/>
            </w:tcBorders>
            <w:gridSpan w:val="14"/>
            <w:vMerge w:val="continue"/>
            <w:shd w:val="clear" w:color="auto" w:fill="CCEEFF"/>
          </w:tcPr>
          <w:p>
            <w:pPr>
              <w:spacing w:after="0"/>
              <w:rPr>
                <w:sz w:val="2"/>
                <w:szCs w:val="2"/>
                <w:color w:val="auto"/>
              </w:rPr>
            </w:pPr>
          </w:p>
        </w:tc>
        <w:tc>
          <w:tcPr>
            <w:tcW w:w="740" w:type="dxa"/>
            <w:vAlign w:val="bottom"/>
            <w:tcBorders>
              <w:bottom w:val="single" w:sz="8" w:color="CCEEFF"/>
            </w:tcBorders>
            <w:gridSpan w:val="21"/>
            <w:vMerge w:val="continue"/>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34"/>
            <w:shd w:val="clear" w:color="auto" w:fill="CCEEFF"/>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International Holdings, B.V., Alpha Holding, S.A. de C.V., Clarum Capital, L.P. and EZCORP, Inc. (incorporated by reference to Exhibit</w:t>
              </w:r>
            </w:hyperlink>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35"/>
            <w:shd w:val="clear" w:color="auto" w:fill="CCEEFF"/>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dated July 6, 2016, Commission File No. 0-19424)</w:t>
              </w:r>
            </w:hyperlink>
          </w:p>
        </w:tc>
        <w:tc>
          <w:tcPr>
            <w:tcW w:w="0" w:type="dxa"/>
            <w:vAlign w:val="bottom"/>
          </w:tcPr>
          <w:p>
            <w:pPr>
              <w:spacing w:after="0"/>
              <w:rPr>
                <w:sz w:val="1"/>
                <w:szCs w:val="1"/>
                <w:color w:val="auto"/>
              </w:rPr>
            </w:pPr>
          </w:p>
        </w:tc>
      </w:tr>
      <w:tr>
        <w:trPr>
          <w:trHeight w:val="48"/>
        </w:trPr>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20" w:type="dxa"/>
            <w:vAlign w:val="bottom"/>
          </w:tcPr>
          <w:p>
            <w:pPr>
              <w:jc w:val="center"/>
              <w:spacing w:after="0" w:line="202" w:lineRule="exact"/>
              <w:rPr>
                <w:rFonts w:ascii="Arial" w:cs="Arial" w:eastAsia="Arial" w:hAnsi="Arial"/>
                <w:sz w:val="18"/>
                <w:szCs w:val="18"/>
                <w:color w:val="0000FF"/>
                <w:w w:val="87"/>
              </w:rPr>
            </w:pPr>
            <w:hyperlink r:id="rId34">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35"/>
          </w:tcPr>
          <w:p>
            <w:pPr>
              <w:spacing w:after="0" w:line="202"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Amendment No. 2 to Purchase Agreement, dated September 27, 2017, among EZCORP, Inc.; Change Capital International Holdings,</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B.V.; and Alpha Holding, S.A. de C.V. (incorporated by reference to Exhibit 2.1 to the Company’s Current Report on Form 8-K dated</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October 3, 2017, Commission File No. 0-19424)</w:t>
              </w:r>
            </w:hyperlink>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80" w:type="dxa"/>
            <w:vAlign w:val="bottom"/>
            <w:tcBorders>
              <w:bottom w:val="single" w:sz="8" w:color="CCEEFF"/>
              <w:right w:val="single" w:sz="8" w:color="CCEEFF"/>
            </w:tcBorders>
            <w:vMerge w:val="restart"/>
            <w:shd w:val="clear" w:color="auto" w:fill="CCEEFF"/>
          </w:tcPr>
          <w:p>
            <w:pPr>
              <w:spacing w:after="0"/>
              <w:rPr>
                <w:sz w:val="17"/>
                <w:szCs w:val="17"/>
                <w:color w:val="auto"/>
              </w:rPr>
            </w:pPr>
          </w:p>
        </w:tc>
        <w:tc>
          <w:tcPr>
            <w:tcW w:w="220" w:type="dxa"/>
            <w:vAlign w:val="bottom"/>
            <w:tcBorders>
              <w:bottom w:val="single" w:sz="8" w:color="0000FF"/>
            </w:tcBorders>
            <w:shd w:val="clear" w:color="auto" w:fill="CCEEFF"/>
          </w:tcPr>
          <w:p>
            <w:pPr>
              <w:jc w:val="center"/>
              <w:spacing w:after="0" w:line="182" w:lineRule="exact"/>
              <w:rPr>
                <w:rFonts w:ascii="Arial" w:cs="Arial" w:eastAsia="Arial" w:hAnsi="Arial"/>
                <w:sz w:val="18"/>
                <w:szCs w:val="18"/>
                <w:color w:val="0000FF"/>
                <w:w w:val="87"/>
              </w:rPr>
            </w:pPr>
            <w:hyperlink r:id="rId35">
              <w:r>
                <w:rPr>
                  <w:rFonts w:ascii="Arial" w:cs="Arial" w:eastAsia="Arial" w:hAnsi="Arial"/>
                  <w:sz w:val="18"/>
                  <w:szCs w:val="18"/>
                  <w:color w:val="0000FF"/>
                  <w:w w:val="87"/>
                </w:rPr>
                <w:t>2.</w:t>
              </w:r>
              <w:r>
                <w:rPr>
                  <w:rFonts w:ascii="Arial" w:cs="Arial" w:eastAsia="Arial" w:hAnsi="Arial"/>
                  <w:sz w:val="18"/>
                  <w:szCs w:val="18"/>
                  <w:u w:val="single" w:color="auto"/>
                  <w:color w:val="0000FF"/>
                  <w:w w:val="87"/>
                </w:rPr>
                <w:t>3</w:t>
              </w:r>
            </w:hyperlink>
          </w:p>
        </w:tc>
        <w:tc>
          <w:tcPr>
            <w:tcW w:w="100" w:type="dxa"/>
            <w:vAlign w:val="bottom"/>
            <w:tcBorders>
              <w:left w:val="single" w:sz="8" w:color="CCEEFF"/>
              <w:bottom w:val="single" w:sz="8" w:color="CCEEFF"/>
            </w:tcBorders>
            <w:vMerge w:val="restart"/>
            <w:shd w:val="clear" w:color="auto" w:fill="CCEEFF"/>
          </w:tcPr>
          <w:p>
            <w:pPr>
              <w:spacing w:after="0"/>
              <w:rPr>
                <w:sz w:val="17"/>
                <w:szCs w:val="17"/>
                <w:color w:val="auto"/>
              </w:rPr>
            </w:pPr>
          </w:p>
        </w:tc>
        <w:tc>
          <w:tcPr>
            <w:tcW w:w="480" w:type="dxa"/>
            <w:vAlign w:val="bottom"/>
            <w:tcBorders>
              <w:bottom w:val="single" w:sz="8" w:color="CCEEFF"/>
            </w:tcBorders>
            <w:vMerge w:val="restart"/>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380" w:type="dxa"/>
            <w:vAlign w:val="bottom"/>
            <w:tcBorders>
              <w:bottom w:val="single" w:sz="8" w:color="CCEEFF"/>
            </w:tcBorders>
            <w:gridSpan w:val="20"/>
            <w:vMerge w:val="restart"/>
            <w:shd w:val="clear" w:color="auto" w:fill="CCEEFF"/>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Share Purchase Agreement, dated October 4, 2017, by and between EZCORP International Inc. and Black Icebreaker Corporation</w:t>
              </w:r>
            </w:hyperlink>
          </w:p>
        </w:tc>
        <w:tc>
          <w:tcPr>
            <w:tcW w:w="520" w:type="dxa"/>
            <w:vAlign w:val="bottom"/>
            <w:tcBorders>
              <w:bottom w:val="single" w:sz="8" w:color="CCEEFF"/>
            </w:tcBorders>
            <w:gridSpan w:val="15"/>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right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vMerge w:val="continue"/>
            <w:shd w:val="clear" w:color="auto" w:fill="CCEEFF"/>
          </w:tcPr>
          <w:p>
            <w:pPr>
              <w:spacing w:after="0"/>
              <w:rPr>
                <w:sz w:val="2"/>
                <w:szCs w:val="2"/>
                <w:color w:val="auto"/>
              </w:rPr>
            </w:pPr>
          </w:p>
        </w:tc>
        <w:tc>
          <w:tcPr>
            <w:tcW w:w="48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right w:val="single" w:sz="8" w:color="CCEEFF"/>
            </w:tcBorders>
            <w:shd w:val="clear" w:color="auto" w:fill="CCEEFF"/>
          </w:tcPr>
          <w:p>
            <w:pPr>
              <w:spacing w:after="0"/>
              <w:rPr>
                <w:sz w:val="2"/>
                <w:szCs w:val="2"/>
                <w:color w:val="auto"/>
              </w:rPr>
            </w:pPr>
          </w:p>
        </w:tc>
        <w:tc>
          <w:tcPr>
            <w:tcW w:w="9380" w:type="dxa"/>
            <w:vAlign w:val="bottom"/>
            <w:tcBorders>
              <w:bottom w:val="single" w:sz="8" w:color="0000FF"/>
            </w:tcBorders>
            <w:gridSpan w:val="20"/>
            <w:vMerge w:val="continue"/>
            <w:shd w:val="clear" w:color="auto" w:fill="CCEEFF"/>
          </w:tcPr>
          <w:p>
            <w:pPr>
              <w:spacing w:after="0"/>
              <w:rPr>
                <w:sz w:val="2"/>
                <w:szCs w:val="2"/>
                <w:color w:val="auto"/>
              </w:rPr>
            </w:pPr>
          </w:p>
        </w:tc>
        <w:tc>
          <w:tcPr>
            <w:tcW w:w="520" w:type="dxa"/>
            <w:vAlign w:val="bottom"/>
            <w:tcBorders>
              <w:bottom w:val="single" w:sz="8" w:color="CCEEFF"/>
            </w:tcBorders>
            <w:gridSpan w:val="15"/>
            <w:vMerge w:val="continue"/>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30"/>
            <w:shd w:val="clear" w:color="auto" w:fill="CCEEFF"/>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(incorporated by reference to Exhibit 2.1 to the Company’s Current Report on Form 8-K dated October 10, 2017, Commission File No.</w:t>
              </w:r>
            </w:hyperlink>
          </w:p>
        </w:tc>
        <w:tc>
          <w:tcPr>
            <w:tcW w:w="16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0-19424)</w:t>
              </w:r>
            </w:hyperlink>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80" w:type="dxa"/>
            <w:vAlign w:val="bottom"/>
            <w:vMerge w:val="restart"/>
          </w:tcPr>
          <w:p>
            <w:pPr>
              <w:spacing w:after="0"/>
              <w:rPr>
                <w:sz w:val="17"/>
                <w:szCs w:val="17"/>
                <w:color w:val="auto"/>
              </w:rPr>
            </w:pPr>
          </w:p>
        </w:tc>
        <w:tc>
          <w:tcPr>
            <w:tcW w:w="220" w:type="dxa"/>
            <w:vAlign w:val="bottom"/>
            <w:tcBorders>
              <w:bottom w:val="single" w:sz="8" w:color="0000FF"/>
            </w:tcBorders>
          </w:tcPr>
          <w:p>
            <w:pPr>
              <w:jc w:val="center"/>
              <w:spacing w:after="0" w:line="182" w:lineRule="exact"/>
              <w:rPr>
                <w:rFonts w:ascii="Arial" w:cs="Arial" w:eastAsia="Arial" w:hAnsi="Arial"/>
                <w:sz w:val="18"/>
                <w:szCs w:val="18"/>
                <w:color w:val="0000FF"/>
                <w:w w:val="87"/>
              </w:rPr>
            </w:pPr>
            <w:hyperlink r:id="rId3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0" w:type="dxa"/>
            <w:vAlign w:val="bottom"/>
            <w:vMerge w:val="restart"/>
          </w:tcPr>
          <w:p>
            <w:pPr>
              <w:spacing w:after="0"/>
              <w:rPr>
                <w:sz w:val="17"/>
                <w:szCs w:val="17"/>
                <w:color w:val="auto"/>
              </w:rPr>
            </w:pPr>
          </w:p>
        </w:tc>
        <w:tc>
          <w:tcPr>
            <w:tcW w:w="4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360" w:type="dxa"/>
            <w:vAlign w:val="bottom"/>
            <w:gridSpan w:val="19"/>
            <w:vMerge w:val="restart"/>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Amended and Restated Certificate of Incorporation (incorporated by reference to Exhibit 3.1 to the Company’s Current Report on</w:t>
              </w:r>
            </w:hyperlink>
          </w:p>
        </w:tc>
        <w:tc>
          <w:tcPr>
            <w:tcW w:w="540" w:type="dxa"/>
            <w:vAlign w:val="bottom"/>
            <w:gridSpan w:val="16"/>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9360" w:type="dxa"/>
            <w:vAlign w:val="bottom"/>
            <w:tcBorders>
              <w:bottom w:val="single" w:sz="8" w:color="0000FF"/>
            </w:tcBorders>
            <w:gridSpan w:val="19"/>
            <w:vMerge w:val="continue"/>
          </w:tcPr>
          <w:p>
            <w:pPr>
              <w:spacing w:after="0"/>
              <w:rPr>
                <w:sz w:val="2"/>
                <w:szCs w:val="2"/>
                <w:color w:val="auto"/>
              </w:rPr>
            </w:pPr>
          </w:p>
        </w:tc>
        <w:tc>
          <w:tcPr>
            <w:tcW w:w="540" w:type="dxa"/>
            <w:vAlign w:val="bottom"/>
            <w:gridSpan w:val="1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Form 8-K dated October 1, 2013, Commission File No. 0-19424)</w:t>
              </w:r>
            </w:hyperlink>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center"/>
              <w:spacing w:after="0" w:line="202" w:lineRule="exact"/>
              <w:rPr>
                <w:rFonts w:ascii="Arial" w:cs="Arial" w:eastAsia="Arial" w:hAnsi="Arial"/>
                <w:sz w:val="18"/>
                <w:szCs w:val="18"/>
                <w:color w:val="0000FF"/>
                <w:w w:val="87"/>
              </w:rPr>
            </w:pPr>
            <w:hyperlink r:id="rId3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35"/>
            <w:shd w:val="clear" w:color="auto" w:fill="CCEEFF"/>
          </w:tcPr>
          <w:p>
            <w:pPr>
              <w:spacing w:after="0" w:line="202"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Certificate of Amendment, dated March 25, 2014, to the Company’s Amended and Restated Certificate of Incorporation (incorporated</w:t>
              </w:r>
            </w:hyperlink>
          </w:p>
        </w:tc>
        <w:tc>
          <w:tcPr>
            <w:tcW w:w="0" w:type="dxa"/>
            <w:vAlign w:val="bottom"/>
          </w:tcPr>
          <w:p>
            <w:pPr>
              <w:spacing w:after="0"/>
              <w:rPr>
                <w:sz w:val="1"/>
                <w:szCs w:val="1"/>
                <w:color w:val="auto"/>
              </w:rPr>
            </w:pPr>
          </w:p>
        </w:tc>
      </w:tr>
      <w:tr>
        <w:trPr>
          <w:trHeight w:val="244"/>
        </w:trPr>
        <w:tc>
          <w:tcPr>
            <w:tcW w:w="5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420" w:type="dxa"/>
            <w:vAlign w:val="bottom"/>
            <w:tcBorders>
              <w:top w:val="single" w:sz="8" w:color="0000FF"/>
              <w:bottom w:val="single" w:sz="8" w:color="0000FF"/>
            </w:tcBorders>
            <w:gridSpan w:val="22"/>
            <w:shd w:val="clear" w:color="auto" w:fill="CCEEFF"/>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by reference to Exhibit 99.1 to the Company’s Current Report on Form 8-K dated March 25, 2014, Commission File No. 0-19424)</w:t>
              </w:r>
            </w:hyperlink>
          </w:p>
        </w:tc>
        <w:tc>
          <w:tcPr>
            <w:tcW w:w="260" w:type="dxa"/>
            <w:vAlign w:val="bottom"/>
            <w:tcBorders>
              <w:top w:val="single" w:sz="8" w:color="0000FF"/>
              <w:bottom w:val="single" w:sz="8" w:color="CCEEFF"/>
            </w:tcBorders>
            <w:gridSpan w:val="6"/>
            <w:shd w:val="clear" w:color="auto" w:fill="CCEEFF"/>
          </w:tcPr>
          <w:p>
            <w:pPr>
              <w:spacing w:after="0"/>
              <w:rPr>
                <w:sz w:val="21"/>
                <w:szCs w:val="21"/>
                <w:color w:val="auto"/>
              </w:rPr>
            </w:pPr>
          </w:p>
        </w:tc>
        <w:tc>
          <w:tcPr>
            <w:tcW w:w="220" w:type="dxa"/>
            <w:vAlign w:val="bottom"/>
            <w:tcBorders>
              <w:top w:val="single" w:sz="8" w:color="CCEEFF"/>
              <w:bottom w:val="single" w:sz="8" w:color="CCEEFF"/>
            </w:tcBorders>
            <w:gridSpan w:val="7"/>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20" w:type="dxa"/>
            <w:vAlign w:val="bottom"/>
          </w:tcPr>
          <w:p>
            <w:pPr>
              <w:jc w:val="center"/>
              <w:spacing w:after="0" w:line="202" w:lineRule="exact"/>
              <w:rPr>
                <w:rFonts w:ascii="Arial" w:cs="Arial" w:eastAsia="Arial" w:hAnsi="Arial"/>
                <w:sz w:val="18"/>
                <w:szCs w:val="18"/>
                <w:color w:val="0000FF"/>
                <w:w w:val="87"/>
              </w:rPr>
            </w:pPr>
            <w:hyperlink r:id="rId3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35"/>
          </w:tcPr>
          <w:p>
            <w:pPr>
              <w:spacing w:after="0" w:line="202"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Amended and Restated By-Laws, effective July 20, 2014 (incorporated by reference to Exhibit 3.2 to the Company’s Current Report on</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Form 8-K dated July 18, 2014, Commission File No. 0-19424)</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0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4.1</w:t>
            </w:r>
          </w:p>
        </w:tc>
        <w:tc>
          <w:tcPr>
            <w:tcW w:w="100" w:type="dxa"/>
            <w:vAlign w:val="bottom"/>
            <w:tcBorders>
              <w:lef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9900" w:type="dxa"/>
            <w:vAlign w:val="bottom"/>
            <w:gridSpan w:val="35"/>
            <w:shd w:val="clear" w:color="auto" w:fill="CCEEFF"/>
          </w:tcPr>
          <w:p>
            <w:pPr>
              <w:spacing w:after="0"/>
              <w:rPr>
                <w:sz w:val="20"/>
                <w:szCs w:val="20"/>
                <w:color w:val="auto"/>
              </w:rPr>
            </w:pPr>
            <w:r>
              <w:rPr>
                <w:rFonts w:ascii="Arial" w:cs="Arial" w:eastAsia="Arial" w:hAnsi="Arial"/>
                <w:sz w:val="18"/>
                <w:szCs w:val="18"/>
                <w:color w:val="auto"/>
                <w:w w:val="94"/>
              </w:rPr>
              <w:t>Specimen of Class A Non-voting Common Stock certificate (incorporated by reference to Exhibit 4.1 to the Company’s Registration</w:t>
            </w: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5"/>
            <w:shd w:val="clear" w:color="auto" w:fill="CCEEFF"/>
          </w:tcPr>
          <w:p>
            <w:pPr>
              <w:spacing w:after="0"/>
              <w:rPr>
                <w:sz w:val="20"/>
                <w:szCs w:val="20"/>
                <w:color w:val="auto"/>
              </w:rPr>
            </w:pPr>
            <w:r>
              <w:rPr>
                <w:rFonts w:ascii="Arial" w:cs="Arial" w:eastAsia="Arial" w:hAnsi="Arial"/>
                <w:sz w:val="18"/>
                <w:szCs w:val="18"/>
                <w:color w:val="auto"/>
              </w:rPr>
              <w:t>Statement on Form S-1 effective August 23, 1991, Commission File No. 33-41317)</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20" w:type="dxa"/>
            <w:vAlign w:val="bottom"/>
          </w:tcPr>
          <w:p>
            <w:pPr>
              <w:jc w:val="center"/>
              <w:spacing w:after="0" w:line="202" w:lineRule="exact"/>
              <w:rPr>
                <w:rFonts w:ascii="Arial" w:cs="Arial" w:eastAsia="Arial" w:hAnsi="Arial"/>
                <w:sz w:val="18"/>
                <w:szCs w:val="18"/>
                <w:color w:val="0000FF"/>
                <w:w w:val="87"/>
              </w:rPr>
            </w:pPr>
            <w:hyperlink r:id="rId3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35"/>
          </w:tcPr>
          <w:p>
            <w:pPr>
              <w:spacing w:after="0" w:line="202" w:lineRule="exact"/>
              <w:rPr>
                <w:rFonts w:ascii="Arial" w:cs="Arial" w:eastAsia="Arial" w:hAnsi="Arial"/>
                <w:sz w:val="18"/>
                <w:szCs w:val="18"/>
                <w:color w:val="0000FF"/>
                <w:w w:val="93"/>
              </w:rPr>
            </w:pPr>
            <w:hyperlink r:id="rId39">
              <w:r>
                <w:rPr>
                  <w:rFonts w:ascii="Arial" w:cs="Arial" w:eastAsia="Arial" w:hAnsi="Arial"/>
                  <w:sz w:val="18"/>
                  <w:szCs w:val="18"/>
                  <w:color w:val="0000FF"/>
                  <w:w w:val="93"/>
                </w:rPr>
                <w:t>Description of EZCORP, Inc. Class A Non-voting Common Stock (incorporated by reference to Exhibit 4.1 to the Company’s Current</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6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Report on Form 8-K dated October 1, 2013, Commission File No. 0-19424)</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center"/>
              <w:spacing w:after="0" w:line="202" w:lineRule="exact"/>
              <w:rPr>
                <w:rFonts w:ascii="Arial" w:cs="Arial" w:eastAsia="Arial" w:hAnsi="Arial"/>
                <w:sz w:val="18"/>
                <w:szCs w:val="18"/>
                <w:color w:val="0000FF"/>
                <w:w w:val="87"/>
              </w:rPr>
            </w:pPr>
            <w:hyperlink r:id="rId4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10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35"/>
            <w:shd w:val="clear" w:color="auto" w:fill="CCEEFF"/>
          </w:tcPr>
          <w:p>
            <w:pPr>
              <w:spacing w:after="0" w:line="202"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Indenture, dated June 23, 2014, between EZCORP, Inc., and Wells Fargo Bank, National Association, as trustee (incorporated by</w:t>
              </w:r>
            </w:hyperlink>
          </w:p>
        </w:tc>
        <w:tc>
          <w:tcPr>
            <w:tcW w:w="0" w:type="dxa"/>
            <w:vAlign w:val="bottom"/>
          </w:tcPr>
          <w:p>
            <w:pPr>
              <w:spacing w:after="0"/>
              <w:rPr>
                <w:sz w:val="1"/>
                <w:szCs w:val="1"/>
                <w:color w:val="auto"/>
              </w:rPr>
            </w:pPr>
          </w:p>
        </w:tc>
      </w:tr>
      <w:tr>
        <w:trPr>
          <w:trHeight w:val="244"/>
        </w:trPr>
        <w:tc>
          <w:tcPr>
            <w:tcW w:w="5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960" w:type="dxa"/>
            <w:vAlign w:val="bottom"/>
            <w:tcBorders>
              <w:top w:val="single" w:sz="8" w:color="0000FF"/>
              <w:bottom w:val="single" w:sz="8" w:color="0000FF"/>
            </w:tcBorders>
            <w:gridSpan w:val="13"/>
            <w:shd w:val="clear" w:color="auto" w:fill="CCEEFF"/>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reference to Exhibit 4.1 to the Company’s Current Report on Form 8-K dated June 17, 2014, Commission File No. 0-19424)</w:t>
              </w:r>
            </w:hyperlink>
          </w:p>
        </w:tc>
        <w:tc>
          <w:tcPr>
            <w:tcW w:w="32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620" w:type="dxa"/>
            <w:vAlign w:val="bottom"/>
            <w:tcBorders>
              <w:top w:val="single" w:sz="8" w:color="CCEEFF"/>
              <w:bottom w:val="single" w:sz="8" w:color="CCEEFF"/>
            </w:tcBorders>
            <w:gridSpan w:val="18"/>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20" w:type="dxa"/>
            <w:vAlign w:val="bottom"/>
          </w:tcPr>
          <w:p>
            <w:pPr>
              <w:jc w:val="center"/>
              <w:spacing w:after="0" w:line="202" w:lineRule="exact"/>
              <w:rPr>
                <w:rFonts w:ascii="Arial" w:cs="Arial" w:eastAsia="Arial" w:hAnsi="Arial"/>
                <w:sz w:val="18"/>
                <w:szCs w:val="18"/>
                <w:color w:val="0000FF"/>
                <w:w w:val="87"/>
              </w:rPr>
            </w:pPr>
            <w:hyperlink r:id="rId4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35"/>
          </w:tcPr>
          <w:p>
            <w:pPr>
              <w:spacing w:after="0" w:line="202" w:lineRule="exact"/>
              <w:rPr>
                <w:rFonts w:ascii="Arial" w:cs="Arial" w:eastAsia="Arial" w:hAnsi="Arial"/>
                <w:sz w:val="18"/>
                <w:szCs w:val="18"/>
                <w:color w:val="0000FF"/>
                <w:w w:val="97"/>
              </w:rPr>
            </w:pPr>
            <w:hyperlink r:id="rId41">
              <w:r>
                <w:rPr>
                  <w:rFonts w:ascii="Arial" w:cs="Arial" w:eastAsia="Arial" w:hAnsi="Arial"/>
                  <w:sz w:val="18"/>
                  <w:szCs w:val="18"/>
                  <w:color w:val="0000FF"/>
                  <w:w w:val="97"/>
                </w:rPr>
                <w:t>Indenture, dated July 5, 2017, between EZCORP, Inc., and Wells Fargo Bank, National Association, as trustee (incorporated by</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60" w:type="dxa"/>
            <w:vAlign w:val="bottom"/>
            <w:tcBorders>
              <w:top w:val="single" w:sz="8" w:color="0000FF"/>
            </w:tcBorders>
            <w:gridSpan w:val="14"/>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reference to Exhibit 4.1 to the Company’s Current Report on Form 8-K dated July 6, 2017, Commission File No. 0-19424)</w:t>
              </w:r>
            </w:hyperlink>
          </w:p>
        </w:tc>
        <w:tc>
          <w:tcPr>
            <w:tcW w:w="7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gridSpan w:val="4"/>
            <w:shd w:val="clear" w:color="auto" w:fill="CCEEFF"/>
          </w:tcPr>
          <w:p>
            <w:pPr>
              <w:jc w:val="center"/>
              <w:spacing w:after="0" w:line="202"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hyperlink>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35"/>
            <w:shd w:val="clear" w:color="auto" w:fill="CCEEFF"/>
          </w:tcPr>
          <w:p>
            <w:pPr>
              <w:spacing w:after="0" w:line="202"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EZCORP, Inc. Supplemental Executive Retirement Plan effective December 1, 2005 (incorporated by reference to Exhibit 10.94 to the</w:t>
              </w:r>
            </w:hyperlink>
          </w:p>
        </w:tc>
        <w:tc>
          <w:tcPr>
            <w:tcW w:w="0" w:type="dxa"/>
            <w:vAlign w:val="bottom"/>
          </w:tcPr>
          <w:p>
            <w:pPr>
              <w:spacing w:after="0"/>
              <w:rPr>
                <w:sz w:val="1"/>
                <w:szCs w:val="1"/>
                <w:color w:val="auto"/>
              </w:rPr>
            </w:pPr>
          </w:p>
        </w:tc>
      </w:tr>
      <w:tr>
        <w:trPr>
          <w:trHeight w:val="244"/>
        </w:trPr>
        <w:tc>
          <w:tcPr>
            <w:tcW w:w="5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left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260" w:type="dxa"/>
            <w:vAlign w:val="bottom"/>
            <w:tcBorders>
              <w:top w:val="single" w:sz="8" w:color="0000FF"/>
              <w:bottom w:val="single" w:sz="8" w:color="0000FF"/>
            </w:tcBorders>
            <w:gridSpan w:val="16"/>
            <w:shd w:val="clear" w:color="auto" w:fill="CCEEFF"/>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Company’s Current Report on Form 8-K dated November 28, 2005 and filed December 1, 2005, Commission File No. 0-19424)</w:t>
              </w:r>
            </w:hyperlink>
          </w:p>
        </w:tc>
        <w:tc>
          <w:tcPr>
            <w:tcW w:w="440" w:type="dxa"/>
            <w:vAlign w:val="bottom"/>
            <w:tcBorders>
              <w:top w:val="single" w:sz="8" w:color="0000FF"/>
              <w:bottom w:val="single" w:sz="8" w:color="CCEEFF"/>
            </w:tcBorders>
            <w:gridSpan w:val="13"/>
            <w:shd w:val="clear" w:color="auto" w:fill="CCEEFF"/>
          </w:tcPr>
          <w:p>
            <w:pPr>
              <w:spacing w:after="0"/>
              <w:rPr>
                <w:sz w:val="21"/>
                <w:szCs w:val="21"/>
                <w:color w:val="auto"/>
              </w:rPr>
            </w:pPr>
          </w:p>
        </w:tc>
        <w:tc>
          <w:tcPr>
            <w:tcW w:w="200" w:type="dxa"/>
            <w:vAlign w:val="bottom"/>
            <w:tcBorders>
              <w:top w:val="single" w:sz="8" w:color="CCEEFF"/>
              <w:bottom w:val="single" w:sz="8" w:color="CCEEFF"/>
            </w:tcBorders>
            <w:gridSpan w:val="6"/>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gridSpan w:val="4"/>
          </w:tcPr>
          <w:p>
            <w:pPr>
              <w:jc w:val="center"/>
              <w:spacing w:after="0" w:line="202"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w:t>
              </w:r>
            </w:hyperlink>
          </w:p>
        </w:tc>
        <w:tc>
          <w:tcPr>
            <w:tcW w:w="140" w:type="dxa"/>
            <w:vAlign w:val="bottom"/>
          </w:tcPr>
          <w:p>
            <w:pPr>
              <w:spacing w:after="0"/>
              <w:rPr>
                <w:sz w:val="17"/>
                <w:szCs w:val="17"/>
                <w:color w:val="auto"/>
              </w:rPr>
            </w:pPr>
          </w:p>
        </w:tc>
        <w:tc>
          <w:tcPr>
            <w:tcW w:w="9900" w:type="dxa"/>
            <w:vAlign w:val="bottom"/>
            <w:gridSpan w:val="35"/>
          </w:tcPr>
          <w:p>
            <w:pPr>
              <w:spacing w:after="0" w:line="202"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Amended and Restated EZCORP, Inc. 2010 Long-Term Incentive Plan (incorporated by reference to Exhibit 10.1 to the Company’s</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Current Report on Form 8-K dated December 21, 2016, Commission File No. 0-19424)</w:t>
              </w:r>
            </w:hyperlink>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80" w:type="dxa"/>
            <w:vAlign w:val="bottom"/>
            <w:gridSpan w:val="4"/>
            <w:shd w:val="clear" w:color="auto" w:fill="CCEEFF"/>
          </w:tcPr>
          <w:p>
            <w:pPr>
              <w:jc w:val="center"/>
              <w:spacing w:after="0" w:line="202"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hyperlink>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35"/>
            <w:shd w:val="clear" w:color="auto" w:fill="CCEEFF"/>
          </w:tcPr>
          <w:p>
            <w:pPr>
              <w:spacing w:after="0" w:line="202" w:lineRule="exact"/>
              <w:rPr>
                <w:rFonts w:ascii="Arial" w:cs="Arial" w:eastAsia="Arial" w:hAnsi="Arial"/>
                <w:sz w:val="18"/>
                <w:szCs w:val="18"/>
                <w:color w:val="0000FF"/>
                <w:w w:val="98"/>
              </w:rPr>
            </w:pPr>
            <w:hyperlink r:id="rId44">
              <w:r>
                <w:rPr>
                  <w:rFonts w:ascii="Arial" w:cs="Arial" w:eastAsia="Arial" w:hAnsi="Arial"/>
                  <w:sz w:val="18"/>
                  <w:szCs w:val="18"/>
                  <w:color w:val="0000FF"/>
                  <w:w w:val="98"/>
                </w:rPr>
                <w:t>Form of Protection of Sensitive Information, Noncompetition and Nonsolicitation Agreement between the Company and certain</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CCEE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CCEEFF"/>
            </w:tcBorders>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7"/>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00" w:type="dxa"/>
            <w:vAlign w:val="bottom"/>
            <w:tcBorders>
              <w:bottom w:val="single" w:sz="8" w:color="0000FF"/>
            </w:tcBorders>
            <w:gridSpan w:val="32"/>
            <w:shd w:val="clear" w:color="auto" w:fill="CCEEFF"/>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employees, including the executive officers (incorporated by reference to Exhibit 10.15 to the Company’s Annual Report on Form 10-K</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514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for the year ended September 30, 2010, Commission File No. 0-19424)</w:t>
              </w:r>
            </w:hyperlink>
          </w:p>
        </w:tc>
        <w:tc>
          <w:tcPr>
            <w:tcW w:w="4760" w:type="dxa"/>
            <w:vAlign w:val="bottom"/>
            <w:tcBorders>
              <w:bottom w:val="single" w:sz="8" w:color="CCEEFF"/>
            </w:tcBorders>
            <w:gridSpan w:val="28"/>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80" w:type="dxa"/>
            <w:vAlign w:val="bottom"/>
            <w:gridSpan w:val="4"/>
          </w:tcPr>
          <w:p>
            <w:pPr>
              <w:jc w:val="center"/>
              <w:spacing w:after="0" w:line="202" w:lineRule="exact"/>
              <w:rPr>
                <w:rFonts w:ascii="Arial" w:cs="Arial" w:eastAsia="Arial" w:hAnsi="Arial"/>
                <w:sz w:val="18"/>
                <w:szCs w:val="18"/>
                <w:color w:val="0000FF"/>
                <w:w w:val="95"/>
              </w:rPr>
            </w:pPr>
            <w:hyperlink r:id="rId45">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4*</w:t>
              </w:r>
            </w:hyperlink>
          </w:p>
        </w:tc>
        <w:tc>
          <w:tcPr>
            <w:tcW w:w="140" w:type="dxa"/>
            <w:vAlign w:val="bottom"/>
          </w:tcPr>
          <w:p>
            <w:pPr>
              <w:spacing w:after="0"/>
              <w:rPr>
                <w:sz w:val="17"/>
                <w:szCs w:val="17"/>
                <w:color w:val="auto"/>
              </w:rPr>
            </w:pPr>
          </w:p>
        </w:tc>
        <w:tc>
          <w:tcPr>
            <w:tcW w:w="9900" w:type="dxa"/>
            <w:vAlign w:val="bottom"/>
            <w:gridSpan w:val="35"/>
          </w:tcPr>
          <w:p>
            <w:pPr>
              <w:spacing w:after="0" w:line="202" w:lineRule="exact"/>
              <w:rPr>
                <w:rFonts w:ascii="Arial" w:cs="Arial" w:eastAsia="Arial" w:hAnsi="Arial"/>
                <w:sz w:val="18"/>
                <w:szCs w:val="18"/>
                <w:color w:val="0000FF"/>
                <w:w w:val="96"/>
              </w:rPr>
            </w:pPr>
            <w:hyperlink r:id="rId45">
              <w:r>
                <w:rPr>
                  <w:rFonts w:ascii="Arial" w:cs="Arial" w:eastAsia="Arial" w:hAnsi="Arial"/>
                  <w:sz w:val="18"/>
                  <w:szCs w:val="18"/>
                  <w:color w:val="0000FF"/>
                  <w:w w:val="96"/>
                </w:rPr>
                <w:t>Form of Restricted Stock Award for non-employee directors (incorporated by reference to Exhibit 10.17 to the Company’s Annual</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Report on Form 10-K for the year ended September 30, 2010, Commission File No. 0-19424)</w:t>
              </w:r>
            </w:hyperlink>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00" w:type="dxa"/>
            <w:vAlign w:val="bottom"/>
            <w:gridSpan w:val="3"/>
            <w:shd w:val="clear" w:color="auto" w:fill="CCEEFF"/>
          </w:tcPr>
          <w:p>
            <w:pPr>
              <w:jc w:val="center"/>
              <w:ind w:left="412"/>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4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35"/>
            <w:shd w:val="clear" w:color="auto" w:fill="CCEEFF"/>
          </w:tcPr>
          <w:p>
            <w:pPr>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Call Option Confirmation, dated June 17, 2014, between EZCORP, Inc. and Jefferies International Limited (incorporated by reference to</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33"/>
            <w:shd w:val="clear" w:color="auto" w:fill="CCEEFF"/>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Exhibit 10.1 to the Company’s Quarterly Report on Form 10-Q for the quarter ended June 30, 2014, Commission File No. 0-19424)</w:t>
              </w:r>
            </w:hyperlink>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right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00" w:type="dxa"/>
            <w:vAlign w:val="bottom"/>
            <w:gridSpan w:val="3"/>
          </w:tcPr>
          <w:p>
            <w:pPr>
              <w:jc w:val="center"/>
              <w:ind w:left="412"/>
              <w:spacing w:after="0" w:line="202"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35"/>
          </w:tcPr>
          <w:p>
            <w:pPr>
              <w:spacing w:after="0" w:line="202"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Call Option Confirmation, dated June 17, 2014, between EZCORP, Inc. and Morgan Stanley &amp; Co. International plc (incorporated by</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reference to Exhibit 10.2 to the Company’s Quarterly Report on Form 10-Q for the quarter ended June 30, 2014, Commission File</w:t>
              </w:r>
            </w:hyperlink>
          </w:p>
        </w:tc>
        <w:tc>
          <w:tcPr>
            <w:tcW w:w="240" w:type="dxa"/>
            <w:vAlign w:val="bottom"/>
            <w:tcBorders>
              <w:top w:val="single" w:sz="8" w:color="0000FF"/>
            </w:tcBorders>
            <w:gridSpan w:val="5"/>
          </w:tcPr>
          <w:p>
            <w:pPr>
              <w:spacing w:after="0"/>
              <w:rPr>
                <w:sz w:val="17"/>
                <w:szCs w:val="17"/>
                <w:color w:val="auto"/>
              </w:rPr>
            </w:pPr>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No. 0-19424)</w:t>
              </w:r>
            </w:hyperlink>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00" w:type="dxa"/>
            <w:vAlign w:val="bottom"/>
            <w:gridSpan w:val="3"/>
            <w:shd w:val="clear" w:color="auto" w:fill="CCEEFF"/>
          </w:tcPr>
          <w:p>
            <w:pPr>
              <w:jc w:val="center"/>
              <w:ind w:left="412"/>
              <w:spacing w:after="0" w:line="202"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4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35"/>
            <w:shd w:val="clear" w:color="auto" w:fill="CCEEFF"/>
          </w:tcPr>
          <w:p>
            <w:pPr>
              <w:spacing w:after="0" w:line="202"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Call Option Confirmation, dated June 17, 2014, between EZCORP, Inc. and UBS AG, London Branch (incorporated by reference to</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520" w:type="dxa"/>
            <w:vAlign w:val="bottom"/>
            <w:tcBorders>
              <w:top w:val="single" w:sz="8" w:color="0000FF"/>
            </w:tcBorders>
            <w:gridSpan w:val="24"/>
            <w:shd w:val="clear" w:color="auto" w:fill="CCEEFF"/>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Exhibit 10.3 to the Company’s Quarterly Report on Form 10-Q for the quarter ended June 30, 2014, Commission File No. 0-19424)</w:t>
              </w:r>
            </w:hyperlink>
          </w:p>
        </w:tc>
        <w:tc>
          <w:tcPr>
            <w:tcW w:w="380" w:type="dxa"/>
            <w:vAlign w:val="bottom"/>
            <w:tcBorders>
              <w:top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right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00" w:type="dxa"/>
            <w:vAlign w:val="bottom"/>
            <w:gridSpan w:val="3"/>
          </w:tcPr>
          <w:p>
            <w:pPr>
              <w:jc w:val="center"/>
              <w:ind w:left="412"/>
              <w:spacing w:after="0" w:line="202"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35"/>
          </w:tcPr>
          <w:p>
            <w:pPr>
              <w:spacing w:after="0" w:line="202"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Warrant Confirmation, dated June 17, 2014, between EZCORP, Inc. and Jefferies International Limited (incorporated by reference to</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tcBorders>
              <w:top w:val="single" w:sz="8" w:color="0000FF"/>
            </w:tcBorders>
            <w:gridSpan w:val="25"/>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Exhibit 10.4 to the Company’s Quarterly Report on Form 10-Q for the quarter ended June 30, 2014, Commission File No. 0-19424)</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00" w:type="dxa"/>
            <w:vAlign w:val="bottom"/>
            <w:gridSpan w:val="3"/>
            <w:shd w:val="clear" w:color="auto" w:fill="CCEEFF"/>
          </w:tcPr>
          <w:p>
            <w:pPr>
              <w:jc w:val="center"/>
              <w:ind w:left="412"/>
              <w:spacing w:after="0" w:line="202"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4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35"/>
            <w:shd w:val="clear" w:color="auto" w:fill="CCEEFF"/>
          </w:tcPr>
          <w:p>
            <w:pPr>
              <w:spacing w:after="0" w:line="202" w:lineRule="exact"/>
              <w:rPr>
                <w:rFonts w:ascii="Arial" w:cs="Arial" w:eastAsia="Arial" w:hAnsi="Arial"/>
                <w:sz w:val="18"/>
                <w:szCs w:val="18"/>
                <w:color w:val="0000FF"/>
                <w:w w:val="96"/>
              </w:rPr>
            </w:pPr>
            <w:hyperlink r:id="rId50">
              <w:r>
                <w:rPr>
                  <w:rFonts w:ascii="Arial" w:cs="Arial" w:eastAsia="Arial" w:hAnsi="Arial"/>
                  <w:sz w:val="18"/>
                  <w:szCs w:val="18"/>
                  <w:color w:val="0000FF"/>
                  <w:w w:val="96"/>
                </w:rPr>
                <w:t>Amendment Agreement (Warrant Confirmation), dated June 27, 2014, between EZCORP, Inc. and Jefferies International Limited</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CCEE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7080" w:type="dxa"/>
            <w:vAlign w:val="bottom"/>
            <w:tcBorders>
              <w:right w:val="single" w:sz="8" w:color="CCEEFF"/>
            </w:tcBorders>
            <w:gridSpan w:val="15"/>
            <w:shd w:val="clear" w:color="auto" w:fill="0000FF"/>
          </w:tcPr>
          <w:p>
            <w:pPr>
              <w:spacing w:after="0" w:line="20" w:lineRule="exact"/>
              <w:rPr>
                <w:sz w:val="1"/>
                <w:szCs w:val="1"/>
                <w:color w:val="auto"/>
              </w:rPr>
            </w:pPr>
          </w:p>
        </w:tc>
        <w:tc>
          <w:tcPr>
            <w:tcW w:w="560" w:type="dxa"/>
            <w:vAlign w:val="bottom"/>
            <w:gridSpan w:val="17"/>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340" w:type="dxa"/>
            <w:vAlign w:val="bottom"/>
            <w:tcBorders>
              <w:bottom w:val="single" w:sz="8" w:color="0000FF"/>
              <w:right w:val="single" w:sz="8" w:color="CCEEFF"/>
            </w:tcBorders>
            <w:gridSpan w:val="18"/>
            <w:shd w:val="clear" w:color="auto" w:fill="CCEEFF"/>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(incorporated by reference to Exhibit 10.5 to the Company’s Quarterly Report on Form 10-Q for the quarter ended June 30, 2014,</w:t>
              </w:r>
            </w:hyperlink>
          </w:p>
        </w:tc>
        <w:tc>
          <w:tcPr>
            <w:tcW w:w="560" w:type="dxa"/>
            <w:vAlign w:val="bottom"/>
            <w:tcBorders>
              <w:bottom w:val="single" w:sz="8" w:color="CCEEFF"/>
            </w:tcBorders>
            <w:gridSpan w:val="1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226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Commission File No. 0-19424)</w:t>
              </w:r>
            </w:hyperlink>
          </w:p>
        </w:tc>
        <w:tc>
          <w:tcPr>
            <w:tcW w:w="7640" w:type="dxa"/>
            <w:vAlign w:val="bottom"/>
            <w:tcBorders>
              <w:bottom w:val="single" w:sz="8" w:color="CCEEFF"/>
            </w:tcBorders>
            <w:gridSpan w:val="3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5"/>
          </w:tcPr>
          <w:p>
            <w:pPr>
              <w:ind w:left="406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55"/>
        </w:trPr>
        <w:tc>
          <w:tcPr>
            <w:tcW w:w="900" w:type="dxa"/>
            <w:vAlign w:val="bottom"/>
            <w:tcBorders>
              <w:top w:val="single" w:sz="8" w:color="0000EE"/>
            </w:tcBorders>
            <w:gridSpan w:val="2"/>
          </w:tcPr>
          <w:p>
            <w:pPr>
              <w:jc w:val="center"/>
              <w:ind w:left="410"/>
              <w:spacing w:after="0"/>
              <w:rPr>
                <w:rFonts w:ascii="Arial" w:cs="Arial" w:eastAsia="Arial" w:hAnsi="Arial"/>
                <w:sz w:val="18"/>
                <w:szCs w:val="18"/>
                <w:color w:val="0000FF"/>
                <w:w w:val="88"/>
              </w:rPr>
            </w:pPr>
            <w:hyperlink r:id="rId5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3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24"/>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Warrant Confirmation, dated June 17, 2014, between EZCORP, Inc. and Morgan and Stanley &amp; Co. International plc (incorporated by</w:t>
              </w:r>
            </w:hyperlink>
          </w:p>
        </w:tc>
      </w:tr>
      <w:tr>
        <w:trPr>
          <w:trHeight w:val="196"/>
        </w:trPr>
        <w:tc>
          <w:tcPr>
            <w:tcW w:w="50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reference to Exhibit 10.6 to the Company’s Quarterly Report on Form 10-Q for the quarter ended June 30, 2014, Commission File</w:t>
              </w:r>
            </w:hyperlink>
          </w:p>
        </w:tc>
        <w:tc>
          <w:tcPr>
            <w:tcW w:w="280" w:type="dxa"/>
            <w:vAlign w:val="bottom"/>
            <w:tcBorders>
              <w:top w:val="single" w:sz="8" w:color="0000FF"/>
            </w:tcBorders>
            <w:gridSpan w:val="7"/>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No. 0-19424)</w:t>
              </w:r>
            </w:hyperlink>
          </w:p>
        </w:tc>
      </w:tr>
      <w:tr>
        <w:trPr>
          <w:trHeight w:val="48"/>
        </w:trPr>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gridSpan w:val="2"/>
            <w:shd w:val="clear" w:color="auto" w:fill="CCEEFF"/>
          </w:tcPr>
          <w:p>
            <w:pPr>
              <w:jc w:val="center"/>
              <w:ind w:left="410"/>
              <w:spacing w:after="0" w:line="202" w:lineRule="exact"/>
              <w:rPr>
                <w:rFonts w:ascii="Arial" w:cs="Arial" w:eastAsia="Arial" w:hAnsi="Arial"/>
                <w:sz w:val="18"/>
                <w:szCs w:val="18"/>
                <w:color w:val="0000FF"/>
                <w:w w:val="88"/>
              </w:rPr>
            </w:pPr>
            <w:hyperlink r:id="rId5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Amendment Agreement (Warrant Confirmation), dated June 27, 2014, between EZCORP, Inc. and Morgan Stanley &amp; Co. International</w:t>
              </w:r>
            </w:hyperlink>
          </w:p>
        </w:tc>
      </w:tr>
      <w:tr>
        <w:trPr>
          <w:trHeight w:val="196"/>
        </w:trPr>
        <w:tc>
          <w:tcPr>
            <w:tcW w:w="5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0000FF"/>
              <w:bottom w:val="single" w:sz="8" w:color="CCEEFF"/>
            </w:tcBorders>
            <w:shd w:val="clear" w:color="auto" w:fill="CCEEFF"/>
          </w:tcPr>
          <w:p>
            <w:pPr>
              <w:spacing w:after="0"/>
              <w:rPr>
                <w:sz w:val="17"/>
                <w:szCs w:val="17"/>
                <w:color w:val="auto"/>
              </w:rPr>
            </w:pPr>
          </w:p>
        </w:tc>
        <w:tc>
          <w:tcPr>
            <w:tcW w:w="38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600" w:type="dxa"/>
            <w:vAlign w:val="bottom"/>
            <w:tcBorders>
              <w:top w:val="single" w:sz="8" w:color="0000FF"/>
              <w:bottom w:val="single" w:sz="8" w:color="0000FF"/>
            </w:tcBorders>
            <w:gridSpan w:val="17"/>
            <w:shd w:val="clear" w:color="auto" w:fill="CCEEFF"/>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plc (incorporated by reference to Exhibit 10.7 to the Company’s Quarterly Report on Form 10-Q for the quarter ended June 30, 2014,</w:t>
              </w:r>
            </w:hyperlink>
          </w:p>
        </w:tc>
        <w:tc>
          <w:tcPr>
            <w:tcW w:w="16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3"/>
            <w:shd w:val="clear" w:color="auto" w:fill="CCEEFF"/>
          </w:tcPr>
          <w:p>
            <w:pPr>
              <w:spacing w:after="0"/>
              <w:rPr>
                <w:sz w:val="17"/>
                <w:szCs w:val="17"/>
                <w:color w:val="auto"/>
              </w:rPr>
            </w:pPr>
          </w:p>
        </w:tc>
      </w:tr>
      <w:tr>
        <w:trPr>
          <w:trHeight w:val="244"/>
        </w:trPr>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left w:val="single" w:sz="8" w:color="CCEEFF"/>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Commission File No. 0-19424)</w:t>
              </w:r>
            </w:hyperlink>
          </w:p>
        </w:tc>
        <w:tc>
          <w:tcPr>
            <w:tcW w:w="7640" w:type="dxa"/>
            <w:vAlign w:val="bottom"/>
            <w:tcBorders>
              <w:bottom w:val="single" w:sz="8" w:color="CCEEFF"/>
            </w:tcBorders>
            <w:gridSpan w:val="20"/>
            <w:shd w:val="clear" w:color="auto" w:fill="CCEEFF"/>
          </w:tcPr>
          <w:p>
            <w:pPr>
              <w:spacing w:after="0"/>
              <w:rPr>
                <w:sz w:val="21"/>
                <w:szCs w:val="21"/>
                <w:color w:val="auto"/>
              </w:rPr>
            </w:pPr>
          </w:p>
        </w:tc>
      </w:tr>
      <w:tr>
        <w:trPr>
          <w:trHeight w:val="203"/>
        </w:trPr>
        <w:tc>
          <w:tcPr>
            <w:tcW w:w="900" w:type="dxa"/>
            <w:vAlign w:val="bottom"/>
            <w:gridSpan w:val="2"/>
          </w:tcPr>
          <w:p>
            <w:pPr>
              <w:jc w:val="center"/>
              <w:ind w:left="410"/>
              <w:spacing w:after="0" w:line="202" w:lineRule="exact"/>
              <w:rPr>
                <w:rFonts w:ascii="Arial" w:cs="Arial" w:eastAsia="Arial" w:hAnsi="Arial"/>
                <w:sz w:val="18"/>
                <w:szCs w:val="18"/>
                <w:color w:val="0000FF"/>
                <w:w w:val="88"/>
              </w:rPr>
            </w:pPr>
            <w:hyperlink r:id="rId5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7"/>
              </w:rPr>
            </w:pPr>
            <w:hyperlink r:id="rId53">
              <w:r>
                <w:rPr>
                  <w:rFonts w:ascii="Arial" w:cs="Arial" w:eastAsia="Arial" w:hAnsi="Arial"/>
                  <w:sz w:val="18"/>
                  <w:szCs w:val="18"/>
                  <w:color w:val="0000FF"/>
                  <w:w w:val="97"/>
                </w:rPr>
                <w:t>Warrant Confirmation, dated June 17, 2014, between EZCORP, Inc. and UBS AG, London Branch (incorporated by reference to</w:t>
              </w:r>
            </w:hyperlink>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w w:val="95"/>
              </w:rPr>
            </w:pPr>
            <w:hyperlink r:id="rId53">
              <w:r>
                <w:rPr>
                  <w:rFonts w:ascii="Arial" w:cs="Arial" w:eastAsia="Arial" w:hAnsi="Arial"/>
                  <w:sz w:val="18"/>
                  <w:szCs w:val="18"/>
                  <w:color w:val="0000FF"/>
                  <w:w w:val="95"/>
                </w:rPr>
                <w:t>Exhibit 10.8 to the Company’s Quarterly Report on Form 10-Q for the quarter ended June 30, 2014, Commission File No. 0-19424)</w:t>
              </w:r>
            </w:hyperlink>
          </w:p>
        </w:tc>
      </w:tr>
      <w:tr>
        <w:trPr>
          <w:trHeight w:val="48"/>
        </w:trPr>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6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gridSpan w:val="2"/>
            <w:shd w:val="clear" w:color="auto" w:fill="CCEEFF"/>
          </w:tcPr>
          <w:p>
            <w:pPr>
              <w:jc w:val="center"/>
              <w:ind w:left="410"/>
              <w:spacing w:after="0" w:line="202" w:lineRule="exact"/>
              <w:rPr>
                <w:rFonts w:ascii="Arial" w:cs="Arial" w:eastAsia="Arial" w:hAnsi="Arial"/>
                <w:sz w:val="18"/>
                <w:szCs w:val="18"/>
                <w:color w:val="0000FF"/>
                <w:w w:val="88"/>
              </w:rPr>
            </w:pPr>
            <w:hyperlink r:id="rId5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Amendment Agreement (Warrant Confirmation), dated June 27, 2014, between EZCORP, Inc. and UBS AG, London Branch</w:t>
              </w:r>
            </w:hyperlink>
          </w:p>
        </w:tc>
      </w:tr>
      <w:tr>
        <w:trPr>
          <w:trHeight w:val="20"/>
        </w:trPr>
        <w:tc>
          <w:tcPr>
            <w:tcW w:w="5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500" w:type="dxa"/>
            <w:vAlign w:val="bottom"/>
            <w:tcBorders>
              <w:bottom w:val="single" w:sz="8" w:color="CCEEFF"/>
              <w:right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left w:val="single" w:sz="8" w:color="CCEEFF"/>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34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(incorporated by reference to Exhibit 10.9 to the Company’s Quarterly Report on Form 10-Q for the quarter ended June 30, 2014,</w:t>
              </w:r>
            </w:hyperlink>
          </w:p>
        </w:tc>
        <w:tc>
          <w:tcPr>
            <w:tcW w:w="560" w:type="dxa"/>
            <w:vAlign w:val="bottom"/>
            <w:tcBorders>
              <w:bottom w:val="single" w:sz="8" w:color="CCEEFF"/>
            </w:tcBorders>
            <w:gridSpan w:val="13"/>
            <w:shd w:val="clear" w:color="auto" w:fill="CCEEFF"/>
          </w:tcPr>
          <w:p>
            <w:pPr>
              <w:spacing w:after="0"/>
              <w:rPr>
                <w:sz w:val="17"/>
                <w:szCs w:val="17"/>
                <w:color w:val="auto"/>
              </w:rPr>
            </w:pPr>
          </w:p>
        </w:tc>
      </w:tr>
      <w:tr>
        <w:trPr>
          <w:trHeight w:val="244"/>
        </w:trPr>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left w:val="single" w:sz="8" w:color="CCEEFF"/>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Commission File No. 0-19424)</w:t>
              </w:r>
            </w:hyperlink>
          </w:p>
        </w:tc>
        <w:tc>
          <w:tcPr>
            <w:tcW w:w="7640" w:type="dxa"/>
            <w:vAlign w:val="bottom"/>
            <w:tcBorders>
              <w:bottom w:val="single" w:sz="8" w:color="CCEEFF"/>
            </w:tcBorders>
            <w:gridSpan w:val="20"/>
            <w:shd w:val="clear" w:color="auto" w:fill="CCEEFF"/>
          </w:tcPr>
          <w:p>
            <w:pPr>
              <w:spacing w:after="0"/>
              <w:rPr>
                <w:sz w:val="21"/>
                <w:szCs w:val="21"/>
                <w:color w:val="auto"/>
              </w:rPr>
            </w:pPr>
          </w:p>
        </w:tc>
      </w:tr>
      <w:tr>
        <w:trPr>
          <w:trHeight w:val="203"/>
        </w:trPr>
        <w:tc>
          <w:tcPr>
            <w:tcW w:w="900" w:type="dxa"/>
            <w:vAlign w:val="bottom"/>
            <w:gridSpan w:val="2"/>
          </w:tcPr>
          <w:p>
            <w:pPr>
              <w:jc w:val="center"/>
              <w:ind w:left="410"/>
              <w:spacing w:after="0" w:line="202"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Additional Call Option Confirmation, dated June 27, 2014, between EZCORP, Inc. and Jefferies International Limited (incorporated by</w:t>
              </w:r>
            </w:hyperlink>
          </w:p>
        </w:tc>
      </w:tr>
      <w:tr>
        <w:trPr>
          <w:trHeight w:val="196"/>
        </w:trPr>
        <w:tc>
          <w:tcPr>
            <w:tcW w:w="50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reference to Exhibit 10.10 to the Company’s Quarterly Report on Form 10-Q for the quarter ended June 30, 2014, Commission File</w:t>
              </w:r>
            </w:hyperlink>
          </w:p>
        </w:tc>
        <w:tc>
          <w:tcPr>
            <w:tcW w:w="280" w:type="dxa"/>
            <w:vAlign w:val="bottom"/>
            <w:tcBorders>
              <w:top w:val="single" w:sz="8" w:color="0000FF"/>
            </w:tcBorders>
            <w:gridSpan w:val="6"/>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No. 0-19424)</w:t>
              </w:r>
            </w:hyperlink>
          </w:p>
        </w:tc>
      </w:tr>
      <w:tr>
        <w:trPr>
          <w:trHeight w:val="48"/>
        </w:trPr>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gridSpan w:val="2"/>
            <w:shd w:val="clear" w:color="auto" w:fill="CCEEFF"/>
          </w:tcPr>
          <w:p>
            <w:pPr>
              <w:jc w:val="center"/>
              <w:ind w:left="410"/>
              <w:spacing w:after="0" w:line="202" w:lineRule="exact"/>
              <w:rPr>
                <w:rFonts w:ascii="Arial" w:cs="Arial" w:eastAsia="Arial" w:hAnsi="Arial"/>
                <w:sz w:val="18"/>
                <w:szCs w:val="18"/>
                <w:color w:val="0000FF"/>
                <w:w w:val="88"/>
              </w:rPr>
            </w:pPr>
            <w:hyperlink r:id="rId5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15</w:t>
              </w:r>
            </w:hyperlink>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Additional Call Option Confirmation, dated June 27, 2014, between EZCORP, Inc. and Morgan Stanley &amp; Co. International plc</w:t>
              </w:r>
            </w:hyperlink>
          </w:p>
        </w:tc>
      </w:tr>
      <w:tr>
        <w:trPr>
          <w:trHeight w:val="20"/>
        </w:trPr>
        <w:tc>
          <w:tcPr>
            <w:tcW w:w="5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500" w:type="dxa"/>
            <w:vAlign w:val="bottom"/>
            <w:tcBorders>
              <w:bottom w:val="single" w:sz="8" w:color="CCEEFF"/>
              <w:right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left w:val="single" w:sz="8" w:color="CCEEFF"/>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FF"/>
              <w:right w:val="single" w:sz="8" w:color="CCEEFF"/>
            </w:tcBorders>
            <w:gridSpan w:val="14"/>
            <w:shd w:val="clear" w:color="auto" w:fill="CCEEFF"/>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(incorporated by reference to Exhibit 10.11 to the Company’s Quarterly Report on Form 10-Q for the quarter ended June 30, 2014,</w:t>
              </w:r>
            </w:hyperlink>
          </w:p>
        </w:tc>
        <w:tc>
          <w:tcPr>
            <w:tcW w:w="440" w:type="dxa"/>
            <w:vAlign w:val="bottom"/>
            <w:tcBorders>
              <w:bottom w:val="single" w:sz="8" w:color="CCEEFF"/>
            </w:tcBorders>
            <w:gridSpan w:val="10"/>
            <w:shd w:val="clear" w:color="auto" w:fill="CCEEFF"/>
          </w:tcPr>
          <w:p>
            <w:pPr>
              <w:spacing w:after="0"/>
              <w:rPr>
                <w:sz w:val="17"/>
                <w:szCs w:val="17"/>
                <w:color w:val="auto"/>
              </w:rPr>
            </w:pPr>
          </w:p>
        </w:tc>
      </w:tr>
      <w:tr>
        <w:trPr>
          <w:trHeight w:val="244"/>
        </w:trPr>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left w:val="single" w:sz="8" w:color="CCEEFF"/>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Commission File No. 0-19424)</w:t>
              </w:r>
            </w:hyperlink>
          </w:p>
        </w:tc>
        <w:tc>
          <w:tcPr>
            <w:tcW w:w="7640" w:type="dxa"/>
            <w:vAlign w:val="bottom"/>
            <w:tcBorders>
              <w:bottom w:val="single" w:sz="8" w:color="CCEEFF"/>
            </w:tcBorders>
            <w:gridSpan w:val="20"/>
            <w:shd w:val="clear" w:color="auto" w:fill="CCEEFF"/>
          </w:tcPr>
          <w:p>
            <w:pPr>
              <w:spacing w:after="0"/>
              <w:rPr>
                <w:sz w:val="21"/>
                <w:szCs w:val="21"/>
                <w:color w:val="auto"/>
              </w:rPr>
            </w:pPr>
          </w:p>
        </w:tc>
      </w:tr>
      <w:tr>
        <w:trPr>
          <w:trHeight w:val="203"/>
        </w:trPr>
        <w:tc>
          <w:tcPr>
            <w:tcW w:w="900" w:type="dxa"/>
            <w:vAlign w:val="bottom"/>
            <w:gridSpan w:val="2"/>
          </w:tcPr>
          <w:p>
            <w:pPr>
              <w:jc w:val="center"/>
              <w:ind w:left="410"/>
              <w:spacing w:after="0" w:line="202" w:lineRule="exact"/>
              <w:rPr>
                <w:rFonts w:ascii="Arial" w:cs="Arial" w:eastAsia="Arial" w:hAnsi="Arial"/>
                <w:sz w:val="18"/>
                <w:szCs w:val="18"/>
                <w:color w:val="0000FF"/>
                <w:w w:val="88"/>
              </w:rPr>
            </w:pPr>
            <w:hyperlink r:id="rId5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16</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6"/>
              </w:rPr>
            </w:pPr>
            <w:hyperlink r:id="rId57">
              <w:r>
                <w:rPr>
                  <w:rFonts w:ascii="Arial" w:cs="Arial" w:eastAsia="Arial" w:hAnsi="Arial"/>
                  <w:sz w:val="18"/>
                  <w:szCs w:val="18"/>
                  <w:color w:val="0000FF"/>
                  <w:w w:val="96"/>
                </w:rPr>
                <w:t>Additional Call Option Confirmation, dated June 27, 2014, between EZCORP, Inc. and UBS AG, London Branch (incorporated by</w:t>
              </w:r>
            </w:hyperlink>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reference to Exhibit 10.12 to the Company’s Quarterly Report on Form 10-Q for the quarter ended June 30, 2014, Commission File</w:t>
              </w:r>
            </w:hyperlink>
          </w:p>
        </w:tc>
        <w:tc>
          <w:tcPr>
            <w:tcW w:w="420" w:type="dxa"/>
            <w:vAlign w:val="bottom"/>
            <w:gridSpan w:val="9"/>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No. 0-19424)</w:t>
              </w:r>
            </w:hyperlink>
          </w:p>
        </w:tc>
      </w:tr>
      <w:tr>
        <w:trPr>
          <w:trHeight w:val="48"/>
        </w:trPr>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gridSpan w:val="2"/>
            <w:shd w:val="clear" w:color="auto" w:fill="CCEEFF"/>
          </w:tcPr>
          <w:p>
            <w:pPr>
              <w:jc w:val="center"/>
              <w:ind w:left="410"/>
              <w:spacing w:after="0" w:line="202"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17</w:t>
              </w:r>
            </w:hyperlink>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5"/>
              </w:rPr>
            </w:pPr>
            <w:hyperlink r:id="rId58">
              <w:r>
                <w:rPr>
                  <w:rFonts w:ascii="Arial" w:cs="Arial" w:eastAsia="Arial" w:hAnsi="Arial"/>
                  <w:sz w:val="18"/>
                  <w:szCs w:val="18"/>
                  <w:color w:val="0000FF"/>
                  <w:w w:val="95"/>
                </w:rPr>
                <w:t>Additional Warrant Confirmation, dated June 27, 2014, between EZCORP, Inc. and Jefferies International Limited (incorporated by</w:t>
              </w:r>
            </w:hyperlink>
          </w:p>
        </w:tc>
      </w:tr>
      <w:tr>
        <w:trPr>
          <w:trHeight w:val="196"/>
        </w:trPr>
        <w:tc>
          <w:tcPr>
            <w:tcW w:w="5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0000FF"/>
              <w:bottom w:val="single" w:sz="8" w:color="CCEEFF"/>
            </w:tcBorders>
            <w:shd w:val="clear" w:color="auto" w:fill="CCEEFF"/>
          </w:tcPr>
          <w:p>
            <w:pPr>
              <w:spacing w:after="0"/>
              <w:rPr>
                <w:sz w:val="17"/>
                <w:szCs w:val="17"/>
                <w:color w:val="auto"/>
              </w:rPr>
            </w:pPr>
          </w:p>
        </w:tc>
        <w:tc>
          <w:tcPr>
            <w:tcW w:w="38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480" w:type="dxa"/>
            <w:vAlign w:val="bottom"/>
            <w:tcBorders>
              <w:top w:val="single" w:sz="8" w:color="0000FF"/>
              <w:bottom w:val="single" w:sz="8" w:color="0000FF"/>
            </w:tcBorders>
            <w:gridSpan w:val="15"/>
            <w:shd w:val="clear" w:color="auto" w:fill="CCEEFF"/>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reference to Exhibit 10.13 to the Company’s Quarterly Report on Form 10-Q for the quarter ended June 30, 2014, Commission File</w:t>
              </w:r>
            </w:hyperlink>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gridSpan w:val="8"/>
            <w:shd w:val="clear" w:color="auto" w:fill="CCEEFF"/>
          </w:tcPr>
          <w:p>
            <w:pPr>
              <w:spacing w:after="0"/>
              <w:rPr>
                <w:sz w:val="17"/>
                <w:szCs w:val="17"/>
                <w:color w:val="auto"/>
              </w:rPr>
            </w:pPr>
          </w:p>
        </w:tc>
      </w:tr>
      <w:tr>
        <w:trPr>
          <w:trHeight w:val="244"/>
        </w:trPr>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left w:val="single" w:sz="8" w:color="CCEEFF"/>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No. 0-19424)</w:t>
              </w:r>
            </w:hyperlink>
          </w:p>
        </w:tc>
        <w:tc>
          <w:tcPr>
            <w:tcW w:w="8920" w:type="dxa"/>
            <w:vAlign w:val="bottom"/>
            <w:tcBorders>
              <w:bottom w:val="single" w:sz="8" w:color="CCEEFF"/>
            </w:tcBorders>
            <w:gridSpan w:val="22"/>
            <w:shd w:val="clear" w:color="auto" w:fill="CCEEFF"/>
          </w:tcPr>
          <w:p>
            <w:pPr>
              <w:spacing w:after="0"/>
              <w:rPr>
                <w:sz w:val="21"/>
                <w:szCs w:val="21"/>
                <w:color w:val="auto"/>
              </w:rPr>
            </w:pPr>
          </w:p>
        </w:tc>
      </w:tr>
      <w:tr>
        <w:trPr>
          <w:trHeight w:val="203"/>
        </w:trPr>
        <w:tc>
          <w:tcPr>
            <w:tcW w:w="900" w:type="dxa"/>
            <w:vAlign w:val="bottom"/>
            <w:gridSpan w:val="2"/>
          </w:tcPr>
          <w:p>
            <w:pPr>
              <w:jc w:val="center"/>
              <w:ind w:left="410"/>
              <w:spacing w:after="0" w:line="202" w:lineRule="exact"/>
              <w:rPr>
                <w:rFonts w:ascii="Arial" w:cs="Arial" w:eastAsia="Arial" w:hAnsi="Arial"/>
                <w:sz w:val="18"/>
                <w:szCs w:val="18"/>
                <w:color w:val="0000FF"/>
                <w:w w:val="88"/>
              </w:rPr>
            </w:pPr>
            <w:hyperlink r:id="rId5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rPr>
            </w:pPr>
            <w:hyperlink r:id="rId59">
              <w:r>
                <w:rPr>
                  <w:rFonts w:ascii="Arial" w:cs="Arial" w:eastAsia="Arial" w:hAnsi="Arial"/>
                  <w:sz w:val="18"/>
                  <w:szCs w:val="18"/>
                  <w:color w:val="0000FF"/>
                </w:rPr>
                <w:t>Additional Warrant Confirmation, dated June 27, 2014, between EZCORP, Inc. and Morgan Stanley &amp; Co. International plc</w:t>
              </w:r>
            </w:hyperlink>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(incorporated by reference to Exhibit 10.14 to the Company’s Quarterly Report on Form 10-Q for the quarter ended June 30, 2014,</w:t>
              </w:r>
            </w:hyperlink>
          </w:p>
        </w:tc>
        <w:tc>
          <w:tcPr>
            <w:tcW w:w="440" w:type="dxa"/>
            <w:vAlign w:val="bottom"/>
            <w:gridSpan w:val="10"/>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Commission File No. 0-19424)</w:t>
              </w:r>
            </w:hyperlink>
          </w:p>
        </w:tc>
      </w:tr>
      <w:tr>
        <w:trPr>
          <w:trHeight w:val="48"/>
        </w:trPr>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gridSpan w:val="2"/>
            <w:shd w:val="clear" w:color="auto" w:fill="CCEEFF"/>
          </w:tcPr>
          <w:p>
            <w:pPr>
              <w:jc w:val="center"/>
              <w:ind w:left="410"/>
              <w:spacing w:after="0" w:line="202" w:lineRule="exact"/>
              <w:rPr>
                <w:rFonts w:ascii="Arial" w:cs="Arial" w:eastAsia="Arial" w:hAnsi="Arial"/>
                <w:sz w:val="18"/>
                <w:szCs w:val="18"/>
                <w:color w:val="0000FF"/>
                <w:w w:val="88"/>
              </w:rPr>
            </w:pPr>
            <w:hyperlink r:id="rId6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8"/>
              </w:rPr>
            </w:pPr>
            <w:hyperlink r:id="rId60">
              <w:r>
                <w:rPr>
                  <w:rFonts w:ascii="Arial" w:cs="Arial" w:eastAsia="Arial" w:hAnsi="Arial"/>
                  <w:sz w:val="18"/>
                  <w:szCs w:val="18"/>
                  <w:color w:val="0000FF"/>
                  <w:w w:val="98"/>
                </w:rPr>
                <w:t>Additional Warrant Confirmation, dated June 27, 2014, between EZCORP, Inc. and UBS AG, London Branch (incorporated by</w:t>
              </w:r>
            </w:hyperlink>
          </w:p>
        </w:tc>
      </w:tr>
      <w:tr>
        <w:trPr>
          <w:trHeight w:val="20"/>
        </w:trPr>
        <w:tc>
          <w:tcPr>
            <w:tcW w:w="5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CCEEFF"/>
            </w:tcBorders>
            <w:gridSpan w:val="2"/>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500" w:type="dxa"/>
            <w:vAlign w:val="bottom"/>
            <w:tcBorders>
              <w:bottom w:val="single" w:sz="8" w:color="CCEEFF"/>
              <w:right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left w:val="single" w:sz="8" w:color="CCEEFF"/>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reference to Exhibit 10.15 to the Company’s Quarterly Report on Form 10-Q for the quarter ended June 30, 2014, Commission File</w:t>
              </w:r>
            </w:hyperlink>
          </w:p>
        </w:tc>
        <w:tc>
          <w:tcPr>
            <w:tcW w:w="420" w:type="dxa"/>
            <w:vAlign w:val="bottom"/>
            <w:tcBorders>
              <w:bottom w:val="single" w:sz="8" w:color="CCEEFF"/>
            </w:tcBorders>
            <w:gridSpan w:val="9"/>
            <w:shd w:val="clear" w:color="auto" w:fill="CCEEFF"/>
          </w:tcPr>
          <w:p>
            <w:pPr>
              <w:spacing w:after="0"/>
              <w:rPr>
                <w:sz w:val="17"/>
                <w:szCs w:val="17"/>
                <w:color w:val="auto"/>
              </w:rPr>
            </w:pPr>
          </w:p>
        </w:tc>
      </w:tr>
      <w:tr>
        <w:trPr>
          <w:trHeight w:val="244"/>
        </w:trPr>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left w:val="single" w:sz="8" w:color="CCEEFF"/>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No. 0-19424)</w:t>
              </w:r>
            </w:hyperlink>
          </w:p>
        </w:tc>
        <w:tc>
          <w:tcPr>
            <w:tcW w:w="8920" w:type="dxa"/>
            <w:vAlign w:val="bottom"/>
            <w:tcBorders>
              <w:bottom w:val="single" w:sz="8" w:color="CCEEFF"/>
            </w:tcBorders>
            <w:gridSpan w:val="22"/>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780" w:type="dxa"/>
            <w:vAlign w:val="bottom"/>
            <w:gridSpan w:val="2"/>
          </w:tcPr>
          <w:p>
            <w:pPr>
              <w:jc w:val="center"/>
              <w:ind w:right="340"/>
              <w:spacing w:after="0" w:line="202" w:lineRule="exact"/>
              <w:rPr>
                <w:rFonts w:ascii="Arial" w:cs="Arial" w:eastAsia="Arial" w:hAnsi="Arial"/>
                <w:sz w:val="18"/>
                <w:szCs w:val="18"/>
                <w:color w:val="0000FF"/>
                <w:w w:val="84"/>
              </w:rPr>
            </w:pPr>
            <w:hyperlink r:id="rId6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20*</w:t>
              </w:r>
            </w:hyperlink>
          </w:p>
        </w:tc>
        <w:tc>
          <w:tcPr>
            <w:tcW w:w="2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Financing Agreement, dated September 12, 2016, among EZCORP, Inc. (as Borrower), certain subsidiaries of the Borrower from time to</w:t>
              </w:r>
            </w:hyperlink>
          </w:p>
        </w:tc>
      </w:tr>
      <w:tr>
        <w:trPr>
          <w:trHeight w:val="196"/>
        </w:trPr>
        <w:tc>
          <w:tcPr>
            <w:tcW w:w="50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60" w:type="dxa"/>
            <w:vAlign w:val="bottom"/>
            <w:tcBorders>
              <w:top w:val="single" w:sz="8" w:color="0000FF"/>
            </w:tcBorders>
            <w:gridSpan w:val="23"/>
          </w:tcPr>
          <w:p>
            <w:pPr>
              <w:spacing w:after="0" w:line="196" w:lineRule="exact"/>
              <w:rPr>
                <w:rFonts w:ascii="Arial" w:cs="Arial" w:eastAsia="Arial" w:hAnsi="Arial"/>
                <w:sz w:val="18"/>
                <w:szCs w:val="18"/>
                <w:color w:val="0000FF"/>
                <w:w w:val="97"/>
              </w:rPr>
            </w:pPr>
            <w:hyperlink r:id="rId61">
              <w:r>
                <w:rPr>
                  <w:rFonts w:ascii="Arial" w:cs="Arial" w:eastAsia="Arial" w:hAnsi="Arial"/>
                  <w:sz w:val="18"/>
                  <w:szCs w:val="18"/>
                  <w:color w:val="0000FF"/>
                  <w:w w:val="97"/>
                </w:rPr>
                <w:t>time party thereto (as Guarantors), certain Lenders, and Fortress Credit Co LLC (as Administrative Agent and Collateral Agent)</w:t>
              </w:r>
            </w:hyperlink>
          </w:p>
        </w:tc>
        <w:tc>
          <w:tcPr>
            <w:tcW w:w="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(incorporated by reference to Exhibit 10.22 to the Company’s Annual Report on Form 10-K for the year ended September 30, 2017,</w:t>
              </w:r>
            </w:hyperlink>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Commission File No. 0-19424)</w:t>
              </w:r>
            </w:hyperlink>
          </w:p>
        </w:tc>
        <w:tc>
          <w:tcPr>
            <w:tcW w:w="400" w:type="dxa"/>
            <w:vAlign w:val="bottom"/>
            <w:gridSpan w:val="8"/>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gridSpan w:val="2"/>
            <w:shd w:val="clear" w:color="auto" w:fill="CCEEFF"/>
          </w:tcPr>
          <w:p>
            <w:pPr>
              <w:jc w:val="center"/>
              <w:ind w:left="410"/>
              <w:spacing w:after="0" w:line="202" w:lineRule="exact"/>
              <w:rPr>
                <w:rFonts w:ascii="Arial" w:cs="Arial" w:eastAsia="Arial" w:hAnsi="Arial"/>
                <w:sz w:val="18"/>
                <w:szCs w:val="18"/>
                <w:color w:val="0000FF"/>
                <w:w w:val="88"/>
              </w:rPr>
            </w:pPr>
            <w:hyperlink r:id="rId6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21</w:t>
              </w:r>
            </w:hyperlink>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Purchase Agreement, dated June 29, 2017, between EZCORP, Inc., and UBS Securities LLC and Jefferies LLC (incorporated by</w:t>
              </w:r>
            </w:hyperlink>
          </w:p>
        </w:tc>
      </w:tr>
      <w:tr>
        <w:trPr>
          <w:trHeight w:val="196"/>
        </w:trPr>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38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6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w w:val="94"/>
              </w:rPr>
            </w:pPr>
            <w:hyperlink r:id="rId62">
              <w:r>
                <w:rPr>
                  <w:rFonts w:ascii="Arial" w:cs="Arial" w:eastAsia="Arial" w:hAnsi="Arial"/>
                  <w:sz w:val="18"/>
                  <w:szCs w:val="18"/>
                  <w:color w:val="0000FF"/>
                  <w:w w:val="94"/>
                </w:rPr>
                <w:t>reference to Exhibit 10.1 to the Company’s Current Report on Form 8-K dated July 6, 2017, Commission File No. 0-19424)</w:t>
              </w:r>
            </w:hyperlink>
          </w:p>
        </w:tc>
        <w:tc>
          <w:tcPr>
            <w:tcW w:w="640" w:type="dxa"/>
            <w:vAlign w:val="bottom"/>
            <w:tcBorders>
              <w:top w:val="single" w:sz="8" w:color="CCEEFF"/>
            </w:tcBorders>
            <w:gridSpan w:val="16"/>
            <w:shd w:val="clear" w:color="auto" w:fill="CCEEFF"/>
          </w:tcPr>
          <w:p>
            <w:pPr>
              <w:spacing w:after="0"/>
              <w:rPr>
                <w:sz w:val="17"/>
                <w:szCs w:val="17"/>
                <w:color w:val="auto"/>
              </w:rPr>
            </w:pPr>
          </w:p>
        </w:tc>
      </w:tr>
      <w:tr>
        <w:trPr>
          <w:trHeight w:val="48"/>
        </w:trPr>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660" w:type="dxa"/>
            <w:vAlign w:val="bottom"/>
            <w:tcBorders>
              <w:top w:val="single" w:sz="8" w:color="0000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gridSpan w:val="2"/>
          </w:tcPr>
          <w:p>
            <w:pPr>
              <w:jc w:val="center"/>
              <w:ind w:left="410"/>
              <w:spacing w:after="0" w:line="202" w:lineRule="exact"/>
              <w:rPr>
                <w:rFonts w:ascii="Arial" w:cs="Arial" w:eastAsia="Arial" w:hAnsi="Arial"/>
                <w:sz w:val="18"/>
                <w:szCs w:val="18"/>
                <w:color w:val="0000FF"/>
                <w:w w:val="88"/>
              </w:rPr>
            </w:pPr>
            <w:hyperlink r:id="rId6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22</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5"/>
              </w:rPr>
            </w:pPr>
            <w:hyperlink r:id="rId63">
              <w:r>
                <w:rPr>
                  <w:rFonts w:ascii="Arial" w:cs="Arial" w:eastAsia="Arial" w:hAnsi="Arial"/>
                  <w:sz w:val="18"/>
                  <w:szCs w:val="18"/>
                  <w:color w:val="0000FF"/>
                  <w:w w:val="95"/>
                </w:rPr>
                <w:t>Call Option Termination Agreement, dated June 29, 2017, between EZCORP, Inc., and UBS AG, London Branch (incorporated by</w:t>
              </w:r>
            </w:hyperlink>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reference to exhibit 10.2 to the Company’s Quarterly Report on Form 10-Q for the quarter ended June 30, 2017, Commission File No. 0-</w:t>
              </w:r>
            </w:hyperlink>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19424)</w:t>
              </w:r>
            </w:hyperlink>
          </w:p>
        </w:tc>
        <w:tc>
          <w:tcPr>
            <w:tcW w:w="1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gridSpan w:val="2"/>
            <w:shd w:val="clear" w:color="auto" w:fill="CCEEFF"/>
          </w:tcPr>
          <w:p>
            <w:pPr>
              <w:jc w:val="center"/>
              <w:ind w:left="410"/>
              <w:spacing w:after="0" w:line="202" w:lineRule="exact"/>
              <w:rPr>
                <w:rFonts w:ascii="Arial" w:cs="Arial" w:eastAsia="Arial" w:hAnsi="Arial"/>
                <w:sz w:val="18"/>
                <w:szCs w:val="18"/>
                <w:color w:val="0000FF"/>
                <w:w w:val="88"/>
              </w:rPr>
            </w:pPr>
            <w:hyperlink r:id="rId6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23</w:t>
              </w:r>
            </w:hyperlink>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Warrant Termination Agreement, dated June 29, 2017, between EZCORP, Inc., and UBS AG, London Branch (incorporated by reference</w:t>
              </w:r>
            </w:hyperlink>
          </w:p>
        </w:tc>
      </w:tr>
      <w:tr>
        <w:trPr>
          <w:trHeight w:val="196"/>
        </w:trPr>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38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23"/>
            <w:shd w:val="clear" w:color="auto" w:fill="CCEEFF"/>
          </w:tcPr>
          <w:p>
            <w:pPr>
              <w:spacing w:after="0" w:line="196" w:lineRule="exact"/>
              <w:rPr>
                <w:rFonts w:ascii="Arial" w:cs="Arial" w:eastAsia="Arial" w:hAnsi="Arial"/>
                <w:sz w:val="18"/>
                <w:szCs w:val="18"/>
                <w:color w:val="0000FF"/>
                <w:w w:val="93"/>
              </w:rPr>
            </w:pPr>
            <w:hyperlink r:id="rId64">
              <w:r>
                <w:rPr>
                  <w:rFonts w:ascii="Arial" w:cs="Arial" w:eastAsia="Arial" w:hAnsi="Arial"/>
                  <w:sz w:val="18"/>
                  <w:szCs w:val="18"/>
                  <w:color w:val="0000FF"/>
                  <w:w w:val="93"/>
                </w:rPr>
                <w:t>to exhibit 10.3 to the Company’s Quarterly Report on Form 10-Q for the quarter ended June 30, 2017, Commission File No. 0-19424)</w:t>
              </w:r>
            </w:hyperlink>
          </w:p>
        </w:tc>
        <w:tc>
          <w:tcPr>
            <w:tcW w:w="40" w:type="dxa"/>
            <w:vAlign w:val="bottom"/>
            <w:tcBorders>
              <w:top w:val="single" w:sz="8" w:color="CCEEFF"/>
            </w:tcBorders>
            <w:shd w:val="clear" w:color="auto" w:fill="CCEEFF"/>
          </w:tcPr>
          <w:p>
            <w:pPr>
              <w:spacing w:after="0"/>
              <w:rPr>
                <w:sz w:val="17"/>
                <w:szCs w:val="17"/>
                <w:color w:val="auto"/>
              </w:rPr>
            </w:pPr>
          </w:p>
        </w:tc>
      </w:tr>
      <w:tr>
        <w:trPr>
          <w:trHeight w:val="48"/>
        </w:trPr>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660" w:type="dxa"/>
            <w:vAlign w:val="bottom"/>
            <w:tcBorders>
              <w:top w:val="single" w:sz="8" w:color="0000FF"/>
              <w:right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right w:val="single" w:sz="8" w:color="CCEEFF"/>
            </w:tcBorders>
            <w:shd w:val="clear" w:color="auto" w:fill="CCEEFF"/>
          </w:tcPr>
          <w:p>
            <w:pPr>
              <w:spacing w:after="0"/>
              <w:rPr>
                <w:sz w:val="4"/>
                <w:szCs w:val="4"/>
                <w:color w:val="auto"/>
              </w:rPr>
            </w:pPr>
          </w:p>
        </w:tc>
        <w:tc>
          <w:tcPr>
            <w:tcW w:w="80" w:type="dxa"/>
            <w:vAlign w:val="bottom"/>
            <w:tcBorders>
              <w:top w:val="single" w:sz="8" w:color="0000FF"/>
              <w:left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right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gridSpan w:val="2"/>
          </w:tcPr>
          <w:p>
            <w:pPr>
              <w:jc w:val="center"/>
              <w:ind w:left="410"/>
              <w:spacing w:after="0" w:line="202"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24</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Call Option Termination Agreement, dated June 29, 2017, between EZCORP, Inc., and Jefferies International Limited (incorporated by</w:t>
              </w:r>
            </w:hyperlink>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reference to exhibit 10.4 to the Company’s Quarterly Report on Form 10-Q for the quarter ended June 30, 2017, Commission File No. 0-</w:t>
              </w:r>
            </w:hyperlink>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19424)</w:t>
              </w:r>
            </w:hyperlink>
          </w:p>
        </w:tc>
        <w:tc>
          <w:tcPr>
            <w:tcW w:w="1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gridSpan w:val="2"/>
            <w:shd w:val="clear" w:color="auto" w:fill="CCEEFF"/>
          </w:tcPr>
          <w:p>
            <w:pPr>
              <w:jc w:val="center"/>
              <w:ind w:left="410"/>
              <w:spacing w:after="0" w:line="202"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25</w:t>
              </w:r>
            </w:hyperlink>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Warrant Termination Agreement, dated June 29, 2017, between EZCORP, Inc., and Jefferies International Limited (incorporated by</w:t>
              </w:r>
            </w:hyperlink>
          </w:p>
        </w:tc>
      </w:tr>
      <w:tr>
        <w:trPr>
          <w:trHeight w:val="20"/>
        </w:trPr>
        <w:tc>
          <w:tcPr>
            <w:tcW w:w="5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CCEEFF"/>
            </w:tcBorders>
            <w:gridSpan w:val="6"/>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r>
      <w:tr>
        <w:trPr>
          <w:trHeight w:val="196"/>
        </w:trPr>
        <w:tc>
          <w:tcPr>
            <w:tcW w:w="5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reference to exhibit 10.5 to the Company’s Quarterly Report on Form 10-Q for the quarter ended June 30, 2017, Commission File No. 0-</w:t>
              </w:r>
            </w:hyperlink>
          </w:p>
        </w:tc>
      </w:tr>
      <w:tr>
        <w:trPr>
          <w:trHeight w:val="244"/>
        </w:trPr>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19424)</w:t>
              </w:r>
            </w:hyperlink>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1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666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0000FF"/>
              <w:left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900" w:type="dxa"/>
            <w:vAlign w:val="bottom"/>
            <w:gridSpan w:val="2"/>
          </w:tcPr>
          <w:p>
            <w:pPr>
              <w:jc w:val="center"/>
              <w:ind w:left="410"/>
              <w:spacing w:after="0" w:line="202" w:lineRule="exact"/>
              <w:rPr>
                <w:rFonts w:ascii="Arial" w:cs="Arial" w:eastAsia="Arial" w:hAnsi="Arial"/>
                <w:sz w:val="18"/>
                <w:szCs w:val="18"/>
                <w:color w:val="0000FF"/>
                <w:w w:val="88"/>
              </w:rPr>
            </w:pPr>
            <w:hyperlink r:id="rId6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26</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8"/>
              </w:rPr>
            </w:pPr>
            <w:hyperlink r:id="rId67">
              <w:r>
                <w:rPr>
                  <w:rFonts w:ascii="Arial" w:cs="Arial" w:eastAsia="Arial" w:hAnsi="Arial"/>
                  <w:sz w:val="18"/>
                  <w:szCs w:val="18"/>
                  <w:color w:val="0000FF"/>
                  <w:w w:val="98"/>
                </w:rPr>
                <w:t>Call Option Termination Agreement, dated June 29, 2017, between EZCORP, Inc., and Morgan Stanley &amp; Co. International plc</w:t>
              </w:r>
            </w:hyperlink>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6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w w:val="96"/>
              </w:rPr>
            </w:pPr>
            <w:hyperlink r:id="rId67">
              <w:r>
                <w:rPr>
                  <w:rFonts w:ascii="Arial" w:cs="Arial" w:eastAsia="Arial" w:hAnsi="Arial"/>
                  <w:sz w:val="18"/>
                  <w:szCs w:val="18"/>
                  <w:color w:val="0000FF"/>
                  <w:w w:val="96"/>
                </w:rPr>
                <w:t>(incorporated by reference to exhibit 10.6 to the Company’s Quarterly Report on Form 10-Q for the quarter ended June 30, 2017,</w:t>
              </w:r>
            </w:hyperlink>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Commission File No. 0-19424)</w:t>
              </w:r>
            </w:hyperlink>
          </w:p>
        </w:tc>
        <w:tc>
          <w:tcPr>
            <w:tcW w:w="600" w:type="dxa"/>
            <w:vAlign w:val="bottom"/>
            <w:gridSpan w:val="14"/>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gridSpan w:val="2"/>
            <w:shd w:val="clear" w:color="auto" w:fill="CCEEFF"/>
          </w:tcPr>
          <w:p>
            <w:pPr>
              <w:jc w:val="center"/>
              <w:ind w:left="410"/>
              <w:spacing w:after="0" w:line="202" w:lineRule="exact"/>
              <w:rPr>
                <w:rFonts w:ascii="Arial" w:cs="Arial" w:eastAsia="Arial" w:hAnsi="Arial"/>
                <w:sz w:val="18"/>
                <w:szCs w:val="18"/>
                <w:color w:val="0000FF"/>
                <w:w w:val="88"/>
              </w:rPr>
            </w:pPr>
            <w:hyperlink r:id="rId6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27</w:t>
              </w:r>
            </w:hyperlink>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rPr>
            </w:pPr>
            <w:hyperlink r:id="rId68">
              <w:r>
                <w:rPr>
                  <w:rFonts w:ascii="Arial" w:cs="Arial" w:eastAsia="Arial" w:hAnsi="Arial"/>
                  <w:sz w:val="18"/>
                  <w:szCs w:val="18"/>
                  <w:color w:val="0000FF"/>
                </w:rPr>
                <w:t>Warrant Termination Agreement, dated June 29, 2017, between EZCORP, Inc., and Morgan Stanley &amp; Co. International plc</w:t>
              </w:r>
            </w:hyperlink>
          </w:p>
        </w:tc>
      </w:tr>
      <w:tr>
        <w:trPr>
          <w:trHeight w:val="20"/>
        </w:trPr>
        <w:tc>
          <w:tcPr>
            <w:tcW w:w="5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6760" w:type="dxa"/>
            <w:vAlign w:val="bottom"/>
            <w:tcBorders>
              <w:right w:val="single" w:sz="8" w:color="CCEEFF"/>
            </w:tcBorders>
            <w:gridSpan w:val="2"/>
            <w:shd w:val="clear" w:color="auto" w:fill="0000FF"/>
          </w:tcPr>
          <w:p>
            <w:pPr>
              <w:spacing w:after="0" w:line="20" w:lineRule="exact"/>
              <w:rPr>
                <w:sz w:val="1"/>
                <w:szCs w:val="1"/>
                <w:color w:val="auto"/>
              </w:rPr>
            </w:pPr>
          </w:p>
        </w:tc>
        <w:tc>
          <w:tcPr>
            <w:tcW w:w="360" w:type="dxa"/>
            <w:vAlign w:val="bottom"/>
            <w:gridSpan w:val="4"/>
            <w:shd w:val="clear" w:color="auto" w:fill="CCEEFF"/>
          </w:tcPr>
          <w:p>
            <w:pPr>
              <w:spacing w:after="0" w:line="20" w:lineRule="exact"/>
              <w:rPr>
                <w:sz w:val="1"/>
                <w:szCs w:val="1"/>
                <w:color w:val="auto"/>
              </w:rPr>
            </w:pPr>
          </w:p>
        </w:tc>
        <w:tc>
          <w:tcPr>
            <w:tcW w:w="460" w:type="dxa"/>
            <w:vAlign w:val="bottom"/>
            <w:tcBorders>
              <w:right w:val="single" w:sz="8" w:color="CCEEFF"/>
            </w:tcBorders>
            <w:gridSpan w:val="11"/>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r>
      <w:tr>
        <w:trPr>
          <w:trHeight w:val="196"/>
        </w:trPr>
        <w:tc>
          <w:tcPr>
            <w:tcW w:w="5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900" w:type="dxa"/>
            <w:vAlign w:val="bottom"/>
            <w:gridSpan w:val="24"/>
            <w:shd w:val="clear" w:color="auto" w:fill="CCEEFF"/>
          </w:tcPr>
          <w:p>
            <w:pPr>
              <w:spacing w:after="0" w:line="196"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(incorporated by reference to exhibit 10.7 to the Company’s Quarterly Report on Form 10-Q for the quarter ended June 30, 2017,</w:t>
              </w:r>
            </w:hyperlink>
          </w:p>
        </w:tc>
      </w:tr>
      <w:tr>
        <w:trPr>
          <w:trHeight w:val="244"/>
        </w:trPr>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Commission File No. 0-19424)</w:t>
              </w:r>
            </w:hyperlink>
          </w:p>
        </w:tc>
        <w:tc>
          <w:tcPr>
            <w:tcW w:w="7040" w:type="dxa"/>
            <w:vAlign w:val="bottom"/>
            <w:tcBorders>
              <w:top w:val="single" w:sz="8" w:color="0000FF"/>
              <w:bottom w:val="single" w:sz="8" w:color="CCEEFF"/>
            </w:tcBorders>
            <w:gridSpan w:val="6"/>
            <w:shd w:val="clear" w:color="auto" w:fill="CCEEFF"/>
          </w:tcPr>
          <w:p>
            <w:pPr>
              <w:spacing w:after="0"/>
              <w:rPr>
                <w:sz w:val="21"/>
                <w:szCs w:val="21"/>
                <w:color w:val="auto"/>
              </w:rPr>
            </w:pPr>
          </w:p>
        </w:tc>
        <w:tc>
          <w:tcPr>
            <w:tcW w:w="600" w:type="dxa"/>
            <w:vAlign w:val="bottom"/>
            <w:tcBorders>
              <w:top w:val="single" w:sz="8" w:color="CCEEFF"/>
              <w:bottom w:val="single" w:sz="8" w:color="CCEEFF"/>
            </w:tcBorders>
            <w:gridSpan w:val="14"/>
            <w:shd w:val="clear" w:color="auto" w:fill="CCEEFF"/>
          </w:tcPr>
          <w:p>
            <w:pPr>
              <w:spacing w:after="0"/>
              <w:rPr>
                <w:sz w:val="21"/>
                <w:szCs w:val="21"/>
                <w:color w:val="auto"/>
              </w:rPr>
            </w:pPr>
          </w:p>
        </w:tc>
      </w:tr>
      <w:tr>
        <w:trPr>
          <w:trHeight w:val="203"/>
        </w:trPr>
        <w:tc>
          <w:tcPr>
            <w:tcW w:w="900" w:type="dxa"/>
            <w:vAlign w:val="bottom"/>
            <w:gridSpan w:val="2"/>
          </w:tcPr>
          <w:p>
            <w:pPr>
              <w:jc w:val="center"/>
              <w:ind w:left="410"/>
              <w:spacing w:after="0" w:line="202" w:lineRule="exact"/>
              <w:rPr>
                <w:rFonts w:ascii="Arial" w:cs="Arial" w:eastAsia="Arial" w:hAnsi="Arial"/>
                <w:sz w:val="18"/>
                <w:szCs w:val="18"/>
                <w:color w:val="0000FF"/>
                <w:w w:val="88"/>
              </w:rPr>
            </w:pPr>
            <w:hyperlink r:id="rId6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28</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6"/>
              </w:rPr>
            </w:pPr>
            <w:hyperlink r:id="rId69">
              <w:r>
                <w:rPr>
                  <w:rFonts w:ascii="Arial" w:cs="Arial" w:eastAsia="Arial" w:hAnsi="Arial"/>
                  <w:sz w:val="18"/>
                  <w:szCs w:val="18"/>
                  <w:color w:val="0000FF"/>
                  <w:w w:val="96"/>
                </w:rPr>
                <w:t>Separation Agreement and Release dated May 2, 2017, between EZCORP, Inc., and Mark Ashby, former Chief Financial Officer</w:t>
              </w:r>
            </w:hyperlink>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7120" w:type="dxa"/>
            <w:vAlign w:val="bottom"/>
            <w:gridSpan w:val="6"/>
            <w:shd w:val="clear" w:color="auto" w:fill="0000FF"/>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w w:val="93"/>
              </w:rPr>
            </w:pPr>
            <w:hyperlink r:id="rId69">
              <w:r>
                <w:rPr>
                  <w:rFonts w:ascii="Arial" w:cs="Arial" w:eastAsia="Arial" w:hAnsi="Arial"/>
                  <w:sz w:val="18"/>
                  <w:szCs w:val="18"/>
                  <w:color w:val="0000FF"/>
                  <w:w w:val="93"/>
                </w:rPr>
                <w:t>(incorporated by reference to Exhibit 99.1 to the Company’s Current Report on Form 8-K dated May 3, 2017, Commission File No. 0-</w:t>
              </w:r>
            </w:hyperlink>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19424)</w:t>
              </w:r>
            </w:hyperlink>
          </w:p>
        </w:tc>
        <w:tc>
          <w:tcPr>
            <w:tcW w:w="1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0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3"/>
            <w:shd w:val="clear" w:color="auto" w:fill="CCEEFF"/>
          </w:tcPr>
          <w:p>
            <w:pPr>
              <w:jc w:val="center"/>
              <w:ind w:right="620"/>
              <w:spacing w:after="0" w:line="202" w:lineRule="exact"/>
              <w:rPr>
                <w:rFonts w:ascii="Arial" w:cs="Arial" w:eastAsia="Arial" w:hAnsi="Arial"/>
                <w:sz w:val="18"/>
                <w:szCs w:val="18"/>
                <w:color w:val="0000FF"/>
                <w:w w:val="88"/>
              </w:rPr>
            </w:pPr>
            <w:hyperlink w:anchor="page133">
              <w:r>
                <w:rPr>
                  <w:rFonts w:ascii="Arial" w:cs="Arial" w:eastAsia="Arial" w:hAnsi="Arial"/>
                  <w:sz w:val="18"/>
                  <w:szCs w:val="18"/>
                  <w:color w:val="0000FF"/>
                  <w:w w:val="88"/>
                </w:rPr>
                <w:t>21.</w:t>
              </w:r>
              <w:r>
                <w:rPr>
                  <w:rFonts w:ascii="Arial" w:cs="Arial" w:eastAsia="Arial" w:hAnsi="Arial"/>
                  <w:sz w:val="18"/>
                  <w:szCs w:val="18"/>
                  <w:u w:val="single" w:color="auto"/>
                  <w:color w:val="0000FF"/>
                  <w:w w:val="88"/>
                </w:rPr>
                <w:t>1†</w:t>
              </w:r>
            </w:hyperlink>
          </w:p>
        </w:tc>
        <w:tc>
          <w:tcPr>
            <w:tcW w:w="9900" w:type="dxa"/>
            <w:vAlign w:val="bottom"/>
            <w:gridSpan w:val="24"/>
            <w:shd w:val="clear" w:color="auto" w:fill="CCEEFF"/>
          </w:tcPr>
          <w:p>
            <w:pPr>
              <w:spacing w:after="0" w:line="202" w:lineRule="exact"/>
              <w:rPr>
                <w:rFonts w:ascii="Arial" w:cs="Arial" w:eastAsia="Arial" w:hAnsi="Arial"/>
                <w:sz w:val="18"/>
                <w:szCs w:val="18"/>
                <w:color w:val="0000FF"/>
              </w:rPr>
            </w:pPr>
            <w:hyperlink w:anchor="page133">
              <w:r>
                <w:rPr>
                  <w:rFonts w:ascii="Arial" w:cs="Arial" w:eastAsia="Arial" w:hAnsi="Arial"/>
                  <w:sz w:val="18"/>
                  <w:szCs w:val="18"/>
                  <w:color w:val="0000FF"/>
                </w:rPr>
                <w:t>Subsidiaries of EZCORP, Inc.</w:t>
              </w:r>
            </w:hyperlink>
          </w:p>
        </w:tc>
      </w:tr>
      <w:tr>
        <w:trPr>
          <w:trHeight w:val="48"/>
        </w:trPr>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6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420"/>
          </w:cols>
          <w:pgMar w:left="240" w:top="108" w:right="2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860" w:type="dxa"/>
            <w:vAlign w:val="bottom"/>
            <w:gridSpan w:val="6"/>
          </w:tcPr>
          <w:p>
            <w:pPr>
              <w:jc w:val="center"/>
              <w:ind w:right="340"/>
              <w:spacing w:after="0"/>
              <w:rPr>
                <w:rFonts w:ascii="Arial" w:cs="Arial" w:eastAsia="Arial" w:hAnsi="Arial"/>
                <w:sz w:val="18"/>
                <w:szCs w:val="18"/>
                <w:color w:val="0000FF"/>
                <w:w w:val="88"/>
              </w:rPr>
            </w:pPr>
            <w:hyperlink w:anchor="page135">
              <w:r>
                <w:rPr>
                  <w:rFonts w:ascii="Arial" w:cs="Arial" w:eastAsia="Arial" w:hAnsi="Arial"/>
                  <w:sz w:val="18"/>
                  <w:szCs w:val="18"/>
                  <w:color w:val="0000FF"/>
                  <w:w w:val="88"/>
                </w:rPr>
                <w:t>23.</w:t>
              </w:r>
              <w:r>
                <w:rPr>
                  <w:rFonts w:ascii="Arial" w:cs="Arial" w:eastAsia="Arial" w:hAnsi="Arial"/>
                  <w:sz w:val="18"/>
                  <w:szCs w:val="18"/>
                  <w:u w:val="single" w:color="auto"/>
                  <w:color w:val="0000FF"/>
                  <w:w w:val="88"/>
                </w:rPr>
                <w:t>1†</w:t>
              </w:r>
            </w:hyperlink>
          </w:p>
        </w:tc>
        <w:tc>
          <w:tcPr>
            <w:tcW w:w="220" w:type="dxa"/>
            <w:vAlign w:val="bottom"/>
          </w:tcPr>
          <w:p>
            <w:pPr>
              <w:spacing w:after="0"/>
              <w:rPr>
                <w:sz w:val="17"/>
                <w:szCs w:val="17"/>
                <w:color w:val="auto"/>
              </w:rPr>
            </w:pPr>
          </w:p>
        </w:tc>
        <w:tc>
          <w:tcPr>
            <w:tcW w:w="9900" w:type="dxa"/>
            <w:vAlign w:val="bottom"/>
            <w:gridSpan w:val="10"/>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Consent of BDO USA, LLP</w:t>
              </w:r>
            </w:hyperlink>
          </w:p>
        </w:tc>
      </w:tr>
      <w:tr>
        <w:trPr>
          <w:trHeight w:val="48"/>
        </w:trPr>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2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440" w:type="dxa"/>
            <w:vAlign w:val="bottom"/>
            <w:shd w:val="clear" w:color="auto" w:fill="CCEEFF"/>
          </w:tcPr>
          <w:p>
            <w:pPr>
              <w:spacing w:after="0"/>
              <w:rPr>
                <w:sz w:val="17"/>
                <w:szCs w:val="17"/>
                <w:color w:val="auto"/>
              </w:rPr>
            </w:pPr>
          </w:p>
        </w:tc>
        <w:tc>
          <w:tcPr>
            <w:tcW w:w="860" w:type="dxa"/>
            <w:vAlign w:val="bottom"/>
            <w:gridSpan w:val="6"/>
            <w:shd w:val="clear" w:color="auto" w:fill="CCEEFF"/>
          </w:tcPr>
          <w:p>
            <w:pPr>
              <w:jc w:val="center"/>
              <w:ind w:right="340"/>
              <w:spacing w:after="0" w:line="202" w:lineRule="exact"/>
              <w:rPr>
                <w:rFonts w:ascii="Arial" w:cs="Arial" w:eastAsia="Arial" w:hAnsi="Arial"/>
                <w:sz w:val="18"/>
                <w:szCs w:val="18"/>
                <w:color w:val="0000FF"/>
                <w:w w:val="88"/>
              </w:rPr>
            </w:pPr>
            <w:hyperlink w:anchor="page136">
              <w:r>
                <w:rPr>
                  <w:rFonts w:ascii="Arial" w:cs="Arial" w:eastAsia="Arial" w:hAnsi="Arial"/>
                  <w:sz w:val="18"/>
                  <w:szCs w:val="18"/>
                  <w:color w:val="0000FF"/>
                  <w:w w:val="88"/>
                </w:rPr>
                <w:t>31.</w:t>
              </w:r>
              <w:r>
                <w:rPr>
                  <w:rFonts w:ascii="Arial" w:cs="Arial" w:eastAsia="Arial" w:hAnsi="Arial"/>
                  <w:sz w:val="18"/>
                  <w:szCs w:val="18"/>
                  <w:u w:val="single" w:color="auto"/>
                  <w:color w:val="0000FF"/>
                  <w:w w:val="88"/>
                </w:rPr>
                <w:t>1†</w:t>
              </w:r>
            </w:hyperlink>
          </w:p>
        </w:tc>
        <w:tc>
          <w:tcPr>
            <w:tcW w:w="220" w:type="dxa"/>
            <w:vAlign w:val="bottom"/>
            <w:shd w:val="clear" w:color="auto" w:fill="CCEEFF"/>
          </w:tcPr>
          <w:p>
            <w:pPr>
              <w:spacing w:after="0"/>
              <w:rPr>
                <w:sz w:val="17"/>
                <w:szCs w:val="17"/>
                <w:color w:val="auto"/>
              </w:rPr>
            </w:pPr>
          </w:p>
        </w:tc>
        <w:tc>
          <w:tcPr>
            <w:tcW w:w="9900" w:type="dxa"/>
            <w:vAlign w:val="bottom"/>
            <w:gridSpan w:val="10"/>
            <w:shd w:val="clear" w:color="auto" w:fill="CCEEFF"/>
          </w:tcPr>
          <w:p>
            <w:pPr>
              <w:spacing w:after="0" w:line="202" w:lineRule="exact"/>
              <w:rPr>
                <w:rFonts w:ascii="Arial" w:cs="Arial" w:eastAsia="Arial" w:hAnsi="Arial"/>
                <w:sz w:val="18"/>
                <w:szCs w:val="18"/>
                <w:color w:val="0000FF"/>
                <w:w w:val="92"/>
              </w:rPr>
            </w:pPr>
            <w:hyperlink w:anchor="page136">
              <w:r>
                <w:rPr>
                  <w:rFonts w:ascii="Arial" w:cs="Arial" w:eastAsia="Arial" w:hAnsi="Arial"/>
                  <w:sz w:val="18"/>
                  <w:szCs w:val="18"/>
                  <w:color w:val="0000FF"/>
                  <w:w w:val="92"/>
                </w:rPr>
                <w:t>Certification of Stuart I. Grimshaw, Chief Executive Officer, pursuant to Rule 13a-14(a) under the Securities Exchange Act of 1934, as</w:t>
              </w:r>
            </w:hyperlink>
          </w:p>
        </w:tc>
      </w:tr>
      <w:tr>
        <w:trPr>
          <w:trHeight w:val="244"/>
        </w:trPr>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8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9"/>
              </w:rPr>
            </w:pPr>
            <w:hyperlink w:anchor="page136">
              <w:r>
                <w:rPr>
                  <w:rFonts w:ascii="Arial" w:cs="Arial" w:eastAsia="Arial" w:hAnsi="Arial"/>
                  <w:sz w:val="18"/>
                  <w:szCs w:val="18"/>
                  <w:color w:val="0000FF"/>
                  <w:w w:val="89"/>
                </w:rPr>
                <w:t>adopted pursuant to Section 302 of the Sarbanes-Oxley Act of 2002</w:t>
              </w:r>
            </w:hyperlink>
          </w:p>
        </w:tc>
        <w:tc>
          <w:tcPr>
            <w:tcW w:w="4840" w:type="dxa"/>
            <w:vAlign w:val="bottom"/>
            <w:tcBorders>
              <w:top w:val="single" w:sz="8" w:color="0000FF"/>
              <w:bottom w:val="single" w:sz="8" w:color="CCEEFF"/>
            </w:tcBorders>
            <w:gridSpan w:val="5"/>
            <w:shd w:val="clear" w:color="auto" w:fill="CCEEFF"/>
          </w:tcPr>
          <w:p>
            <w:pPr>
              <w:spacing w:after="0"/>
              <w:rPr>
                <w:sz w:val="21"/>
                <w:szCs w:val="21"/>
                <w:color w:val="auto"/>
              </w:rPr>
            </w:pPr>
          </w:p>
        </w:tc>
        <w:tc>
          <w:tcPr>
            <w:tcW w:w="180" w:type="dxa"/>
            <w:vAlign w:val="bottom"/>
            <w:tcBorders>
              <w:top w:val="single" w:sz="8" w:color="CCEEFF"/>
              <w:bottom w:val="single" w:sz="8" w:color="CCEEFF"/>
            </w:tcBorders>
            <w:gridSpan w:val="3"/>
            <w:shd w:val="clear" w:color="auto" w:fill="CCEEFF"/>
          </w:tcPr>
          <w:p>
            <w:pPr>
              <w:spacing w:after="0"/>
              <w:rPr>
                <w:sz w:val="21"/>
                <w:szCs w:val="21"/>
                <w:color w:val="auto"/>
              </w:rPr>
            </w:pPr>
          </w:p>
        </w:tc>
      </w:tr>
      <w:tr>
        <w:trPr>
          <w:trHeight w:val="203"/>
        </w:trPr>
        <w:tc>
          <w:tcPr>
            <w:tcW w:w="440" w:type="dxa"/>
            <w:vAlign w:val="bottom"/>
          </w:tcPr>
          <w:p>
            <w:pPr>
              <w:spacing w:after="0"/>
              <w:rPr>
                <w:sz w:val="17"/>
                <w:szCs w:val="17"/>
                <w:color w:val="auto"/>
              </w:rPr>
            </w:pPr>
          </w:p>
        </w:tc>
        <w:tc>
          <w:tcPr>
            <w:tcW w:w="860" w:type="dxa"/>
            <w:vAlign w:val="bottom"/>
            <w:gridSpan w:val="6"/>
          </w:tcPr>
          <w:p>
            <w:pPr>
              <w:jc w:val="center"/>
              <w:ind w:right="340"/>
              <w:spacing w:after="0" w:line="202" w:lineRule="exact"/>
              <w:rPr>
                <w:rFonts w:ascii="Arial" w:cs="Arial" w:eastAsia="Arial" w:hAnsi="Arial"/>
                <w:sz w:val="18"/>
                <w:szCs w:val="18"/>
                <w:color w:val="0000FF"/>
                <w:w w:val="88"/>
              </w:rPr>
            </w:pPr>
            <w:hyperlink w:anchor="page137">
              <w:r>
                <w:rPr>
                  <w:rFonts w:ascii="Arial" w:cs="Arial" w:eastAsia="Arial" w:hAnsi="Arial"/>
                  <w:sz w:val="18"/>
                  <w:szCs w:val="18"/>
                  <w:color w:val="0000FF"/>
                  <w:w w:val="88"/>
                </w:rPr>
                <w:t>31.</w:t>
              </w:r>
              <w:r>
                <w:rPr>
                  <w:rFonts w:ascii="Arial" w:cs="Arial" w:eastAsia="Arial" w:hAnsi="Arial"/>
                  <w:sz w:val="18"/>
                  <w:szCs w:val="18"/>
                  <w:u w:val="single" w:color="auto"/>
                  <w:color w:val="0000FF"/>
                  <w:w w:val="88"/>
                </w:rPr>
                <w:t>2†</w:t>
              </w:r>
            </w:hyperlink>
          </w:p>
        </w:tc>
        <w:tc>
          <w:tcPr>
            <w:tcW w:w="220" w:type="dxa"/>
            <w:vAlign w:val="bottom"/>
          </w:tcPr>
          <w:p>
            <w:pPr>
              <w:spacing w:after="0"/>
              <w:rPr>
                <w:sz w:val="17"/>
                <w:szCs w:val="17"/>
                <w:color w:val="auto"/>
              </w:rPr>
            </w:pPr>
          </w:p>
        </w:tc>
        <w:tc>
          <w:tcPr>
            <w:tcW w:w="9900" w:type="dxa"/>
            <w:vAlign w:val="bottom"/>
            <w:gridSpan w:val="10"/>
          </w:tcPr>
          <w:p>
            <w:pPr>
              <w:spacing w:after="0" w:line="202" w:lineRule="exact"/>
              <w:rPr>
                <w:rFonts w:ascii="Arial" w:cs="Arial" w:eastAsia="Arial" w:hAnsi="Arial"/>
                <w:sz w:val="18"/>
                <w:szCs w:val="18"/>
                <w:color w:val="0000FF"/>
                <w:w w:val="95"/>
              </w:rPr>
            </w:pPr>
            <w:hyperlink w:anchor="page137">
              <w:r>
                <w:rPr>
                  <w:rFonts w:ascii="Arial" w:cs="Arial" w:eastAsia="Arial" w:hAnsi="Arial"/>
                  <w:sz w:val="18"/>
                  <w:szCs w:val="18"/>
                  <w:color w:val="0000FF"/>
                  <w:w w:val="95"/>
                </w:rPr>
                <w:t>Certification of Daniel M. Chism, Chief Financial Officer, pursuant to Rule 13a-14(a) under the Securities Exchange Act of 1934, as</w:t>
              </w:r>
            </w:hyperlink>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137">
              <w:r>
                <w:rPr>
                  <w:rFonts w:ascii="Arial" w:cs="Arial" w:eastAsia="Arial" w:hAnsi="Arial"/>
                  <w:sz w:val="18"/>
                  <w:szCs w:val="18"/>
                  <w:color w:val="0000FF"/>
                </w:rPr>
                <w:t>adopted pursuant to Section 302 of the Sarbanes-Oxley Act of 2002</w:t>
              </w:r>
            </w:hyperlink>
          </w:p>
        </w:tc>
        <w:tc>
          <w:tcPr>
            <w:tcW w:w="340" w:type="dxa"/>
            <w:vAlign w:val="bottom"/>
            <w:gridSpan w:val="4"/>
          </w:tcPr>
          <w:p>
            <w:pPr>
              <w:spacing w:after="0"/>
              <w:rPr>
                <w:sz w:val="17"/>
                <w:szCs w:val="17"/>
                <w:color w:val="auto"/>
              </w:rPr>
            </w:pPr>
          </w:p>
        </w:tc>
      </w:tr>
      <w:tr>
        <w:trPr>
          <w:trHeight w:val="48"/>
        </w:trPr>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440" w:type="dxa"/>
            <w:vAlign w:val="bottom"/>
            <w:shd w:val="clear" w:color="auto" w:fill="CCEEFF"/>
          </w:tcPr>
          <w:p>
            <w:pPr>
              <w:spacing w:after="0"/>
              <w:rPr>
                <w:sz w:val="17"/>
                <w:szCs w:val="17"/>
                <w:color w:val="auto"/>
              </w:rPr>
            </w:pPr>
          </w:p>
        </w:tc>
        <w:tc>
          <w:tcPr>
            <w:tcW w:w="860" w:type="dxa"/>
            <w:vAlign w:val="bottom"/>
            <w:gridSpan w:val="6"/>
            <w:shd w:val="clear" w:color="auto" w:fill="CCEEFF"/>
          </w:tcPr>
          <w:p>
            <w:pPr>
              <w:jc w:val="center"/>
              <w:ind w:right="360"/>
              <w:spacing w:after="0" w:line="202" w:lineRule="exact"/>
              <w:rPr>
                <w:rFonts w:ascii="Arial" w:cs="Arial" w:eastAsia="Arial" w:hAnsi="Arial"/>
                <w:sz w:val="18"/>
                <w:szCs w:val="18"/>
                <w:color w:val="0000FF"/>
                <w:w w:val="90"/>
              </w:rPr>
            </w:pPr>
            <w:hyperlink w:anchor="page138">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p>
        </w:tc>
        <w:tc>
          <w:tcPr>
            <w:tcW w:w="220" w:type="dxa"/>
            <w:vAlign w:val="bottom"/>
            <w:shd w:val="clear" w:color="auto" w:fill="CCEEFF"/>
          </w:tcPr>
          <w:p>
            <w:pPr>
              <w:spacing w:after="0"/>
              <w:rPr>
                <w:sz w:val="17"/>
                <w:szCs w:val="17"/>
                <w:color w:val="auto"/>
              </w:rPr>
            </w:pPr>
          </w:p>
        </w:tc>
        <w:tc>
          <w:tcPr>
            <w:tcW w:w="9900" w:type="dxa"/>
            <w:vAlign w:val="bottom"/>
            <w:gridSpan w:val="10"/>
            <w:shd w:val="clear" w:color="auto" w:fill="CCEEFF"/>
          </w:tcPr>
          <w:p>
            <w:pPr>
              <w:spacing w:after="0" w:line="202" w:lineRule="exact"/>
              <w:rPr>
                <w:rFonts w:ascii="Arial" w:cs="Arial" w:eastAsia="Arial" w:hAnsi="Arial"/>
                <w:sz w:val="18"/>
                <w:szCs w:val="18"/>
                <w:color w:val="0000FF"/>
                <w:w w:val="97"/>
              </w:rPr>
            </w:pPr>
            <w:hyperlink w:anchor="page138">
              <w:r>
                <w:rPr>
                  <w:rFonts w:ascii="Arial" w:cs="Arial" w:eastAsia="Arial" w:hAnsi="Arial"/>
                  <w:sz w:val="18"/>
                  <w:szCs w:val="18"/>
                  <w:color w:val="0000FF"/>
                  <w:w w:val="97"/>
                </w:rPr>
                <w:t>Certification of Stuart I. Grimshaw, Chief Executive Officer, and Daniel M. Chism, Chief Financial Officer, pursuant to 18 U.S.C.</w:t>
              </w:r>
            </w:hyperlink>
          </w:p>
        </w:tc>
      </w:tr>
      <w:tr>
        <w:trPr>
          <w:trHeight w:val="196"/>
        </w:trPr>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38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rPr>
            </w:pPr>
            <w:hyperlink w:anchor="page138">
              <w:r>
                <w:rPr>
                  <w:rFonts w:ascii="Arial" w:cs="Arial" w:eastAsia="Arial" w:hAnsi="Arial"/>
                  <w:sz w:val="18"/>
                  <w:szCs w:val="18"/>
                  <w:color w:val="0000FF"/>
                </w:rPr>
                <w:t>Section 1350, as adopted pursuant to Section 906 of the Sarbanes-Oxley Act of 2002</w:t>
              </w:r>
            </w:hyperlink>
          </w:p>
        </w:tc>
        <w:tc>
          <w:tcPr>
            <w:tcW w:w="520" w:type="dxa"/>
            <w:vAlign w:val="bottom"/>
            <w:tcBorders>
              <w:top w:val="single" w:sz="8" w:color="CCEEFF"/>
            </w:tcBorders>
            <w:gridSpan w:val="5"/>
            <w:shd w:val="clear" w:color="auto" w:fill="CCEEFF"/>
          </w:tcPr>
          <w:p>
            <w:pPr>
              <w:spacing w:after="0"/>
              <w:rPr>
                <w:sz w:val="17"/>
                <w:szCs w:val="17"/>
                <w:color w:val="auto"/>
              </w:rPr>
            </w:pPr>
          </w:p>
        </w:tc>
      </w:tr>
      <w:tr>
        <w:trPr>
          <w:trHeight w:val="48"/>
        </w:trPr>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0000FF"/>
            </w:tcBorders>
            <w:shd w:val="clear" w:color="auto" w:fill="CCEEFF"/>
          </w:tcPr>
          <w:p>
            <w:pPr>
              <w:spacing w:after="0"/>
              <w:rPr>
                <w:sz w:val="4"/>
                <w:szCs w:val="4"/>
                <w:color w:val="auto"/>
              </w:rPr>
            </w:pPr>
          </w:p>
        </w:tc>
        <w:tc>
          <w:tcPr>
            <w:tcW w:w="286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gridSpan w:val="5"/>
          </w:tcPr>
          <w:p>
            <w:pPr>
              <w:jc w:val="center"/>
              <w:ind w:left="412"/>
              <w:spacing w:after="0" w:line="202"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0"/>
          </w:tcPr>
          <w:p>
            <w:pPr>
              <w:spacing w:after="0" w:line="202"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Letter Agreement, dated as of September 27, 2017, among Prestaciones Finmart S.A.P.I. de C.V., SOFOM, E.N.R.; Alpha Holding, S.A.</w:t>
              </w:r>
            </w:hyperlink>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top w:val="single" w:sz="8" w:color="0000FF"/>
            </w:tcBorders>
            <w:gridSpan w:val="9"/>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de C.V.; Texas EZPAWN L.P.; and EZPAWN Management Mexico, S. de R.L. de C.V. (incorporated by reference to Exhibit 99.1 to the</w:t>
              </w:r>
            </w:hyperlink>
          </w:p>
        </w:tc>
        <w:tc>
          <w:tcPr>
            <w:tcW w:w="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Company’s Current Report on Form 8-K dated October 3, 2017, Commission File No. 0-19424)</w:t>
              </w:r>
            </w:hyperlink>
          </w:p>
        </w:tc>
        <w:tc>
          <w:tcPr>
            <w:tcW w:w="160" w:type="dxa"/>
            <w:vAlign w:val="bottom"/>
            <w:gridSpan w:val="2"/>
          </w:tcPr>
          <w:p>
            <w:pPr>
              <w:spacing w:after="0"/>
              <w:rPr>
                <w:sz w:val="17"/>
                <w:szCs w:val="17"/>
                <w:color w:val="auto"/>
              </w:rPr>
            </w:pPr>
          </w:p>
        </w:tc>
      </w:tr>
      <w:tr>
        <w:trPr>
          <w:trHeight w:val="48"/>
        </w:trPr>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300" w:type="dxa"/>
            <w:vAlign w:val="bottom"/>
            <w:tcBorders>
              <w:bottom w:val="single" w:sz="8" w:color="CCEEFF"/>
            </w:tcBorders>
            <w:gridSpan w:val="7"/>
            <w:shd w:val="clear" w:color="auto" w:fill="CCEEFF"/>
          </w:tcPr>
          <w:p>
            <w:pPr>
              <w:jc w:val="center"/>
              <w:ind w:left="12"/>
              <w:spacing w:after="0"/>
              <w:rPr>
                <w:sz w:val="20"/>
                <w:szCs w:val="20"/>
                <w:color w:val="auto"/>
              </w:rPr>
            </w:pPr>
            <w:r>
              <w:rPr>
                <w:rFonts w:ascii="Arial" w:cs="Arial" w:eastAsia="Arial" w:hAnsi="Arial"/>
                <w:sz w:val="18"/>
                <w:szCs w:val="18"/>
                <w:color w:val="auto"/>
                <w:w w:val="92"/>
              </w:rPr>
              <w:t>101.INS†††</w:t>
            </w:r>
          </w:p>
        </w:tc>
        <w:tc>
          <w:tcPr>
            <w:tcW w:w="2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300" w:type="dxa"/>
            <w:vAlign w:val="bottom"/>
            <w:gridSpan w:val="7"/>
          </w:tcPr>
          <w:p>
            <w:pPr>
              <w:jc w:val="center"/>
              <w:spacing w:after="0"/>
              <w:rPr>
                <w:sz w:val="20"/>
                <w:szCs w:val="20"/>
                <w:color w:val="auto"/>
              </w:rPr>
            </w:pPr>
            <w:r>
              <w:rPr>
                <w:rFonts w:ascii="Arial" w:cs="Arial" w:eastAsia="Arial" w:hAnsi="Arial"/>
                <w:sz w:val="18"/>
                <w:szCs w:val="18"/>
                <w:color w:val="auto"/>
                <w:w w:val="91"/>
              </w:rPr>
              <w:t>101.SCH†††</w:t>
            </w:r>
          </w:p>
        </w:tc>
        <w:tc>
          <w:tcPr>
            <w:tcW w:w="220" w:type="dxa"/>
            <w:vAlign w:val="bottom"/>
          </w:tcPr>
          <w:p>
            <w:pPr>
              <w:spacing w:after="0"/>
              <w:rPr>
                <w:sz w:val="21"/>
                <w:szCs w:val="21"/>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300" w:type="dxa"/>
            <w:vAlign w:val="bottom"/>
            <w:tcBorders>
              <w:bottom w:val="single" w:sz="8" w:color="CCEEFF"/>
            </w:tcBorders>
            <w:gridSpan w:val="7"/>
            <w:shd w:val="clear" w:color="auto" w:fill="CCEEFF"/>
          </w:tcPr>
          <w:p>
            <w:pPr>
              <w:jc w:val="center"/>
              <w:spacing w:after="0"/>
              <w:rPr>
                <w:sz w:val="20"/>
                <w:szCs w:val="20"/>
                <w:color w:val="auto"/>
              </w:rPr>
            </w:pPr>
            <w:r>
              <w:rPr>
                <w:rFonts w:ascii="Arial" w:cs="Arial" w:eastAsia="Arial" w:hAnsi="Arial"/>
                <w:sz w:val="18"/>
                <w:szCs w:val="18"/>
                <w:color w:val="auto"/>
                <w:w w:val="93"/>
              </w:rPr>
              <w:t>101.CAL†††</w:t>
            </w:r>
          </w:p>
        </w:tc>
        <w:tc>
          <w:tcPr>
            <w:tcW w:w="2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300" w:type="dxa"/>
            <w:vAlign w:val="bottom"/>
            <w:gridSpan w:val="7"/>
          </w:tcPr>
          <w:p>
            <w:pPr>
              <w:jc w:val="center"/>
              <w:spacing w:after="0"/>
              <w:rPr>
                <w:sz w:val="20"/>
                <w:szCs w:val="20"/>
                <w:color w:val="auto"/>
              </w:rPr>
            </w:pPr>
            <w:r>
              <w:rPr>
                <w:rFonts w:ascii="Arial" w:cs="Arial" w:eastAsia="Arial" w:hAnsi="Arial"/>
                <w:sz w:val="18"/>
                <w:szCs w:val="18"/>
                <w:color w:val="auto"/>
                <w:w w:val="94"/>
              </w:rPr>
              <w:t>101.LAB†††</w:t>
            </w:r>
          </w:p>
        </w:tc>
        <w:tc>
          <w:tcPr>
            <w:tcW w:w="220" w:type="dxa"/>
            <w:vAlign w:val="bottom"/>
          </w:tcPr>
          <w:p>
            <w:pPr>
              <w:spacing w:after="0"/>
              <w:rPr>
                <w:sz w:val="21"/>
                <w:szCs w:val="21"/>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300" w:type="dxa"/>
            <w:vAlign w:val="bottom"/>
            <w:tcBorders>
              <w:bottom w:val="single" w:sz="8" w:color="CCEEFF"/>
            </w:tcBorders>
            <w:gridSpan w:val="7"/>
            <w:shd w:val="clear" w:color="auto" w:fill="CCEEFF"/>
          </w:tcPr>
          <w:p>
            <w:pPr>
              <w:jc w:val="center"/>
              <w:ind w:left="12"/>
              <w:spacing w:after="0"/>
              <w:rPr>
                <w:sz w:val="20"/>
                <w:szCs w:val="20"/>
                <w:color w:val="auto"/>
              </w:rPr>
            </w:pPr>
            <w:r>
              <w:rPr>
                <w:rFonts w:ascii="Arial" w:cs="Arial" w:eastAsia="Arial" w:hAnsi="Arial"/>
                <w:sz w:val="18"/>
                <w:szCs w:val="18"/>
                <w:color w:val="auto"/>
                <w:w w:val="90"/>
              </w:rPr>
              <w:t>101.DEF†††</w:t>
            </w:r>
          </w:p>
        </w:tc>
        <w:tc>
          <w:tcPr>
            <w:tcW w:w="2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300" w:type="dxa"/>
            <w:vAlign w:val="bottom"/>
            <w:gridSpan w:val="7"/>
          </w:tcPr>
          <w:p>
            <w:pPr>
              <w:jc w:val="center"/>
              <w:ind w:left="12"/>
              <w:spacing w:after="0"/>
              <w:rPr>
                <w:sz w:val="20"/>
                <w:szCs w:val="20"/>
                <w:color w:val="auto"/>
              </w:rPr>
            </w:pPr>
            <w:r>
              <w:rPr>
                <w:rFonts w:ascii="Arial" w:cs="Arial" w:eastAsia="Arial" w:hAnsi="Arial"/>
                <w:sz w:val="18"/>
                <w:szCs w:val="18"/>
                <w:color w:val="auto"/>
                <w:w w:val="90"/>
              </w:rPr>
              <w:t>101.PRE†††</w:t>
            </w:r>
          </w:p>
        </w:tc>
        <w:tc>
          <w:tcPr>
            <w:tcW w:w="220" w:type="dxa"/>
            <w:vAlign w:val="bottom"/>
          </w:tcPr>
          <w:p>
            <w:pPr>
              <w:spacing w:after="0"/>
              <w:rPr>
                <w:sz w:val="21"/>
                <w:szCs w:val="21"/>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97"/>
        </w:trPr>
        <w:tc>
          <w:tcPr>
            <w:tcW w:w="3540" w:type="dxa"/>
            <w:vAlign w:val="bottom"/>
            <w:gridSpan w:val="9"/>
          </w:tcPr>
          <w:p>
            <w:pPr>
              <w:jc w:val="right"/>
              <w:ind w:right="830"/>
              <w:spacing w:after="0"/>
              <w:rPr>
                <w:sz w:val="20"/>
                <w:szCs w:val="20"/>
                <w:color w:val="auto"/>
              </w:rPr>
            </w:pPr>
            <w:r>
              <w:rPr>
                <w:rFonts w:ascii="Arial" w:cs="Arial" w:eastAsia="Arial" w:hAnsi="Arial"/>
                <w:sz w:val="18"/>
                <w:szCs w:val="18"/>
                <w:color w:val="auto"/>
                <w:w w:val="89"/>
              </w:rPr>
              <w:t>_____________________________</w:t>
            </w:r>
          </w:p>
        </w:tc>
        <w:tc>
          <w:tcPr>
            <w:tcW w:w="2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3"/>
        </w:trPr>
        <w:tc>
          <w:tcPr>
            <w:tcW w:w="440" w:type="dxa"/>
            <w:vAlign w:val="bottom"/>
          </w:tcPr>
          <w:p>
            <w:pPr>
              <w:jc w:val="right"/>
              <w:ind w:right="23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20" w:type="dxa"/>
            <w:vAlign w:val="bottom"/>
            <w:gridSpan w:val="11"/>
          </w:tcPr>
          <w:p>
            <w:pPr>
              <w:ind w:left="120"/>
              <w:spacing w:after="0"/>
              <w:rPr>
                <w:sz w:val="20"/>
                <w:szCs w:val="20"/>
                <w:color w:val="auto"/>
              </w:rPr>
            </w:pPr>
            <w:r>
              <w:rPr>
                <w:rFonts w:ascii="Arial" w:cs="Arial" w:eastAsia="Arial" w:hAnsi="Arial"/>
                <w:sz w:val="16"/>
                <w:szCs w:val="16"/>
                <w:color w:val="auto"/>
              </w:rPr>
              <w:t>Identifies Exhibit that consists of or includes a management contract or compensatory plan or arrangement.</w:t>
            </w:r>
          </w:p>
        </w:tc>
      </w:tr>
      <w:tr>
        <w:trPr>
          <w:trHeight w:val="270"/>
        </w:trPr>
        <w:tc>
          <w:tcPr>
            <w:tcW w:w="1300" w:type="dxa"/>
            <w:vAlign w:val="bottom"/>
            <w:gridSpan w:val="7"/>
          </w:tcPr>
          <w:p>
            <w:pPr>
              <w:jc w:val="right"/>
              <w:ind w:right="1180"/>
              <w:spacing w:after="0"/>
              <w:rPr>
                <w:sz w:val="20"/>
                <w:szCs w:val="20"/>
                <w:color w:val="auto"/>
              </w:rPr>
            </w:pPr>
            <w:r>
              <w:rPr>
                <w:rFonts w:ascii="Arial" w:cs="Arial" w:eastAsia="Arial" w:hAnsi="Arial"/>
                <w:sz w:val="16"/>
                <w:szCs w:val="16"/>
                <w:color w:val="auto"/>
              </w:rPr>
              <w:t>†</w:t>
            </w:r>
          </w:p>
        </w:tc>
        <w:tc>
          <w:tcPr>
            <w:tcW w:w="10120" w:type="dxa"/>
            <w:vAlign w:val="bottom"/>
            <w:gridSpan w:val="11"/>
          </w:tcPr>
          <w:p>
            <w:pPr>
              <w:ind w:left="120"/>
              <w:spacing w:after="0"/>
              <w:rPr>
                <w:sz w:val="20"/>
                <w:szCs w:val="20"/>
                <w:color w:val="auto"/>
              </w:rPr>
            </w:pPr>
            <w:r>
              <w:rPr>
                <w:rFonts w:ascii="Arial" w:cs="Arial" w:eastAsia="Arial" w:hAnsi="Arial"/>
                <w:sz w:val="16"/>
                <w:szCs w:val="16"/>
                <w:color w:val="auto"/>
              </w:rPr>
              <w:t>Filed herewith.</w:t>
            </w:r>
          </w:p>
        </w:tc>
      </w:tr>
    </w:tbl>
    <w:p>
      <w:pPr>
        <w:spacing w:after="0" w:line="64" w:lineRule="exact"/>
        <w:rPr>
          <w:sz w:val="20"/>
          <w:szCs w:val="20"/>
          <w:color w:val="auto"/>
        </w:rPr>
      </w:pPr>
    </w:p>
    <w:p>
      <w:pPr>
        <w:ind w:left="1420" w:hanging="1385"/>
        <w:spacing w:after="0"/>
        <w:tabs>
          <w:tab w:leader="none" w:pos="14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420" w:right="240" w:hanging="1385"/>
        <w:spacing w:after="0" w:line="291" w:lineRule="auto"/>
        <w:tabs>
          <w:tab w:leader="none" w:pos="142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Filed herewith as Exhibit 101 to this report are the following formatted in XBRL (Extensible Business Reporting Language): (i) Consolidated Balance Sheets at September 30, 2017, and September 30, 2016; (ii) Consolidated Statements of Operations for the years ended September 30, 2017, September 30, 2016 and September 30, 2015; (iii) Consolidated Statements of Comprehensive Income (Loss) for the years ended September 30, 2017, September 30, 2016 and September 30, 2015; Consolidated Statements of Cash Flows for the for the years ended September 30, 2017, September 30, 2016 and September 30, 2015; Consolidated Statements of Shareholders’ Equity for the years ended September 30, 2017, September 30, 2016 and September 30, 2015; and (iv) Notes to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40"/>
        <w:spacing w:after="0"/>
        <w:tabs>
          <w:tab w:leader="none" w:pos="5160" w:val="left"/>
          <w:tab w:leader="none" w:pos="5720" w:val="left"/>
        </w:tabs>
        <w:rPr>
          <w:sz w:val="20"/>
          <w:szCs w:val="20"/>
          <w:color w:val="auto"/>
        </w:rPr>
      </w:pPr>
      <w:r>
        <w:rPr>
          <w:rFonts w:ascii="Arial" w:cs="Arial" w:eastAsia="Arial" w:hAnsi="Arial"/>
          <w:sz w:val="18"/>
          <w:szCs w:val="18"/>
          <w:color w:val="auto"/>
        </w:rPr>
        <w:t>Date: November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Daniel M. Chism,</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8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1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74"/>
        </w:trPr>
        <w:tc>
          <w:tcPr>
            <w:tcW w:w="35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0"/>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 Stuart I. Grimshaw</w:t>
            </w:r>
          </w:p>
        </w:tc>
        <w:tc>
          <w:tcPr>
            <w:tcW w:w="120" w:type="dxa"/>
            <w:vAlign w:val="bottom"/>
          </w:tcPr>
          <w:p>
            <w:pPr>
              <w:spacing w:after="0"/>
              <w:rPr>
                <w:sz w:val="20"/>
                <w:szCs w:val="20"/>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 Daniel M. Chism</w:t>
            </w:r>
          </w:p>
        </w:tc>
        <w:tc>
          <w:tcPr>
            <w:tcW w:w="120" w:type="dxa"/>
            <w:vAlign w:val="bottom"/>
          </w:tcPr>
          <w:p>
            <w:pPr>
              <w:spacing w:after="0"/>
              <w:rPr>
                <w:sz w:val="20"/>
                <w:szCs w:val="20"/>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3"/>
              </w:rPr>
              <w:t>Daniel M. Chism</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Lachlan P. Given</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Matthew W. Appel</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3"/>
              </w:rPr>
              <w:t>Matthew W. Appel</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540" w:type="dxa"/>
            <w:vAlign w:val="bottom"/>
          </w:tcPr>
          <w:p>
            <w:pPr>
              <w:ind w:left="40"/>
              <w:spacing w:after="0"/>
              <w:rPr>
                <w:sz w:val="20"/>
                <w:szCs w:val="20"/>
                <w:color w:val="auto"/>
              </w:rPr>
            </w:pPr>
            <w:r>
              <w:rPr>
                <w:rFonts w:ascii="Arial" w:cs="Arial" w:eastAsia="Arial" w:hAnsi="Arial"/>
                <w:sz w:val="18"/>
                <w:szCs w:val="18"/>
                <w:color w:val="auto"/>
              </w:rPr>
              <w:t>/s/ Santiago Creel Miranda</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540" w:type="dxa"/>
            <w:vAlign w:val="bottom"/>
          </w:tcPr>
          <w:p>
            <w:pPr>
              <w:ind w:left="40"/>
              <w:spacing w:after="0"/>
              <w:rPr>
                <w:sz w:val="20"/>
                <w:szCs w:val="20"/>
                <w:color w:val="auto"/>
              </w:rPr>
            </w:pPr>
            <w:r>
              <w:rPr>
                <w:rFonts w:ascii="Arial" w:cs="Arial" w:eastAsia="Arial" w:hAnsi="Arial"/>
                <w:sz w:val="18"/>
                <w:szCs w:val="18"/>
                <w:color w:val="auto"/>
              </w:rPr>
              <w:t>/s/ Peter Cumins</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9"/>
              </w:rPr>
              <w:t>Peter Cumins</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540" w:type="dxa"/>
            <w:vAlign w:val="bottom"/>
          </w:tcPr>
          <w:p>
            <w:pPr>
              <w:ind w:left="40"/>
              <w:spacing w:after="0"/>
              <w:rPr>
                <w:sz w:val="20"/>
                <w:szCs w:val="20"/>
                <w:color w:val="auto"/>
              </w:rPr>
            </w:pPr>
            <w:r>
              <w:rPr>
                <w:rFonts w:ascii="Arial" w:cs="Arial" w:eastAsia="Arial" w:hAnsi="Arial"/>
                <w:sz w:val="18"/>
                <w:szCs w:val="18"/>
                <w:color w:val="auto"/>
              </w:rPr>
              <w:t>/s/ Pablo Lagos Espinosa</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Thomas C. Roberts</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9"/>
              </w:rPr>
              <w:t>Thomas C. Roberts</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Joseph L. Rotunda</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8"/>
              </w:rPr>
              <w:t>Joseph L. Rotunda</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3"/>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Deputy Chief Financial Officer and Chief Accounting Officer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 David McGuire</w:t>
            </w:r>
          </w:p>
        </w:tc>
        <w:tc>
          <w:tcPr>
            <w:tcW w:w="120" w:type="dxa"/>
            <w:vAlign w:val="bottom"/>
          </w:tcPr>
          <w:p>
            <w:pPr>
              <w:spacing w:after="0"/>
              <w:rPr>
                <w:sz w:val="20"/>
                <w:szCs w:val="20"/>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5"/>
              </w:rPr>
              <w:t>David McGuire</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20"/>
          </w:cols>
          <w:pgMar w:left="240" w:top="125" w:right="23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400" w:type="dxa"/>
            <w:vAlign w:val="bottom"/>
          </w:tcPr>
          <w:p>
            <w:pPr>
              <w:ind w:left="6460"/>
              <w:spacing w:after="0"/>
              <w:rPr>
                <w:sz w:val="20"/>
                <w:szCs w:val="20"/>
                <w:color w:val="auto"/>
              </w:rPr>
            </w:pPr>
            <w:r>
              <w:rPr>
                <w:rFonts w:ascii="Arial" w:cs="Arial" w:eastAsia="Arial" w:hAnsi="Arial"/>
                <w:sz w:val="18"/>
                <w:szCs w:val="18"/>
                <w:b w:val="1"/>
                <w:bCs w:val="1"/>
                <w:color w:val="auto"/>
                <w:w w:val="91"/>
              </w:rPr>
              <w:t>Exhibit 21.1</w:t>
            </w:r>
          </w:p>
        </w:tc>
      </w:tr>
      <w:tr>
        <w:trPr>
          <w:trHeight w:val="656"/>
        </w:trPr>
        <w:tc>
          <w:tcPr>
            <w:tcW w:w="40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Entity</w:t>
            </w:r>
          </w:p>
        </w:tc>
        <w:tc>
          <w:tcPr>
            <w:tcW w:w="7400" w:type="dxa"/>
            <w:vAlign w:val="bottom"/>
            <w:tcBorders>
              <w:bottom w:val="single" w:sz="8" w:color="auto"/>
            </w:tcBorders>
          </w:tcPr>
          <w:p>
            <w:pPr>
              <w:jc w:val="center"/>
              <w:ind w:left="493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67"/>
        </w:trPr>
        <w:tc>
          <w:tcPr>
            <w:tcW w:w="4020" w:type="dxa"/>
            <w:vAlign w:val="bottom"/>
          </w:tcPr>
          <w:p>
            <w:pPr>
              <w:spacing w:after="0"/>
              <w:rPr>
                <w:sz w:val="5"/>
                <w:szCs w:val="5"/>
                <w:color w:val="auto"/>
              </w:rPr>
            </w:pPr>
          </w:p>
        </w:tc>
        <w:tc>
          <w:tcPr>
            <w:tcW w:w="7400" w:type="dxa"/>
            <w:vAlign w:val="bottom"/>
          </w:tcPr>
          <w:p>
            <w:pPr>
              <w:spacing w:after="0"/>
              <w:rPr>
                <w:sz w:val="5"/>
                <w:szCs w:val="5"/>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Artiste Holding Limited</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95"/>
              </w:rPr>
              <w:t>United Kingdom</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CCV Americas,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Latin America Coöperatief, U.A.</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CCV Pennsylvania,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Virginia,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International Holdings, B.V.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Capital Mexico Holdings, S.A. de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 Morgan Services Limited</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95"/>
              </w:rPr>
              <w:t>United Kingdom</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Talent S. de R.L. de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Transfers S.A. de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(2015) Asia-Pacific PTE. LTD.</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7"/>
              </w:rPr>
              <w:t>Singapore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Latin America Coöperatief, U.A.</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Global Holdings,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Global, B.V.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International Holdings,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International,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USA,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Alabama,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Canada Holdings,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British Columbia</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Canada,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Colorado,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Hawaii,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Holdings,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Idaho,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Kansas,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Management,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Missouri,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South Dakota,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Tario,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British Columbia</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Tennessee,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Utah,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Wisconsin,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EZParkway Services Limited</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Ireland</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EZParkway Trading Limited</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4"/>
              </w:rPr>
              <w:t>Ireland</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EZParkway Mexico Limited</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Ireland</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Alabama,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EZPAWN Arizona,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Arkansas,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EZPAWN Colorado,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Florida,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EZPAWN Georgia,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688" w:right="2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spacing w:after="0"/>
              <w:rPr>
                <w:sz w:val="16"/>
                <w:szCs w:val="16"/>
                <w:color w:val="auto"/>
              </w:rPr>
            </w:pPr>
          </w:p>
        </w:tc>
        <w:tc>
          <w:tcPr>
            <w:tcW w:w="72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7260" w:type="dxa"/>
            <w:vAlign w:val="bottom"/>
          </w:tcPr>
          <w:p>
            <w:pPr>
              <w:jc w:val="center"/>
              <w:ind w:left="479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Holdings,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Illinois,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Indiana,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Iowa,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Management Mexico, S. de R.L.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Mexico Holdings, LLC.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Mexico Ltd., LLC.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Minnesota,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Nevada,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Oklahoma,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Oregon,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Services Mexico, S. de R.L.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Tennessee,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Utah,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Mister Money Holdings,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3"/>
              </w:rPr>
              <w:t>Colorado</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Parkway Insurance,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4"/>
              </w:rPr>
              <w:t>Utah</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Payday Loan Management,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Premier Pawn and Jewelry, LLC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Renueva Comercial, S.A.P.I.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Rich Data Corporation PTE. LTD.</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7"/>
              </w:rPr>
              <w:t>Singapore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EZMONEY, L.P.</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Texas EZPAWN Management,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EZPAWN, L.P.</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Texas PRA Management, L.P.</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Twyford Developments Limited</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95"/>
              </w:rPr>
              <w:t>United Kingdom</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USA Pawn &amp; Jewelry Co. XI, LLC</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USA Pawn &amp; Jewelry Co. 19, LLC</w:t>
            </w:r>
          </w:p>
        </w:tc>
        <w:tc>
          <w:tcPr>
            <w:tcW w:w="7260" w:type="dxa"/>
            <w:vAlign w:val="bottom"/>
            <w:shd w:val="clear" w:color="auto" w:fill="CCEEFF"/>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7"/>
        </w:trPr>
        <w:tc>
          <w:tcPr>
            <w:tcW w:w="416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333-202626), Form S-4 (No. 333-202627), Form S-8 (No. 333-215294), Form S-8 (No. 333-210647), Form S-8 (No. 333-209088), Form S-8 (No. 202628), Form S-8 (No. 333-191677), Form S-8 (No. 333-191675), and Form S-8 (No. 333-191671) of our reports dated November 15, 2017, relating to the consolidated financial statements, and the effectiveness of EZCORP, Inc.’s internal control over financial reporting, which is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2017</w:t>
      </w:r>
    </w:p>
    <w:p>
      <w:pPr>
        <w:sectPr>
          <w:pgSz w:w="11900" w:h="16838" w:orient="portrait"/>
          <w:cols w:equalWidth="0" w:num="1">
            <w:col w:w="11420"/>
          </w:cols>
          <w:pgMar w:left="240" w:top="796"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Stuart I. Grimshaw, Chief Executive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63"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2017</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Daniel M. Chism, Chief Financial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Daniel M. Chism, certify that:</w:t>
      </w:r>
    </w:p>
    <w:p>
      <w:pPr>
        <w:spacing w:after="0" w:line="63"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2017</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Daniel M. Chism</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97"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ind w:left="1660" w:right="1600" w:hanging="59"/>
        <w:spacing w:after="0" w:line="418" w:lineRule="auto"/>
        <w:rPr>
          <w:sz w:val="20"/>
          <w:szCs w:val="20"/>
          <w:color w:val="auto"/>
        </w:rPr>
      </w:pPr>
      <w:r>
        <w:rPr>
          <w:rFonts w:ascii="Arial" w:cs="Arial" w:eastAsia="Arial" w:hAnsi="Arial"/>
          <w:sz w:val="16"/>
          <w:szCs w:val="16"/>
          <w:b w:val="1"/>
          <w:bCs w:val="1"/>
          <w:color w:val="auto"/>
        </w:rPr>
        <w:t>Certification of Stuart I. Grimshaw, Chief Executive Officer, and Daniel M. Chism, Chief Financial Officer, pursuant to 18 U.S.C. Section 1350, as adopted pursuant to Section 906 of the Sarbanes-Oxley Act of 2002</w:t>
      </w:r>
    </w:p>
    <w:p>
      <w:pPr>
        <w:spacing w:after="0" w:line="2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undersigned officer of EZCORP, Inc. hereby certify that (a) EZCORP’s Annual Report on Form 10-K for the year ended September 30, 2017,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2017</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M. Chism</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o"/>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1)"/>
      <w:numFmt w:val="lowerLetter"/>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1)"/>
      <w:numFmt w:val="lowerLetter"/>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1)"/>
      <w:numFmt w:val="lowerLetter"/>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1)"/>
      <w:numFmt w:val="lowerLetter"/>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1)"/>
      <w:numFmt w:val="lowerLetter"/>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lowerLetter"/>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1)"/>
      <w:numFmt w:val="decimal"/>
      <w:start w:val="3"/>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1)"/>
      <w:numFmt w:val="lowerLetter"/>
      <w:start w:val="1"/>
    </w:lvl>
  </w:abstractNum>
  <w:abstractNum w:abstractNumId="52">
    <w:nsid w:val="1A32234B"/>
    <w:multiLevelType w:val="hybridMultilevel"/>
    <w:lvl w:ilvl="0">
      <w:lvlJc w:val="left"/>
      <w:lvlText w:val="(%1)"/>
      <w:numFmt w:val="lowerLetter"/>
      <w:start w:val="1"/>
    </w:lvl>
  </w:abstractNum>
  <w:abstractNum w:abstractNumId="53">
    <w:nsid w:val="3B0FD379"/>
    <w:multiLevelType w:val="hybridMultilevel"/>
    <w:lvl w:ilvl="0">
      <w:lvlJc w:val="left"/>
      <w:lvlText w:val="(%1)"/>
      <w:numFmt w:val="lowerLetter"/>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1)"/>
      <w:numFmt w:val="lowerLetter"/>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
      <w:numFmt w:val="bullet"/>
      <w:start w:val="1"/>
    </w:lvl>
    <w:lvl w:ilvl="1">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1"/>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1"/>
    </w:lvl>
  </w:abstractNum>
  <w:abstractNum w:abstractNumId="77">
    <w:nsid w:val="4A2AC315"/>
    <w:multiLevelType w:val="hybridMultilevel"/>
    <w:lvl w:ilvl="0">
      <w:lvlJc w:val="left"/>
      <w:lvlText w:val="(%1)"/>
      <w:numFmt w:val="lowerLetter"/>
      <w:start w:val="1"/>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
      <w:numFmt w:val="bullet"/>
      <w:start w:val="1"/>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6"/>
    </w:lvl>
  </w:abstractNum>
  <w:abstractNum w:abstractNumId="84">
    <w:nsid w:val="7F01579B"/>
    <w:multiLevelType w:val="hybridMultilevel"/>
    <w:lvl w:ilvl="0">
      <w:lvlJc w:val="left"/>
      <w:lvlText w:val="(%1)"/>
      <w:numFmt w:val="decimal"/>
      <w:start w:val="1"/>
    </w:lvl>
  </w:abstractNum>
  <w:abstractNum w:abstractNumId="85">
    <w:nsid w:val="49DA307D"/>
    <w:multiLevelType w:val="hybridMultilevel"/>
    <w:lvl w:ilvl="0">
      <w:lvlJc w:val="left"/>
      <w:lvlText w:val="(%1)"/>
      <w:numFmt w:val="decimal"/>
      <w:start w:val="1"/>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1)"/>
      <w:numFmt w:val="decimal"/>
      <w:start w:val="3"/>
    </w:lvl>
  </w:abstractNum>
  <w:abstractNum w:abstractNumId="88">
    <w:nsid w:val="50801EE1"/>
    <w:multiLevelType w:val="hybridMultilevel"/>
    <w:lvl w:ilvl="0">
      <w:lvlJc w:val="left"/>
      <w:lvlText w:val="(%1)"/>
      <w:numFmt w:val="decimal"/>
      <w:start w:val="1"/>
    </w:lvl>
  </w:abstractNum>
  <w:abstractNum w:abstractNumId="89">
    <w:nsid w:val="488AC1A"/>
    <w:multiLevelType w:val="hybridMultilevel"/>
    <w:lvl w:ilvl="0">
      <w:lvlJc w:val="left"/>
      <w:lvlText w:val="(%1)"/>
      <w:numFmt w:val="decimal"/>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1)"/>
      <w:numFmt w:val="decimal"/>
      <w:start w:val="1"/>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decimal"/>
      <w:start w:val="1"/>
    </w:lvl>
  </w:abstractNum>
  <w:abstractNum w:abstractNumId="95">
    <w:nsid w:val="7D5E18F8"/>
    <w:multiLevelType w:val="hybridMultilevel"/>
    <w:lvl w:ilvl="0">
      <w:lvlJc w:val="left"/>
      <w:lvlText w:val="(%1)"/>
      <w:numFmt w:val="lowerLetter"/>
      <w:start w:val="1"/>
    </w:lvl>
  </w:abstractNum>
  <w:abstractNum w:abstractNumId="96">
    <w:nsid w:val="5F3534A4"/>
    <w:multiLevelType w:val="hybridMultilevel"/>
    <w:lvl w:ilvl="0">
      <w:lvlJc w:val="left"/>
      <w:lvlText w:val="(%1)"/>
      <w:numFmt w:val="lowerLetter"/>
      <w:start w:val="10"/>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lowerLetter"/>
      <w:start w:val="1"/>
    </w:lvl>
  </w:abstractNum>
  <w:abstractNum w:abstractNumId="100">
    <w:nsid w:val="3FA62ACA"/>
    <w:multiLevelType w:val="hybridMultilevel"/>
    <w:lvl w:ilvl="0">
      <w:lvlJc w:val="left"/>
      <w:lvlText w:val="(%1)"/>
      <w:numFmt w:val="decimal"/>
      <w:start w:val="1"/>
    </w:lvl>
    <w:lvl w:ilvl="1">
      <w:lvlJc w:val="left"/>
      <w:lvlText w:val="•"/>
      <w:numFmt w:val="bullet"/>
      <w:start w:val="1"/>
    </w:lvl>
  </w:abstractNum>
  <w:abstractNum w:abstractNumId="101">
    <w:nsid w:val="14FCE74E"/>
    <w:multiLevelType w:val="hybridMultilevel"/>
    <w:lvl w:ilvl="0">
      <w:lvlJc w:val="left"/>
      <w:lvlText w:val="††"/>
      <w:numFmt w:val="bullet"/>
      <w:start w:val="1"/>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71" Type="http://schemas.openxmlformats.org/officeDocument/2006/relationships/image" Target="media/image26.png"/><Relationship Id="rId72" Type="http://schemas.openxmlformats.org/officeDocument/2006/relationships/image" Target="media/image27.png"/><Relationship Id="rId73" Type="http://schemas.openxmlformats.org/officeDocument/2006/relationships/image" Target="media/image28.png"/><Relationship Id="rId74" Type="http://schemas.openxmlformats.org/officeDocument/2006/relationships/image" Target="media/image29.png"/><Relationship Id="rId75" Type="http://schemas.openxmlformats.org/officeDocument/2006/relationships/image" Target="media/image30.png"/><Relationship Id="rId33" Type="http://schemas.openxmlformats.org/officeDocument/2006/relationships/hyperlink" Target="http://www.sec.gov/Archives/edgar/data/876523/000087652316000179/a2016-q4gfpurchaseagreemen.htm" TargetMode="External"/><Relationship Id="rId34" Type="http://schemas.openxmlformats.org/officeDocument/2006/relationships/hyperlink" Target="http://www.sec.gov/Archives/edgar/data/876523/000087652317000097/a2017-q4gfnramend221.htm" TargetMode="External"/><Relationship Id="rId35" Type="http://schemas.openxmlformats.org/officeDocument/2006/relationships/hyperlink" Target="http://www.sec.gov/Archives/edgar/data/876523/000087652317000099/a2018-q1guateprendaspaex21.htm" TargetMode="External"/><Relationship Id="rId36" Type="http://schemas.openxmlformats.org/officeDocument/2006/relationships/hyperlink" Target="http://www.sec.gov/Archives/edgar/data/876523/000087652313000045/a31ezmergecoincarcertifica.htm" TargetMode="External"/><Relationship Id="rId37" Type="http://schemas.openxmlformats.org/officeDocument/2006/relationships/hyperlink" Target="http://www.sec.gov/Archives/edgar/data/876523/000087652314000035/certificateofamendmentdate.htm" TargetMode="External"/><Relationship Id="rId38" Type="http://schemas.openxmlformats.org/officeDocument/2006/relationships/hyperlink" Target="http://www.sec.gov/Archives/edgar/data/876523/000087652314000072/ex32-amendedandrestatedbyl.htm" TargetMode="External"/><Relationship Id="rId39" Type="http://schemas.openxmlformats.org/officeDocument/2006/relationships/hyperlink" Target="http://www.sec.gov/Archives/edgar/data/876523/000087652313000045/a41descriptionofcapitalsto.htm" TargetMode="External"/><Relationship Id="rId40" Type="http://schemas.openxmlformats.org/officeDocument/2006/relationships/hyperlink" Target="http://www.sec.gov/Archives/edgar/data/876523/000110465914047802/a14-15880_1ex4d1.htm" TargetMode="External"/><Relationship Id="rId41" Type="http://schemas.openxmlformats.org/officeDocument/2006/relationships/hyperlink" Target="http://www.sec.gov/Archives/edgar/data/876523/000087652317000082/a2017-q4projecteaglexinden.htm" TargetMode="External"/><Relationship Id="rId42" Type="http://schemas.openxmlformats.org/officeDocument/2006/relationships/hyperlink" Target="http://www.sec.gov/Archives/edgar/data/876523/000095013405022476/d30926exv10w94.txt" TargetMode="External"/><Relationship Id="rId43" Type="http://schemas.openxmlformats.org/officeDocument/2006/relationships/hyperlink" Target="http://www.sec.gov/Archives/edgar/data/876523/000087652316000219/a2017-q1exx101ltipamendment.htm" TargetMode="External"/><Relationship Id="rId44" Type="http://schemas.openxmlformats.org/officeDocument/2006/relationships/hyperlink" Target="http://www.sec.gov/Archives/edgar/data/876523/000095012310108591/d77971exv10w15.htm" TargetMode="External"/><Relationship Id="rId45" Type="http://schemas.openxmlformats.org/officeDocument/2006/relationships/hyperlink" Target="http://www.sec.gov/Archives/edgar/data/876523/000095012310108591/d77971exv10w17.htm" TargetMode="External"/><Relationship Id="rId46" Type="http://schemas.openxmlformats.org/officeDocument/2006/relationships/hyperlink" Target="http://www.sec.gov/Archives/edgar/data/876523/000087652314000082/exhibit101-jefferiescallop.htm" TargetMode="External"/><Relationship Id="rId47" Type="http://schemas.openxmlformats.org/officeDocument/2006/relationships/hyperlink" Target="http://www.sec.gov/Archives/edgar/data/876523/000087652314000082/exhibit102-mscalloptioncon.htm" TargetMode="External"/><Relationship Id="rId48" Type="http://schemas.openxmlformats.org/officeDocument/2006/relationships/hyperlink" Target="http://www.sec.gov/Archives/edgar/data/876523/000087652314000082/exhibit103-ubscalloptionco.htm" TargetMode="External"/><Relationship Id="rId49" Type="http://schemas.openxmlformats.org/officeDocument/2006/relationships/hyperlink" Target="http://www.sec.gov/Archives/edgar/data/876523/000087652314000082/exhibit104-jefferieswarran.htm" TargetMode="External"/><Relationship Id="rId50" Type="http://schemas.openxmlformats.org/officeDocument/2006/relationships/hyperlink" Target="http://www.sec.gov/Archives/edgar/data/876523/000087652314000082/exhibit105-warrantagreemen.htm" TargetMode="External"/><Relationship Id="rId51" Type="http://schemas.openxmlformats.org/officeDocument/2006/relationships/hyperlink" Target="http://www.sec.gov/Archives/edgar/data/876523/000087652314000082/exhibit106-mswarrantconfir.htm" TargetMode="External"/><Relationship Id="rId52" Type="http://schemas.openxmlformats.org/officeDocument/2006/relationships/hyperlink" Target="http://www.sec.gov/Archives/edgar/data/876523/000087652314000082/exhibit107-warrantagreemen.htm" TargetMode="External"/><Relationship Id="rId53" Type="http://schemas.openxmlformats.org/officeDocument/2006/relationships/hyperlink" Target="http://www.sec.gov/Archives/edgar/data/876523/000087652314000082/exhibit108-ubswarrantconfi.htm" TargetMode="External"/><Relationship Id="rId54" Type="http://schemas.openxmlformats.org/officeDocument/2006/relationships/hyperlink" Target="http://www.sec.gov/Archives/edgar/data/876523/000087652314000082/exhibit109-warrantagreemen.htm" TargetMode="External"/><Relationship Id="rId55" Type="http://schemas.openxmlformats.org/officeDocument/2006/relationships/hyperlink" Target="http://www.sec.gov/Archives/edgar/data/876523/000087652314000082/exhibit1010-ezpwxadditiona.htm" TargetMode="External"/><Relationship Id="rId56" Type="http://schemas.openxmlformats.org/officeDocument/2006/relationships/hyperlink" Target="http://www.sec.gov/Archives/edgar/data/876523/000087652314000082/exhibit1011-ezpwxadditiona.htm" TargetMode="External"/><Relationship Id="rId57" Type="http://schemas.openxmlformats.org/officeDocument/2006/relationships/hyperlink" Target="http://www.sec.gov/Archives/edgar/data/876523/000087652314000082/exhibit1012-ezpwxadditiona.htm" TargetMode="External"/><Relationship Id="rId58" Type="http://schemas.openxmlformats.org/officeDocument/2006/relationships/hyperlink" Target="http://www.sec.gov/Archives/edgar/data/876523/000087652314000082/exhibit1013-ezpwxadditiona.htm" TargetMode="External"/><Relationship Id="rId59" Type="http://schemas.openxmlformats.org/officeDocument/2006/relationships/hyperlink" Target="http://www.sec.gov/Archives/edgar/data/876523/000087652314000082/exhibit1014-ezpwxadditiona.htm" TargetMode="External"/><Relationship Id="rId60" Type="http://schemas.openxmlformats.org/officeDocument/2006/relationships/hyperlink" Target="http://www.sec.gov/Archives/edgar/data/876523/000087652314000082/exhibit1015-ezpwxadditiona.htm" TargetMode="External"/><Relationship Id="rId61" Type="http://schemas.openxmlformats.org/officeDocument/2006/relationships/hyperlink" Target="http://www.sec.gov/Archives/edgar/data/876523/000087652316000217/a2016-q410xkex1022.htm" TargetMode="External"/><Relationship Id="rId62" Type="http://schemas.openxmlformats.org/officeDocument/2006/relationships/hyperlink" Target="http://www.sec.gov/Archives/edgar/data/876523/000087652317000082/a2017-q4ezpwpurchaseagreem.htm" TargetMode="External"/><Relationship Id="rId63" Type="http://schemas.openxmlformats.org/officeDocument/2006/relationships/hyperlink" Target="http://www.sec.gov/Archives/edgar/data/876523/000087652317000094/a2017-q310qex102_6302017.htm" TargetMode="External"/><Relationship Id="rId64" Type="http://schemas.openxmlformats.org/officeDocument/2006/relationships/hyperlink" Target="http://www.sec.gov/Archives/edgar/data/876523/000087652317000094/a2017-q310qex103_6302017.htm" TargetMode="External"/><Relationship Id="rId65" Type="http://schemas.openxmlformats.org/officeDocument/2006/relationships/hyperlink" Target="http://www.sec.gov/Archives/edgar/data/876523/000087652317000094/a2017-q310qex104_6302017.htm" TargetMode="External"/><Relationship Id="rId66" Type="http://schemas.openxmlformats.org/officeDocument/2006/relationships/hyperlink" Target="http://www.sec.gov/Archives/edgar/data/876523/000087652317000094/a2017-q310qex105_6302017.htm" TargetMode="External"/><Relationship Id="rId67" Type="http://schemas.openxmlformats.org/officeDocument/2006/relationships/hyperlink" Target="http://www.sec.gov/Archives/edgar/data/876523/000087652317000094/a2017-q310qex106_6302017.htm" TargetMode="External"/><Relationship Id="rId68" Type="http://schemas.openxmlformats.org/officeDocument/2006/relationships/hyperlink" Target="http://www.sec.gov/Archives/edgar/data/876523/000087652317000094/a2017-q310qex107_6302017.htm" TargetMode="External"/><Relationship Id="rId69" Type="http://schemas.openxmlformats.org/officeDocument/2006/relationships/hyperlink" Target="http://www.sec.gov/Archives/edgar/data/876523/000087652317000062/a2017-q3cfodeparture.htm" TargetMode="External"/><Relationship Id="rId70" Type="http://schemas.openxmlformats.org/officeDocument/2006/relationships/hyperlink" Target="http://www.sec.gov/Archives/edgar/data/876523/000087652317000097/a2017-q4gfnrletter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2020-01-18T20:45:40Z</dcterms:created>
  <dcterms:modified xsi:type="dcterms:W3CDTF">2020-01-18T20:45:40Z</dcterms:modified>
</cp:coreProperties>
</file>