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33" w:before="0" w:after="0"/>
        <w:jc w:val="center"/>
        <w:rPr>
          <w:rFonts w:ascii="Arial Narrow;sans-serif" w:hAnsi="Arial Narrow;sans-serif"/>
          <w:b/>
          <w:color w:val="000000"/>
          <w:sz w:val="22"/>
        </w:rPr>
      </w:pPr>
      <w:r>
        <w:rPr>
          <w:rFonts w:ascii="Arial Narrow;sans-serif" w:hAnsi="Arial Narrow;sans-serif"/>
          <w:b/>
          <w:color w:val="000000"/>
          <w:sz w:val="22"/>
        </w:rPr>
        <w:t>As filed with the Securities and Exchange Commission on October 29, 2025</w:t>
      </w:r>
    </w:p>
    <w:p>
      <w:pPr>
        <w:pStyle w:val="TextBody"/>
        <w:bidi w:val="0"/>
        <w:spacing w:lineRule="auto" w:line="333" w:before="120" w:after="283"/>
        <w:jc w:val="right"/>
        <w:rPr>
          <w:rFonts w:ascii="Arial Narrow;sans-serif" w:hAnsi="Arial Narrow;sans-serif"/>
          <w:b w:val="false"/>
          <w:color w:val="000000"/>
          <w:sz w:val="20"/>
        </w:rPr>
      </w:pPr>
      <w:r>
        <w:rPr>
          <w:rFonts w:ascii="Arial Narrow;sans-serif" w:hAnsi="Arial Narrow;sans-serif"/>
          <w:b w:val="false"/>
          <w:color w:val="000000"/>
          <w:sz w:val="20"/>
        </w:rPr>
        <w:t>Registration No. 333-</w:t>
      </w:r>
    </w:p>
    <w:p>
      <w:pPr>
        <w:pStyle w:val="TextBody"/>
        <w:bidi w:val="0"/>
        <w:spacing w:before="0" w:after="120"/>
        <w:jc w:val="left"/>
        <w:rPr/>
      </w:pPr>
      <w:r>
        <w:rPr/>
      </w:r>
    </w:p>
    <w:p>
      <w:pPr>
        <w:pStyle w:val="TextBody"/>
        <w:bidi w:val="0"/>
        <w:spacing w:lineRule="atLeast" w:line="264" w:before="0" w:after="0"/>
        <w:jc w:val="center"/>
        <w:rPr/>
      </w:pPr>
      <w:r>
        <w:rPr>
          <w:color w:val="000000"/>
        </w:rPr>
        <w:t> </w:t>
      </w:r>
      <w:r>
        <w:rPr>
          <w:rFonts w:ascii="Arial Narrow;sans-serif" w:hAnsi="Arial Narrow;sans-serif"/>
          <w:b w:val="false"/>
          <w:color w:val="000000"/>
          <w:sz w:val="22"/>
        </w:rPr>
        <w:t>UNITED STATES</w:t>
      </w:r>
    </w:p>
    <w:p>
      <w:pPr>
        <w:pStyle w:val="TextBody"/>
        <w:bidi w:val="0"/>
        <w:spacing w:lineRule="auto" w:line="333" w:before="0" w:after="0"/>
        <w:jc w:val="center"/>
        <w:rPr>
          <w:rFonts w:ascii="Arial Narrow;sans-serif" w:hAnsi="Arial Narrow;sans-serif"/>
          <w:b w:val="false"/>
          <w:color w:val="000000"/>
          <w:sz w:val="22"/>
        </w:rPr>
      </w:pPr>
      <w:r>
        <w:rPr>
          <w:rFonts w:ascii="Arial Narrow;sans-serif" w:hAnsi="Arial Narrow;sans-serif"/>
          <w:b w:val="false"/>
          <w:color w:val="000000"/>
          <w:sz w:val="22"/>
        </w:rPr>
        <w:t>SECURITIES AND EXCHANGE COMMISSION</w:t>
      </w:r>
    </w:p>
    <w:p>
      <w:pPr>
        <w:pStyle w:val="TextBody"/>
        <w:bidi w:val="0"/>
        <w:spacing w:lineRule="auto" w:line="333" w:before="0" w:after="0"/>
        <w:jc w:val="center"/>
        <w:rPr>
          <w:rFonts w:ascii="Arial Narrow;sans-serif" w:hAnsi="Arial Narrow;sans-serif"/>
          <w:b w:val="false"/>
          <w:color w:val="000000"/>
          <w:sz w:val="22"/>
        </w:rPr>
      </w:pPr>
      <w:r>
        <w:rPr>
          <w:rFonts w:ascii="Arial Narrow;sans-serif" w:hAnsi="Arial Narrow;sans-serif"/>
          <w:b w:val="false"/>
          <w:color w:val="000000"/>
          <w:sz w:val="22"/>
        </w:rPr>
        <w:t>Washington, D.C. 20549</w:t>
      </w:r>
    </w:p>
    <w:p>
      <w:pPr>
        <w:pStyle w:val="TextBody"/>
        <w:bidi w:val="0"/>
        <w:spacing w:lineRule="auto" w:line="333" w:before="240" w:after="283"/>
        <w:jc w:val="center"/>
        <w:rPr>
          <w:rFonts w:ascii="Arial Narrow;sans-serif" w:hAnsi="Arial Narrow;sans-serif"/>
          <w:b/>
          <w:color w:val="000000"/>
          <w:sz w:val="28"/>
        </w:rPr>
      </w:pPr>
      <w:r>
        <w:rPr>
          <w:rFonts w:ascii="Arial Narrow;sans-serif" w:hAnsi="Arial Narrow;sans-serif"/>
          <w:b/>
          <w:color w:val="000000"/>
          <w:sz w:val="28"/>
        </w:rPr>
        <w:t>FORM S-8</w:t>
      </w:r>
    </w:p>
    <w:p>
      <w:pPr>
        <w:pStyle w:val="TextBody"/>
        <w:bidi w:val="0"/>
        <w:spacing w:lineRule="auto" w:line="333" w:before="120" w:after="283"/>
        <w:jc w:val="center"/>
        <w:rPr>
          <w:rFonts w:ascii="Arial Narrow;sans-serif" w:hAnsi="Arial Narrow;sans-serif"/>
          <w:b/>
          <w:color w:val="000000"/>
          <w:sz w:val="24"/>
        </w:rPr>
      </w:pPr>
      <w:r>
        <w:rPr>
          <w:rFonts w:ascii="Arial Narrow;sans-serif" w:hAnsi="Arial Narrow;sans-serif"/>
          <w:b/>
          <w:color w:val="000000"/>
          <w:sz w:val="24"/>
        </w:rPr>
        <w:t>REGISTRATION STATEMENT UNDER THE SECURITIES ACT OF 1933</w:t>
      </w:r>
    </w:p>
    <w:p>
      <w:pPr>
        <w:pStyle w:val="TextBody"/>
        <w:bidi w:val="0"/>
        <w:spacing w:lineRule="auto" w:line="333" w:before="240" w:after="283"/>
        <w:jc w:val="center"/>
        <w:rPr>
          <w:rFonts w:ascii="Arial Narrow;sans-serif" w:hAnsi="Arial Narrow;sans-serif"/>
          <w:b/>
          <w:color w:val="000000"/>
          <w:sz w:val="40"/>
        </w:rPr>
      </w:pPr>
      <w:r>
        <w:rPr>
          <w:rFonts w:ascii="Arial Narrow;sans-serif" w:hAnsi="Arial Narrow;sans-serif"/>
          <w:b/>
          <w:color w:val="000000"/>
          <w:sz w:val="40"/>
        </w:rPr>
        <w:t>EZCORP, INC.</w:t>
      </w:r>
    </w:p>
    <w:p>
      <w:pPr>
        <w:pStyle w:val="TextBody"/>
        <w:bidi w:val="0"/>
        <w:spacing w:lineRule="auto" w:line="333"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p>
      <w:pPr>
        <w:pStyle w:val="TextBody"/>
        <w:bidi w:val="0"/>
        <w:spacing w:lineRule="auto" w:line="333" w:before="240" w:after="283"/>
        <w:jc w:val="left"/>
        <w:rPr/>
      </w:pPr>
      <w:r>
        <w:rPr>
          <w:color w:val="000000"/>
        </w:rPr>
        <w:t>    </w:t>
      </w:r>
      <w:r>
        <w:rPr>
          <w:rFonts w:ascii="Arial Narrow;sans-serif" w:hAnsi="Arial Narrow;sans-serif"/>
          <w:b/>
          <w:color w:val="000000"/>
          <w:sz w:val="20"/>
        </w:rPr>
        <w:t>Delaware</w:t>
      </w:r>
      <w:r>
        <w:rPr>
          <w:color w:val="000000"/>
        </w:rPr>
        <w:t>    </w:t>
      </w:r>
      <w:r>
        <w:rPr>
          <w:rFonts w:ascii="Arial Narrow;sans-serif" w:hAnsi="Arial Narrow;sans-serif"/>
          <w:b/>
          <w:color w:val="000000"/>
          <w:sz w:val="20"/>
        </w:rPr>
        <w:t>74-2540145</w:t>
      </w:r>
    </w:p>
    <w:p>
      <w:pPr>
        <w:pStyle w:val="TextBody"/>
        <w:bidi w:val="0"/>
        <w:spacing w:lineRule="auto" w:line="333" w:before="0" w:after="0"/>
        <w:jc w:val="left"/>
        <w:rPr>
          <w:color w:val="000000"/>
        </w:rPr>
      </w:pPr>
      <w:r>
        <w:rPr>
          <w:color w:val="000000"/>
        </w:rPr>
        <w:t>    </w:t>
      </w:r>
      <w:r>
        <w:rPr>
          <w:rFonts w:ascii="Arial Narrow;sans-serif" w:hAnsi="Arial Narrow;sans-serif"/>
          <w:b w:val="false"/>
          <w:color w:val="000000"/>
          <w:sz w:val="16"/>
        </w:rPr>
        <w:t>(State or other jurisdiction of incorporation or organization)    (I.R.S. Employer Identification No.)</w:t>
      </w:r>
    </w:p>
    <w:p>
      <w:pPr>
        <w:pStyle w:val="TextBody"/>
        <w:bidi w:val="0"/>
        <w:spacing w:lineRule="auto" w:line="333" w:before="120" w:after="283"/>
        <w:jc w:val="left"/>
        <w:rPr>
          <w:color w:val="000000"/>
        </w:rPr>
      </w:pPr>
      <w:r>
        <w:rPr>
          <w:color w:val="000000"/>
        </w:rPr>
        <w:t>    </w:t>
      </w:r>
      <w:r>
        <w:rPr>
          <w:rFonts w:ascii="Arial Narrow;sans-serif" w:hAnsi="Arial Narrow;sans-serif"/>
          <w:b/>
          <w:color w:val="000000"/>
          <w:sz w:val="20"/>
        </w:rPr>
        <w:t>2500 Bee Cave Road, Building One, Suite 200, Rollingwood, Texas    78746</w:t>
      </w:r>
    </w:p>
    <w:p>
      <w:pPr>
        <w:pStyle w:val="TextBody"/>
        <w:bidi w:val="0"/>
        <w:spacing w:lineRule="auto" w:line="333" w:before="0" w:after="0"/>
        <w:jc w:val="left"/>
        <w:rPr>
          <w:color w:val="000000"/>
        </w:rPr>
      </w:pPr>
      <w:r>
        <w:rPr>
          <w:color w:val="000000"/>
        </w:rPr>
        <w:t>    </w:t>
      </w:r>
      <w:r>
        <w:rPr>
          <w:rFonts w:ascii="Arial Narrow;sans-serif" w:hAnsi="Arial Narrow;sans-serif"/>
          <w:b w:val="false"/>
          <w:color w:val="000000"/>
          <w:sz w:val="16"/>
        </w:rPr>
        <w:t>(Address of Principal Executive Offices)    (Zip Code)</w:t>
      </w:r>
    </w:p>
    <w:p>
      <w:pPr>
        <w:pStyle w:val="TextBody"/>
        <w:bidi w:val="0"/>
        <w:spacing w:lineRule="auto" w:line="333" w:before="240" w:after="283"/>
        <w:jc w:val="center"/>
        <w:rPr>
          <w:rFonts w:ascii="Arial Narrow;sans-serif" w:hAnsi="Arial Narrow;sans-serif"/>
          <w:b/>
          <w:color w:val="000000"/>
          <w:sz w:val="28"/>
        </w:rPr>
      </w:pPr>
      <w:r>
        <w:rPr>
          <w:rFonts w:ascii="Arial Narrow;sans-serif" w:hAnsi="Arial Narrow;sans-serif"/>
          <w:b/>
          <w:color w:val="000000"/>
          <w:sz w:val="28"/>
        </w:rPr>
        <w:t>EZCORP, INC. 2022 LONG-TERM INCENTIVE PLAN</w:t>
      </w:r>
    </w:p>
    <w:p>
      <w:pPr>
        <w:pStyle w:val="TextBody"/>
        <w:bidi w:val="0"/>
        <w:spacing w:lineRule="auto" w:line="333" w:before="0" w:after="0"/>
        <w:jc w:val="center"/>
        <w:rPr>
          <w:rFonts w:ascii="Arial Narrow;sans-serif" w:hAnsi="Arial Narrow;sans-serif"/>
          <w:b w:val="false"/>
          <w:color w:val="000000"/>
          <w:sz w:val="16"/>
        </w:rPr>
      </w:pPr>
      <w:r>
        <w:rPr>
          <w:rFonts w:ascii="Arial Narrow;sans-serif" w:hAnsi="Arial Narrow;sans-serif"/>
          <w:b w:val="false"/>
          <w:color w:val="000000"/>
          <w:sz w:val="16"/>
        </w:rPr>
        <w:t xml:space="preserve">(Full title of the plan) </w:t>
      </w:r>
    </w:p>
    <w:p>
      <w:pPr>
        <w:pStyle w:val="TextBody"/>
        <w:bidi w:val="0"/>
        <w:spacing w:lineRule="auto" w:line="333" w:before="240" w:after="283"/>
        <w:jc w:val="center"/>
        <w:rPr>
          <w:rFonts w:ascii="Arial Narrow;sans-serif" w:hAnsi="Arial Narrow;sans-serif"/>
          <w:b/>
          <w:color w:val="000000"/>
          <w:sz w:val="20"/>
        </w:rPr>
      </w:pPr>
      <w:r>
        <w:rPr>
          <w:rFonts w:ascii="Arial Narrow;sans-serif" w:hAnsi="Arial Narrow;sans-serif"/>
          <w:b/>
          <w:color w:val="000000"/>
          <w:sz w:val="20"/>
        </w:rPr>
        <w:t>Ellen Bryant</w:t>
      </w:r>
    </w:p>
    <w:p>
      <w:pPr>
        <w:pStyle w:val="TextBody"/>
        <w:bidi w:val="0"/>
        <w:spacing w:lineRule="auto" w:line="333" w:before="0" w:after="0"/>
        <w:jc w:val="center"/>
        <w:rPr>
          <w:rFonts w:ascii="Arial Narrow;sans-serif" w:hAnsi="Arial Narrow;sans-serif"/>
          <w:b/>
          <w:color w:val="000000"/>
          <w:sz w:val="20"/>
        </w:rPr>
      </w:pPr>
      <w:r>
        <w:rPr>
          <w:rFonts w:ascii="Arial Narrow;sans-serif" w:hAnsi="Arial Narrow;sans-serif"/>
          <w:b/>
          <w:color w:val="000000"/>
          <w:sz w:val="20"/>
        </w:rPr>
        <w:t>Chief Legal Officer and Secretary</w:t>
      </w:r>
    </w:p>
    <w:p>
      <w:pPr>
        <w:pStyle w:val="TextBody"/>
        <w:bidi w:val="0"/>
        <w:spacing w:lineRule="auto" w:line="333" w:before="0" w:after="0"/>
        <w:jc w:val="center"/>
        <w:rPr>
          <w:rFonts w:ascii="Arial Narrow;sans-serif" w:hAnsi="Arial Narrow;sans-serif"/>
          <w:b/>
          <w:color w:val="000000"/>
          <w:sz w:val="28"/>
        </w:rPr>
      </w:pPr>
      <w:r>
        <w:rPr>
          <w:rFonts w:ascii="Arial Narrow;sans-serif" w:hAnsi="Arial Narrow;sans-serif"/>
          <w:b/>
          <w:color w:val="000000"/>
          <w:sz w:val="28"/>
        </w:rPr>
        <w:t>EZCORP, Inc.</w:t>
      </w:r>
    </w:p>
    <w:p>
      <w:pPr>
        <w:pStyle w:val="TextBody"/>
        <w:bidi w:val="0"/>
        <w:spacing w:lineRule="auto" w:line="333" w:before="0" w:after="0"/>
        <w:jc w:val="center"/>
        <w:rPr>
          <w:rFonts w:ascii="Arial Narrow;sans-serif" w:hAnsi="Arial Narrow;sans-serif"/>
          <w:b/>
          <w:color w:val="000000"/>
          <w:sz w:val="20"/>
        </w:rPr>
      </w:pPr>
      <w:r>
        <w:rPr>
          <w:rFonts w:ascii="Arial Narrow;sans-serif" w:hAnsi="Arial Narrow;sans-serif"/>
          <w:b/>
          <w:color w:val="000000"/>
          <w:sz w:val="20"/>
        </w:rPr>
        <w:t>2500 Bee Cave Road, Building One, Suite 200, Rollingwood, Texas 78746</w:t>
      </w:r>
    </w:p>
    <w:p>
      <w:pPr>
        <w:pStyle w:val="TextBody"/>
        <w:bidi w:val="0"/>
        <w:spacing w:lineRule="auto" w:line="333" w:before="0" w:after="0"/>
        <w:jc w:val="center"/>
        <w:rPr>
          <w:rFonts w:ascii="Arial Narrow;sans-serif" w:hAnsi="Arial Narrow;sans-serif"/>
          <w:b w:val="false"/>
          <w:color w:val="000000"/>
          <w:sz w:val="16"/>
        </w:rPr>
      </w:pPr>
      <w:r>
        <w:rPr>
          <w:rFonts w:ascii="Arial Narrow;sans-serif" w:hAnsi="Arial Narrow;sans-serif"/>
          <w:b w:val="false"/>
          <w:color w:val="000000"/>
          <w:sz w:val="16"/>
        </w:rPr>
        <w:t>(Name and address of agent for service)</w:t>
      </w:r>
    </w:p>
    <w:p>
      <w:pPr>
        <w:pStyle w:val="TextBody"/>
        <w:bidi w:val="0"/>
        <w:spacing w:lineRule="auto" w:line="333" w:before="120" w:after="283"/>
        <w:jc w:val="center"/>
        <w:rPr>
          <w:rFonts w:ascii="Arial Narrow;sans-serif" w:hAnsi="Arial Narrow;sans-serif"/>
          <w:b/>
          <w:color w:val="000000"/>
          <w:sz w:val="20"/>
        </w:rPr>
      </w:pPr>
      <w:r>
        <w:rPr>
          <w:rFonts w:ascii="Arial Narrow;sans-serif" w:hAnsi="Arial Narrow;sans-serif"/>
          <w:b/>
          <w:color w:val="000000"/>
          <w:sz w:val="20"/>
        </w:rPr>
        <w:t>(512) 314-3400</w:t>
      </w:r>
    </w:p>
    <w:p>
      <w:pPr>
        <w:pStyle w:val="TextBody"/>
        <w:bidi w:val="0"/>
        <w:spacing w:lineRule="auto" w:line="333" w:before="0" w:after="0"/>
        <w:jc w:val="center"/>
        <w:rPr>
          <w:rFonts w:ascii="Arial Narrow;sans-serif" w:hAnsi="Arial Narrow;sans-serif"/>
          <w:b w:val="false"/>
          <w:color w:val="000000"/>
          <w:sz w:val="16"/>
        </w:rPr>
      </w:pPr>
      <w:r>
        <w:rPr>
          <w:rFonts w:ascii="Arial Narrow;sans-serif" w:hAnsi="Arial Narrow;sans-serif"/>
          <w:b w:val="false"/>
          <w:color w:val="000000"/>
          <w:sz w:val="16"/>
        </w:rPr>
        <w:t>(Telephone number, including area code, of agent for service)</w:t>
      </w:r>
    </w:p>
    <w:p>
      <w:pPr>
        <w:pStyle w:val="TextBody"/>
        <w:bidi w:val="0"/>
        <w:spacing w:lineRule="atLeast" w:line="192" w:before="240" w:after="283"/>
        <w:jc w:val="left"/>
        <w:rPr>
          <w:rFonts w:ascii="Arial Narrow;sans-serif" w:hAnsi="Arial Narrow;sans-serif"/>
          <w:b w:val="false"/>
          <w:color w:val="000000"/>
          <w:sz w:val="16"/>
        </w:rPr>
      </w:pPr>
      <w:r>
        <w:rPr>
          <w:rFonts w:ascii="Arial Narrow;sans-serif" w:hAnsi="Arial Narrow;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333" w:before="120" w:after="283"/>
        <w:jc w:val="left"/>
        <w:rPr>
          <w:color w:val="000000"/>
        </w:rPr>
      </w:pPr>
      <w:r>
        <w:rPr>
          <w:color w:val="000000"/>
        </w:rPr>
        <w:t>    </w:t>
      </w:r>
      <w:r>
        <w:rPr>
          <w:rFonts w:ascii="Arial Narrow;sans-serif" w:hAnsi="Arial Narrow;sans-serif"/>
          <w:b w:val="false"/>
          <w:color w:val="000000"/>
          <w:sz w:val="16"/>
        </w:rPr>
        <w:t>Large accelerated filer ☐    Accelerated filer ☒</w:t>
      </w:r>
    </w:p>
    <w:p>
      <w:pPr>
        <w:pStyle w:val="TextBody"/>
        <w:bidi w:val="0"/>
        <w:spacing w:lineRule="auto" w:line="333" w:before="0" w:after="0"/>
        <w:jc w:val="left"/>
        <w:rPr>
          <w:color w:val="000000"/>
        </w:rPr>
      </w:pPr>
      <w:r>
        <w:rPr>
          <w:color w:val="000000"/>
        </w:rPr>
        <w:t>    </w:t>
      </w:r>
      <w:r>
        <w:rPr>
          <w:rFonts w:ascii="Arial Narrow;sans-serif" w:hAnsi="Arial Narrow;sans-serif"/>
          <w:b w:val="false"/>
          <w:color w:val="000000"/>
          <w:sz w:val="16"/>
        </w:rPr>
        <w:t>Non-Accelerated filer ☐    Smaller reporting company ☐</w:t>
      </w:r>
    </w:p>
    <w:p>
      <w:pPr>
        <w:pStyle w:val="TextBody"/>
        <w:bidi w:val="0"/>
        <w:spacing w:lineRule="auto" w:line="333" w:before="0" w:after="0"/>
        <w:jc w:val="left"/>
        <w:rPr>
          <w:color w:val="000000"/>
        </w:rPr>
      </w:pPr>
      <w:r>
        <w:rPr>
          <w:color w:val="000000"/>
        </w:rPr>
        <w:t>        </w:t>
      </w:r>
      <w:r>
        <w:rPr>
          <w:rFonts w:ascii="Arial Narrow;sans-serif" w:hAnsi="Arial Narrow;sans-serif"/>
          <w:b w:val="false"/>
          <w:color w:val="000000"/>
          <w:sz w:val="16"/>
        </w:rPr>
        <w:t>Emerging growth company ☐</w:t>
      </w:r>
    </w:p>
    <w:p>
      <w:pPr>
        <w:pStyle w:val="TextBody"/>
        <w:bidi w:val="0"/>
        <w:spacing w:lineRule="auto" w:line="333" w:before="12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to use the extended transition period for complying with any new or revised financial accounting standards provided pursuant to Section 7(a)(2)(B) of the Securities Act. ☐</w:t>
      </w:r>
    </w:p>
    <w:p>
      <w:pPr>
        <w:pStyle w:val="TextBody"/>
        <w:bidi w:val="0"/>
        <w:spacing w:before="0" w:after="2"/>
        <w:jc w:val="left"/>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69"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General Instruction E of Form S-8 (“Registration of Additional Securities”), the Registrant hereby makes the following statement:</w:t>
      </w:r>
    </w:p>
    <w:p>
      <w:pPr>
        <w:pStyle w:val="TextBody"/>
        <w:bidi w:val="0"/>
        <w:spacing w:before="0" w:after="2"/>
        <w:jc w:val="left"/>
        <w:rPr/>
      </w:pPr>
      <w:r>
        <w:rPr/>
      </w:r>
    </w:p>
    <w:p>
      <w:pPr>
        <w:pStyle w:val="TextBody"/>
        <w:bidi w:val="0"/>
        <w:spacing w:lineRule="auto" w:line="312" w:before="0" w:after="0"/>
        <w:jc w:val="left"/>
        <w:rPr>
          <w:rFonts w:ascii="Arial Narrow;sans-serif" w:hAnsi="Arial Narrow;sans-serif"/>
          <w:b w:val="false"/>
          <w:color w:val="000000"/>
          <w:sz w:val="20"/>
        </w:rPr>
      </w:pPr>
      <w:r>
        <w:rPr>
          <w:rFonts w:ascii="Arial Narrow;sans-serif" w:hAnsi="Arial Narrow;sans-serif"/>
          <w:b w:val="false"/>
          <w:color w:val="000000"/>
          <w:sz w:val="20"/>
        </w:rPr>
        <w:t>On March 4, 2022, the Registrant filed with the Securities and Exchange Commission a Registration Statement on Form S-8 (Registration No. 333-263308) (the “Prior Registration Statement”) relating to shares of the Registrant’s common stock to be issued pursuant to the EZCORP, Inc. 2022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pStyle w:val="TextBody"/>
        <w:bidi w:val="0"/>
        <w:spacing w:lineRule="auto" w:line="333" w:before="480" w:after="283"/>
        <w:jc w:val="left"/>
        <w:rPr>
          <w:rFonts w:ascii="Arial Narrow;sans-serif" w:hAnsi="Arial Narrow;sans-serif"/>
          <w:b/>
          <w:color w:val="000000"/>
          <w:sz w:val="20"/>
        </w:rPr>
      </w:pPr>
      <w:r>
        <w:rPr>
          <w:rFonts w:ascii="Arial Narrow;sans-serif" w:hAnsi="Arial Narrow;sans-serif"/>
          <w:b/>
          <w:color w:val="000000"/>
          <w:sz w:val="20"/>
        </w:rPr>
        <w:t>Item 8 — Exhibits.</w:t>
      </w:r>
    </w:p>
    <w:p>
      <w:pPr>
        <w:pStyle w:val="TextBody"/>
        <w:bidi w:val="0"/>
        <w:spacing w:lineRule="auto" w:line="333"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as a part of this Registration Statement:</w:t>
      </w:r>
    </w:p>
    <w:tbl>
      <w:tblPr>
        <w:tblW w:w="6478"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584"/>
        <w:gridCol w:w="1584"/>
        <w:gridCol w:w="224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43" w:after="283"/>
              <w:jc w:val="center"/>
              <w:rPr>
                <w:rFonts w:ascii="Arial Narrow;sans-serif" w:hAnsi="Arial Narrow;sans-serif"/>
                <w:b/>
                <w:color w:val="000000"/>
                <w:sz w:val="20"/>
              </w:rPr>
            </w:pPr>
            <w:r>
              <w:rPr>
                <w:rFonts w:ascii="Arial Narrow;sans-serif" w:hAnsi="Arial Narrow;sans-serif"/>
                <w:b/>
                <w:color w:val="000000"/>
                <w:sz w:val="20"/>
              </w:rPr>
              <w:t>Exhibit</w:t>
            </w:r>
          </w:p>
          <w:p>
            <w:pPr>
              <w:pStyle w:val="TableContents"/>
              <w:bidi w:val="0"/>
              <w:spacing w:lineRule="auto" w:line="288" w:before="0" w:after="20"/>
              <w:jc w:val="center"/>
              <w:rPr>
                <w:rFonts w:ascii="Arial Narrow;sans-serif" w:hAnsi="Arial Narrow;sans-serif"/>
                <w:b/>
                <w:color w:val="000000"/>
                <w:sz w:val="20"/>
              </w:rPr>
            </w:pPr>
            <w:r>
              <w:rPr>
                <w:rFonts w:ascii="Arial Narrow;sans-serif" w:hAnsi="Arial Narrow;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color w:val="000000"/>
                <w:sz w:val="20"/>
              </w:rPr>
            </w:pPr>
            <w:r>
              <w:rPr>
                <w:rFonts w:ascii="Arial Narrow;sans-serif" w:hAnsi="Arial Narrow;sans-serif"/>
                <w:b/>
                <w:color w:val="000000"/>
                <w:sz w:val="20"/>
              </w:rPr>
              <w:t>Description</w:t>
            </w:r>
          </w:p>
        </w:tc>
      </w:tr>
      <w:tr>
        <w:trPr/>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69" w:before="43" w:after="20"/>
              <w:jc w:val="center"/>
              <w:rPr/>
            </w:pPr>
            <w:hyperlink w:anchor="exhibit51legalopinionoct20.htm">
              <w:r>
                <w:rPr>
                  <w:rStyle w:val="InternetLink"/>
                  <w:rFonts w:ascii="Arial Narrow;sans-serif" w:hAnsi="Arial Narrow;sans-serif"/>
                  <w:b w:val="false"/>
                  <w:color w:val="0000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69" w:before="43" w:after="20"/>
              <w:jc w:val="left"/>
              <w:rPr/>
            </w:pPr>
            <w:hyperlink w:anchor="exhibit51legalopinionoct20.htm">
              <w:r>
                <w:rPr>
                  <w:rStyle w:val="InternetLink"/>
                  <w:rFonts w:ascii="Arial Narrow;sans-serif" w:hAnsi="Arial Narrow;sans-serif"/>
                  <w:b w:val="false"/>
                  <w:color w:val="0000FF"/>
                  <w:sz w:val="20"/>
                  <w:u w:val="single"/>
                </w:rPr>
                <w:t>Opinion of legal counsel</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69" w:before="43" w:after="20"/>
              <w:jc w:val="center"/>
              <w:rPr/>
            </w:pPr>
            <w:hyperlink w:anchor="exhibit231ezcorpoct2025con.htm">
              <w:r>
                <w:rPr>
                  <w:rStyle w:val="InternetLink"/>
                  <w:rFonts w:ascii="Arial Narrow;sans-serif" w:hAnsi="Arial Narrow;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69" w:before="43" w:after="20"/>
              <w:jc w:val="left"/>
              <w:rPr/>
            </w:pPr>
            <w:hyperlink w:anchor="exhibit231ezcorpoct2025con.htm">
              <w:r>
                <w:rPr>
                  <w:rStyle w:val="InternetLink"/>
                  <w:rFonts w:ascii="Arial Narrow;sans-serif" w:hAnsi="Arial Narrow;sans-serif"/>
                  <w:b w:val="false"/>
                  <w:color w:val="0000FF"/>
                  <w:sz w:val="20"/>
                  <w:u w:val="single"/>
                </w:rPr>
                <w:t>Consent of BDO USA, P.C., independent registered public accounting firm</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69" w:before="43" w:after="20"/>
              <w:jc w:val="center"/>
              <w:rPr>
                <w:rFonts w:ascii="Arial Narrow;sans-serif" w:hAnsi="Arial Narrow;sans-serif"/>
                <w:b w:val="false"/>
                <w:color w:val="000000"/>
                <w:sz w:val="20"/>
              </w:rPr>
            </w:pPr>
            <w:r>
              <w:rPr>
                <w:rFonts w:ascii="Arial Narrow;sans-serif" w:hAnsi="Arial Narrow;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Consent of legal counsel (included in Exhibit 5.1)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69" w:before="43" w:after="20"/>
              <w:jc w:val="center"/>
              <w:rPr>
                <w:rFonts w:ascii="Arial Narrow;sans-serif" w:hAnsi="Arial Narrow;sans-serif"/>
                <w:b w:val="false"/>
                <w:color w:val="000000"/>
                <w:sz w:val="20"/>
              </w:rPr>
            </w:pPr>
            <w:r>
              <w:rPr>
                <w:rFonts w:ascii="Arial Narrow;sans-serif" w:hAnsi="Arial Narrow;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Power of attorney (set forth on signature page)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69" w:before="43" w:after="20"/>
              <w:jc w:val="center"/>
              <w:rPr/>
            </w:pPr>
            <w:hyperlink w:anchor="exfilingfees1029.htm">
              <w:r>
                <w:rPr>
                  <w:rStyle w:val="InternetLink"/>
                  <w:rFonts w:ascii="Arial Narrow;sans-serif" w:hAnsi="Arial Narrow;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69" w:before="43" w:after="20"/>
              <w:jc w:val="left"/>
              <w:rPr/>
            </w:pPr>
            <w:hyperlink w:anchor="exfilingfees1029.htm">
              <w:r>
                <w:rPr>
                  <w:rStyle w:val="InternetLink"/>
                  <w:rFonts w:ascii="Arial Narrow;sans-serif" w:hAnsi="Arial Narrow;sans-serif"/>
                  <w:b w:val="false"/>
                  <w:color w:val="0000FF"/>
                  <w:sz w:val="20"/>
                  <w:u w:val="single"/>
                </w:rPr>
                <w:t>Filing Fee Table</w:t>
              </w:r>
            </w:hyperlink>
          </w:p>
        </w:tc>
      </w:tr>
    </w:tbl>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SIGNATURES</w:t>
      </w:r>
    </w:p>
    <w:p>
      <w:pPr>
        <w:pStyle w:val="TextBody"/>
        <w:bidi w:val="0"/>
        <w:spacing w:lineRule="auto" w:line="333" w:before="200" w:after="283"/>
        <w:jc w:val="left"/>
        <w:rPr/>
      </w:pPr>
      <w:r>
        <w:rPr>
          <w:rFonts w:ascii="Arial Narrow;sans-serif" w:hAnsi="Arial Narrow;sans-serif"/>
          <w:b/>
          <w:color w:val="000000"/>
          <w:sz w:val="20"/>
        </w:rPr>
        <w:t>The Registrant</w:t>
      </w:r>
      <w:r>
        <w:rPr>
          <w:rFonts w:ascii="Arial Narrow;sans-serif" w:hAnsi="Arial Narrow;sans-serif"/>
          <w:b w:val="false"/>
          <w:color w:val="000000"/>
          <w:sz w:val="20"/>
        </w:rPr>
        <w: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Rollingwood, State of Texas, on October 29, 2025.</w:t>
      </w:r>
    </w:p>
    <w:p>
      <w:pPr>
        <w:pStyle w:val="TextBody"/>
        <w:bidi w:val="0"/>
        <w:spacing w:lineRule="auto" w:line="333" w:before="240" w:after="283"/>
        <w:jc w:val="left"/>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before="0" w:after="240"/>
        <w:jc w:val="left"/>
        <w:rPr/>
      </w:pPr>
      <w:r>
        <w:rPr/>
      </w:r>
    </w:p>
    <w:p>
      <w:pPr>
        <w:pStyle w:val="TextBody"/>
        <w:bidi w:val="0"/>
        <w:spacing w:lineRule="auto" w:line="333" w:before="0" w:after="240"/>
        <w:jc w:val="left"/>
        <w:rPr/>
      </w:pPr>
      <w:r>
        <w:rPr>
          <w:rFonts w:ascii="Arial Narrow;sans-serif" w:hAnsi="Arial Narrow;sans-serif"/>
          <w:b w:val="false"/>
          <w:color w:val="000000"/>
          <w:sz w:val="20"/>
        </w:rPr>
        <w:t>By:    </w:t>
      </w:r>
      <w:r>
        <w:rPr>
          <w:color w:val="000000"/>
          <w:u w:val="single"/>
        </w:rPr>
        <w:t>    </w:t>
      </w:r>
      <w:r>
        <w:rPr>
          <w:rFonts w:ascii="Arial Narrow;sans-serif" w:hAnsi="Arial Narrow;sans-serif"/>
          <w:b w:val="false"/>
          <w:color w:val="000000"/>
          <w:sz w:val="20"/>
          <w:u w:val="single"/>
        </w:rPr>
        <w:t>/s/ Lachlan P. Given    </w:t>
      </w:r>
    </w:p>
    <w:p>
      <w:pPr>
        <w:pStyle w:val="TextBody"/>
        <w:bidi w:val="0"/>
        <w:spacing w:lineRule="auto" w:line="333" w:before="0" w:after="0"/>
        <w:jc w:val="left"/>
        <w:rPr>
          <w:color w:val="000000"/>
        </w:rPr>
      </w:pPr>
      <w:r>
        <w:rPr>
          <w:color w:val="000000"/>
        </w:rPr>
        <w:t>    </w:t>
      </w:r>
      <w:r>
        <w:rPr>
          <w:rFonts w:ascii="Arial Narrow;sans-serif" w:hAnsi="Arial Narrow;sans-serif"/>
          <w:b w:val="false"/>
          <w:color w:val="000000"/>
          <w:sz w:val="20"/>
        </w:rPr>
        <w:t>Lachlan P. Given,</w:t>
      </w:r>
    </w:p>
    <w:p>
      <w:pPr>
        <w:pStyle w:val="TextBody"/>
        <w:bidi w:val="0"/>
        <w:spacing w:lineRule="auto" w:line="333" w:before="0" w:after="0"/>
        <w:jc w:val="left"/>
        <w:rPr>
          <w:color w:val="000000"/>
        </w:rPr>
      </w:pPr>
      <w:r>
        <w:rPr>
          <w:color w:val="000000"/>
        </w:rPr>
        <w:t>    </w:t>
      </w:r>
      <w:r>
        <w:rPr>
          <w:rFonts w:ascii="Arial Narrow;sans-serif" w:hAnsi="Arial Narrow;sans-serif"/>
          <w:b w:val="false"/>
          <w:color w:val="000000"/>
          <w:sz w:val="20"/>
        </w:rPr>
        <w:t>Chief Executive Officer</w:t>
      </w:r>
    </w:p>
    <w:p>
      <w:pPr>
        <w:pStyle w:val="TextBody"/>
        <w:bidi w:val="0"/>
        <w:spacing w:before="0" w:after="200"/>
        <w:jc w:val="left"/>
        <w:rPr/>
      </w:pPr>
      <w:r>
        <w:rPr/>
      </w:r>
    </w:p>
    <w:p>
      <w:pPr>
        <w:pStyle w:val="TextBody"/>
        <w:bidi w:val="0"/>
        <w:spacing w:lineRule="auto" w:line="333" w:before="0" w:after="20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Act of 1933, this registration statement has been signed by the following persons in the capacities and on the dates indicated. Each person whose signature appears below hereby authorizes and appoints Ellen Bryant his or her attorney-in-fact to sign on his or her behalf individually and in the capacity stated below all amendments and post-effective amendments to this registration statement as that attorney-in-fact may deem necessary or appropriate.</w:t>
      </w:r>
    </w:p>
    <w:tbl>
      <w:tblPr>
        <w:tblW w:w="6517"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875"/>
        <w:gridCol w:w="875"/>
        <w:gridCol w:w="889"/>
        <w:gridCol w:w="109"/>
        <w:gridCol w:w="109"/>
        <w:gridCol w:w="109"/>
        <w:gridCol w:w="406"/>
        <w:gridCol w:w="406"/>
        <w:gridCol w:w="582"/>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69" w:before="43" w:after="20"/>
              <w:jc w:val="center"/>
              <w:rPr>
                <w:rFonts w:ascii="Arial Narrow;sans-serif" w:hAnsi="Arial Narrow;sans-serif"/>
                <w:b/>
                <w:color w:val="000000"/>
                <w:sz w:val="20"/>
              </w:rPr>
            </w:pPr>
            <w:r>
              <w:rPr>
                <w:rFonts w:ascii="Arial Narrow;sans-serif" w:hAnsi="Arial Narrow;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center"/>
              <w:rPr>
                <w:rFonts w:ascii="Arial Narrow;sans-serif" w:hAnsi="Arial Narrow;sans-serif"/>
                <w:b/>
                <w:color w:val="000000"/>
                <w:sz w:val="20"/>
              </w:rPr>
            </w:pPr>
            <w:r>
              <w:rPr>
                <w:rFonts w:ascii="Arial Narrow;sans-serif" w:hAnsi="Arial Narrow;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69" w:before="43" w:after="20"/>
              <w:jc w:val="center"/>
              <w:rPr>
                <w:rFonts w:ascii="Arial Narrow;sans-serif" w:hAnsi="Arial Narrow;sans-serif"/>
                <w:b/>
                <w:color w:val="000000"/>
                <w:sz w:val="20"/>
              </w:rPr>
            </w:pPr>
            <w:r>
              <w:rPr>
                <w:rFonts w:ascii="Arial Narrow;sans-serif" w:hAnsi="Arial Narrow;sans-serif"/>
                <w:b/>
                <w:color w:val="000000"/>
                <w:sz w:val="20"/>
              </w:rPr>
              <w:t>Date</w:t>
            </w:r>
          </w:p>
        </w:tc>
      </w:tr>
      <w:tr>
        <w:trPr/>
        <w:tc>
          <w:tcPr>
            <w:tcW w:w="18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33" w:after="20"/>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Timothy K. 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33" w:after="20"/>
              <w:jc w:val="left"/>
              <w:rPr>
                <w:rFonts w:ascii="Arial Narrow;sans-serif" w:hAnsi="Arial Narrow;sans-serif"/>
                <w:b w:val="false"/>
                <w:color w:val="000000"/>
                <w:sz w:val="20"/>
              </w:rPr>
            </w:pPr>
            <w:r>
              <w:rPr>
                <w:rFonts w:ascii="Arial Narrow;sans-serif" w:hAnsi="Arial Narrow;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Michael Croney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Michael Croney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33" w:after="20"/>
              <w:jc w:val="left"/>
              <w:rPr>
                <w:rFonts w:ascii="Arial Narrow;sans-serif" w:hAnsi="Arial Narrow;sans-serif"/>
                <w:b w:val="false"/>
                <w:color w:val="000000"/>
                <w:sz w:val="20"/>
              </w:rPr>
            </w:pPr>
            <w:r>
              <w:rPr>
                <w:rFonts w:ascii="Arial Narrow;sans-serif" w:hAnsi="Arial Narrow;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Executive 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29" w:type="dxa"/>
        <w:jc w:val="left"/>
        <w:tblInd w:w="0" w:type="dxa"/>
        <w:tblLayout w:type="fixed"/>
        <w:tblCellMar>
          <w:top w:w="28" w:type="dxa"/>
          <w:left w:w="28" w:type="dxa"/>
          <w:bottom w:w="28" w:type="dxa"/>
          <w:right w:w="28" w:type="dxa"/>
        </w:tblCellMar>
      </w:tblPr>
      <w:tblGrid>
        <w:gridCol w:w="689"/>
        <w:gridCol w:w="607"/>
        <w:gridCol w:w="609"/>
        <w:gridCol w:w="109"/>
        <w:gridCol w:w="109"/>
        <w:gridCol w:w="109"/>
        <w:gridCol w:w="225"/>
        <w:gridCol w:w="225"/>
        <w:gridCol w:w="226"/>
        <w:gridCol w:w="109"/>
        <w:gridCol w:w="109"/>
        <w:gridCol w:w="109"/>
        <w:gridCol w:w="408"/>
        <w:gridCol w:w="408"/>
        <w:gridCol w:w="578"/>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/s/ 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69" w:before="43" w:after="20"/>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 Narrow;sans-serif" w:hAnsi="Arial Narrow;sans-serif"/>
                <w:b w:val="false"/>
                <w:color w:val="000000"/>
                <w:sz w:val="20"/>
              </w:rPr>
            </w:pPr>
            <w:r>
              <w:rPr>
                <w:rFonts w:ascii="Arial Narrow;sans-serif" w:hAnsi="Arial Narrow;sans-serif"/>
                <w:b w:val="false"/>
                <w:color w:val="000000"/>
                <w:sz w:val="20"/>
              </w:rPr>
              <w:t>October 29, 2025</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9" w:before="33" w:after="20"/>
              <w:jc w:val="center"/>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33" w:after="20"/>
              <w:jc w:val="left"/>
              <w:rPr/>
            </w:pPr>
            <w:r>
              <w:rPr/>
            </w:r>
          </w:p>
        </w:tc>
      </w:tr>
    </w:tbl>
    <w:p>
      <w:pPr>
        <w:pStyle w:val="TextBody"/>
        <w:bidi w:val="0"/>
        <w:spacing w:before="0" w:after="2"/>
        <w:jc w:val="left"/>
        <w:rPr/>
      </w:pPr>
      <w:r>
        <w:rPr/>
      </w:r>
    </w:p>
    <w:p>
      <w:pPr>
        <w:pStyle w:val="Normal"/>
        <w:bidi w:val="0"/>
        <w:spacing w:before="0" w:after="0"/>
        <w:jc w:val="left"/>
        <w:rPr>
          <w:sz w:val="4"/>
          <w:szCs w:val="4"/>
        </w:rPr>
      </w:pPr>
      <w:r>
        <w:rPr>
          <w:sz w:val="4"/>
          <w:szCs w:val="4"/>
        </w:rPr>
      </w:r>
      <w:bookmarkStart w:id="0" w:name="exfilingfees1029.htm"/>
      <w:bookmarkStart w:id="1" w:name="ksexfilingfees1029"/>
      <w:bookmarkStart w:id="2" w:name="exfilingfees1029.htm"/>
      <w:bookmarkStart w:id="3" w:name="ksexfilingfees1029"/>
      <w:bookmarkEnd w:id="2"/>
      <w:bookmarkEnd w:id="3"/>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3559" w:type="dxa"/>
        <w:jc w:val="left"/>
        <w:tblInd w:w="0" w:type="dxa"/>
        <w:tblLayout w:type="fixed"/>
        <w:tblCellMar>
          <w:top w:w="28" w:type="dxa"/>
          <w:left w:w="28" w:type="dxa"/>
          <w:bottom w:w="28" w:type="dxa"/>
          <w:right w:w="28" w:type="dxa"/>
        </w:tblCellMar>
      </w:tblPr>
      <w:tblGrid>
        <w:gridCol w:w="3405"/>
        <w:gridCol w:w="154"/>
      </w:tblGrid>
      <w:tr>
        <w:trPr/>
        <w:tc>
          <w:tcPr>
            <w:tcW w:w="355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283"/>
              <w:jc w:val="left"/>
              <w:rPr>
                <w:b/>
              </w:rPr>
            </w:pPr>
            <w:r>
              <w:rPr>
                <w:b/>
              </w:rPr>
              <w:t xml:space="preserve">EZCORP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54" w:type="dxa"/>
        <w:jc w:val="left"/>
        <w:tblInd w:w="0" w:type="dxa"/>
        <w:tblLayout w:type="fixed"/>
        <w:tblCellMar>
          <w:top w:w="28" w:type="dxa"/>
          <w:left w:w="28" w:type="dxa"/>
          <w:bottom w:w="28" w:type="dxa"/>
          <w:right w:w="28" w:type="dxa"/>
        </w:tblCellMar>
      </w:tblPr>
      <w:tblGrid>
        <w:gridCol w:w="241"/>
        <w:gridCol w:w="946"/>
        <w:gridCol w:w="1261"/>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Class A Non-Voting 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1,500,000 </w:t>
            </w:r>
          </w:p>
        </w:tc>
        <w:tc>
          <w:tcPr>
            <w:tcW w:w="1156" w:type="dxa"/>
            <w:tcBorders/>
            <w:shd w:fill="E7E7E2" w:val="clear"/>
            <w:vAlign w:val="center"/>
          </w:tcPr>
          <w:p>
            <w:pPr>
              <w:pStyle w:val="TableContents"/>
              <w:bidi w:val="0"/>
              <w:spacing w:before="0" w:after="283"/>
              <w:jc w:val="right"/>
              <w:rPr/>
            </w:pPr>
            <w:r>
              <w:rPr/>
              <w:t xml:space="preserve">$ 17.84 </w:t>
            </w:r>
          </w:p>
        </w:tc>
        <w:tc>
          <w:tcPr>
            <w:tcW w:w="1666" w:type="dxa"/>
            <w:tcBorders/>
            <w:shd w:fill="E7E7E2" w:val="clear"/>
            <w:vAlign w:val="center"/>
          </w:tcPr>
          <w:p>
            <w:pPr>
              <w:pStyle w:val="TableContents"/>
              <w:bidi w:val="0"/>
              <w:spacing w:before="0" w:after="283"/>
              <w:jc w:val="right"/>
              <w:rPr/>
            </w:pPr>
            <w:r>
              <w:rPr/>
              <w:t xml:space="preserve">$ 26,760,000.00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$ 3,695.56 </w:t>
            </w:r>
          </w:p>
        </w:tc>
      </w:tr>
      <w:tr>
        <w:trPr/>
        <w:tc>
          <w:tcPr>
            <w:tcW w:w="491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$ 26,760,000.00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$ 3,695.56 </w:t>
            </w:r>
          </w:p>
        </w:tc>
      </w:tr>
      <w:tr>
        <w:trPr/>
        <w:tc>
          <w:tcPr>
            <w:tcW w:w="491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91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 w:name="NetFeeAmt"/>
            <w:bookmarkEnd w:id="7"/>
            <w:r>
              <w:rPr/>
              <w:t xml:space="preserve">$ 3,695.56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4"/>
        <w:gridCol w:w="8707"/>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Pursuant to Rule 416, this Registration Statement shall be deemed to cover such additional shares of Class A Non-Voting Common Stock as may become issuable pursuant to the antidilution provisions for the 2022 Long-Term Incentive Plan. The maximum aggregate offering price is 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October 28, 2025.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r>
        <w:rPr/>
        <w:drawing>
          <wp:inline distT="0" distB="0" distL="0" distR="0">
            <wp:extent cx="22860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400050"/>
                    </a:xfrm>
                    <a:prstGeom prst="rect">
                      <a:avLst/>
                    </a:prstGeom>
                  </pic:spPr>
                </pic:pic>
              </a:graphicData>
            </a:graphic>
          </wp:inline>
        </w:drawing>
      </w:r>
      <w:r>
        <w:rPr>
          <w:color w:val="000000"/>
        </w:rPr>
        <w:t>    </w:t>
      </w:r>
      <w:r>
        <w:rPr>
          <w:rFonts w:ascii="sans-serif" w:hAnsi="sans-serif"/>
          <w:b/>
          <w:color w:val="000000"/>
          <w:sz w:val="28"/>
        </w:rPr>
        <w:t>Exhibit 5.1</w:t>
      </w:r>
    </w:p>
    <w:p>
      <w:pPr>
        <w:pStyle w:val="TextBody"/>
        <w:bidi w:val="0"/>
        <w:spacing w:lineRule="auto" w:line="386" w:before="0" w:after="0"/>
        <w:jc w:val="center"/>
        <w:rPr>
          <w:rFonts w:ascii="sans-serif" w:hAnsi="sans-serif"/>
          <w:b w:val="false"/>
          <w:color w:val="000000"/>
          <w:sz w:val="22"/>
        </w:rPr>
      </w:pPr>
      <w:r>
        <w:rPr>
          <w:rFonts w:ascii="sans-serif" w:hAnsi="sans-serif"/>
          <w:b w:val="false"/>
          <w:color w:val="000000"/>
          <w:sz w:val="22"/>
        </w:rPr>
        <w:t>October 29, 2025</w:t>
      </w:r>
    </w:p>
    <w:p>
      <w:pPr>
        <w:pStyle w:val="TextBody"/>
        <w:bidi w:val="0"/>
        <w:spacing w:lineRule="auto" w:line="333" w:before="200" w:after="283"/>
        <w:jc w:val="left"/>
        <w:rPr>
          <w:rFonts w:ascii="sans-serif" w:hAnsi="sans-serif"/>
          <w:b w:val="false"/>
          <w:color w:val="000000"/>
          <w:sz w:val="22"/>
        </w:rPr>
      </w:pPr>
      <w:r>
        <w:rPr>
          <w:rFonts w:ascii="sans-serif" w:hAnsi="sans-serif"/>
          <w:b w:val="false"/>
          <w:color w:val="000000"/>
          <w:sz w:val="22"/>
        </w:rPr>
        <w:t>EZCORP, Inc.</w:t>
      </w:r>
    </w:p>
    <w:p>
      <w:pPr>
        <w:pStyle w:val="TextBody"/>
        <w:bidi w:val="0"/>
        <w:spacing w:lineRule="auto" w:line="333" w:before="0" w:after="0"/>
        <w:jc w:val="left"/>
        <w:rPr>
          <w:rFonts w:ascii="sans-serif" w:hAnsi="sans-serif"/>
          <w:b w:val="false"/>
          <w:color w:val="000000"/>
          <w:sz w:val="22"/>
        </w:rPr>
      </w:pPr>
      <w:r>
        <w:rPr>
          <w:rFonts w:ascii="sans-serif" w:hAnsi="sans-serif"/>
          <w:b w:val="false"/>
          <w:color w:val="000000"/>
          <w:sz w:val="22"/>
        </w:rPr>
        <w:t>Building One, Suite 200</w:t>
      </w:r>
    </w:p>
    <w:p>
      <w:pPr>
        <w:pStyle w:val="TextBody"/>
        <w:bidi w:val="0"/>
        <w:spacing w:lineRule="auto" w:line="333" w:before="0" w:after="0"/>
        <w:jc w:val="left"/>
        <w:rPr>
          <w:rFonts w:ascii="sans-serif" w:hAnsi="sans-serif"/>
          <w:b w:val="false"/>
          <w:color w:val="000000"/>
          <w:sz w:val="22"/>
        </w:rPr>
      </w:pPr>
      <w:r>
        <w:rPr>
          <w:rFonts w:ascii="sans-serif" w:hAnsi="sans-serif"/>
          <w:b w:val="false"/>
          <w:color w:val="000000"/>
          <w:sz w:val="22"/>
        </w:rPr>
        <w:t>2500 Bee Cave Road</w:t>
      </w:r>
    </w:p>
    <w:p>
      <w:pPr>
        <w:pStyle w:val="TextBody"/>
        <w:bidi w:val="0"/>
        <w:spacing w:lineRule="auto" w:line="333" w:before="0" w:after="0"/>
        <w:jc w:val="left"/>
        <w:rPr>
          <w:rFonts w:ascii="sans-serif" w:hAnsi="sans-serif"/>
          <w:b w:val="false"/>
          <w:color w:val="000000"/>
          <w:sz w:val="22"/>
        </w:rPr>
      </w:pPr>
      <w:r>
        <w:rPr>
          <w:rFonts w:ascii="sans-serif" w:hAnsi="sans-serif"/>
          <w:b w:val="false"/>
          <w:color w:val="000000"/>
          <w:sz w:val="22"/>
        </w:rPr>
        <w:t>Rollingwood, Texas 78746</w:t>
      </w:r>
    </w:p>
    <w:p>
      <w:pPr>
        <w:pStyle w:val="TextBody"/>
        <w:bidi w:val="0"/>
        <w:spacing w:lineRule="auto" w:line="386" w:before="240" w:after="283"/>
        <w:ind w:left="0" w:right="0" w:firstLine="720"/>
        <w:jc w:val="left"/>
        <w:rPr/>
      </w:pPr>
      <w:r>
        <w:rPr>
          <w:rFonts w:ascii="sans-serif" w:hAnsi="sans-serif"/>
          <w:b w:val="false"/>
          <w:color w:val="000000"/>
          <w:sz w:val="22"/>
        </w:rPr>
        <w:t>Re:    </w:t>
      </w:r>
      <w:r>
        <w:rPr>
          <w:rFonts w:ascii="sans-serif" w:hAnsi="sans-serif"/>
          <w:b w:val="false"/>
          <w:color w:val="000000"/>
          <w:sz w:val="22"/>
          <w:u w:val="single"/>
        </w:rPr>
        <w:t>Registration Statement on Form S-8</w:t>
      </w:r>
    </w:p>
    <w:p>
      <w:pPr>
        <w:pStyle w:val="TextBody"/>
        <w:bidi w:val="0"/>
        <w:spacing w:lineRule="auto" w:line="386" w:before="240" w:after="283"/>
        <w:jc w:val="both"/>
        <w:rPr>
          <w:rFonts w:ascii="sans-serif" w:hAnsi="sans-serif"/>
          <w:b w:val="false"/>
          <w:color w:val="000000"/>
          <w:sz w:val="22"/>
        </w:rPr>
      </w:pPr>
      <w:r>
        <w:rPr>
          <w:rFonts w:ascii="sans-serif" w:hAnsi="sans-serif"/>
          <w:b w:val="false"/>
          <w:color w:val="000000"/>
          <w:sz w:val="22"/>
        </w:rPr>
        <w:t>Ladies and Gentlemen:</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I am Chief Legal Officer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1,500,000 shares of the Company's Class A Non-Voting Common Stock, par value $.01 per share (the “Shares”), that may be issued from time to time pursuant to awards granted under the EZCORP, Inc. 2022 Long-Term Incentive Plan (the “Plan”).</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In reaching the opinion set forth herein, I have examined such agreements, certificates of public officials and officers of the Company, records, documents and matters of law as I deemed relevant.</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The opinion expressed above is limited to the laws of the State of Texas, the Delaware General Corporation Law and the federal laws of the United States of America. I am not admitted to the practice of law in the State of Delaware.</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Sincerely,</w:t>
      </w:r>
    </w:p>
    <w:p>
      <w:pPr>
        <w:pStyle w:val="TextBody"/>
        <w:bidi w:val="0"/>
        <w:spacing w:lineRule="auto" w:line="386" w:before="160" w:after="283"/>
        <w:jc w:val="both"/>
        <w:rPr>
          <w:rFonts w:ascii="sans-serif" w:hAnsi="sans-serif"/>
          <w:b w:val="false"/>
          <w:color w:val="000000"/>
          <w:sz w:val="22"/>
        </w:rPr>
      </w:pPr>
      <w:r>
        <w:rPr>
          <w:rFonts w:ascii="sans-serif" w:hAnsi="sans-serif"/>
          <w:b w:val="false"/>
          <w:color w:val="000000"/>
          <w:sz w:val="22"/>
        </w:rPr>
        <w:t>/s/ Ellen Bryant</w:t>
      </w:r>
    </w:p>
    <w:p>
      <w:pPr>
        <w:pStyle w:val="TextBody"/>
        <w:bidi w:val="0"/>
        <w:spacing w:lineRule="auto" w:line="333" w:before="160" w:after="283"/>
        <w:jc w:val="both"/>
        <w:rPr>
          <w:rFonts w:ascii="sans-serif" w:hAnsi="sans-serif"/>
          <w:b w:val="false"/>
          <w:color w:val="000000"/>
          <w:sz w:val="22"/>
        </w:rPr>
      </w:pPr>
      <w:r>
        <w:rPr>
          <w:rFonts w:ascii="sans-serif" w:hAnsi="sans-serif"/>
          <w:b w:val="false"/>
          <w:color w:val="000000"/>
          <w:sz w:val="22"/>
        </w:rPr>
        <w:t>Ellen Bryant</w:t>
      </w:r>
    </w:p>
    <w:p>
      <w:pPr>
        <w:pStyle w:val="TextBody"/>
        <w:bidi w:val="0"/>
        <w:spacing w:lineRule="auto" w:line="333"/>
        <w:jc w:val="both"/>
        <w:rPr>
          <w:rFonts w:ascii="sans-serif" w:hAnsi="sans-serif"/>
          <w:b w:val="false"/>
          <w:color w:val="000000"/>
          <w:sz w:val="22"/>
        </w:rPr>
      </w:pPr>
      <w:r>
        <w:rPr>
          <w:rFonts w:ascii="sans-serif" w:hAnsi="sans-serif"/>
          <w:b w:val="false"/>
          <w:color w:val="000000"/>
          <w:sz w:val="22"/>
        </w:rPr>
        <w:t>Chief Legal Officer and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3370"/>
                <wp:effectExtent l="0" t="0" r="0" b="0"/>
                <wp:wrapNone/>
                <wp:docPr id="5" name="Frame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EZCORP, Inc. 2500 Bee Cave Road Building One, Suite 200 Rollingwood, Texas 78746 (512) 314-3400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EZCORP, Inc. 2500 Bee Cave Road Building One, Suite 200 Rollingwood, Texas 78746 (512) 314-3400</w:t>
                      </w:r>
                    </w:p>
                  </w:txbxContent>
                </v:textbox>
                <w10:wrap type="none"/>
              </v:rect>
            </w:pict>
          </mc:Fallback>
        </mc:AlternateContent>
      </w:r>
    </w:p>
    <w:p>
      <w:pPr>
        <w:pStyle w:val="TextBody"/>
        <w:bidi w:val="0"/>
        <w:spacing w:lineRule="auto" w:line="288" w:before="0" w:after="94"/>
        <w:ind w:left="0" w:right="0" w:hanging="900"/>
        <w:jc w:val="right"/>
        <w:rPr>
          <w:rFonts w:ascii="Arial Narrow;sans-serif" w:hAnsi="Arial Narrow;sans-serif"/>
          <w:b/>
          <w:color w:val="000000"/>
          <w:sz w:val="28"/>
        </w:rPr>
      </w:pPr>
      <w:r>
        <w:rPr>
          <w:rFonts w:ascii="Arial Narrow;sans-serif" w:hAnsi="Arial Narrow;sans-serif"/>
          <w:b/>
          <w:color w:val="000000"/>
          <w:sz w:val="28"/>
        </w:rPr>
        <w:t>Exhibit 23.1</w:t>
      </w:r>
    </w:p>
    <w:p>
      <w:pPr>
        <w:pStyle w:val="TextBody"/>
        <w:bidi w:val="0"/>
        <w:spacing w:before="240" w:after="283"/>
        <w:jc w:val="both"/>
        <w:rPr/>
      </w:pPr>
      <w:r>
        <w:rPr/>
      </w:r>
    </w:p>
    <w:p>
      <w:pPr>
        <w:pStyle w:val="TextBody"/>
        <w:bidi w:val="0"/>
        <w:spacing w:before="0" w:after="0"/>
        <w:jc w:val="left"/>
        <w:rPr/>
      </w:pPr>
      <w:r>
        <w:rPr/>
      </w:r>
    </w:p>
    <w:p>
      <w:pPr>
        <w:pStyle w:val="TextBody"/>
        <w:bidi w:val="0"/>
        <w:spacing w:lineRule="auto" w:line="333" w:before="0" w:after="0"/>
        <w:jc w:val="center"/>
        <w:rPr>
          <w:rFonts w:ascii="Arial Narrow;sans-serif" w:hAnsi="Arial Narrow;sans-serif"/>
          <w:b w:val="false"/>
          <w:color w:val="000000"/>
          <w:sz w:val="21"/>
          <w:u w:val="single"/>
        </w:rPr>
      </w:pPr>
      <w:r>
        <w:rPr>
          <w:rFonts w:ascii="Arial Narrow;sans-serif" w:hAnsi="Arial Narrow;sans-serif"/>
          <w:b w:val="false"/>
          <w:color w:val="000000"/>
          <w:sz w:val="21"/>
          <w:u w:val="single"/>
        </w:rPr>
        <w:t>Consent of Independent Registered Public Accounting Firm</w:t>
      </w:r>
    </w:p>
    <w:p>
      <w:pPr>
        <w:pStyle w:val="TextBody"/>
        <w:bidi w:val="0"/>
        <w:spacing w:before="240" w:after="283"/>
        <w:jc w:val="both"/>
        <w:rPr/>
      </w:pPr>
      <w:r>
        <w:rPr/>
      </w:r>
    </w:p>
    <w:p>
      <w:pPr>
        <w:pStyle w:val="TextBody"/>
        <w:bidi w:val="0"/>
        <w:spacing w:lineRule="auto" w:line="333" w:before="240" w:after="283"/>
        <w:jc w:val="both"/>
        <w:rPr>
          <w:rFonts w:ascii="Arial Narrow;sans-serif" w:hAnsi="Arial Narrow;sans-serif"/>
          <w:b w:val="false"/>
          <w:color w:val="000000"/>
          <w:sz w:val="21"/>
        </w:rPr>
      </w:pPr>
      <w:r>
        <w:rPr>
          <w:rFonts w:ascii="Arial Narrow;sans-serif" w:hAnsi="Arial Narrow;sans-serif"/>
          <w:b w:val="false"/>
          <w:color w:val="000000"/>
          <w:sz w:val="21"/>
        </w:rPr>
        <w:t>EZCORP, Inc.</w:t>
      </w:r>
    </w:p>
    <w:p>
      <w:pPr>
        <w:pStyle w:val="TextBody"/>
        <w:bidi w:val="0"/>
        <w:spacing w:lineRule="auto" w:line="333" w:before="0" w:after="0"/>
        <w:jc w:val="both"/>
        <w:rPr>
          <w:rFonts w:ascii="Arial Narrow;sans-serif" w:hAnsi="Arial Narrow;sans-serif"/>
          <w:b w:val="false"/>
          <w:color w:val="000000"/>
          <w:sz w:val="21"/>
        </w:rPr>
      </w:pPr>
      <w:r>
        <w:rPr>
          <w:rFonts w:ascii="Arial Narrow;sans-serif" w:hAnsi="Arial Narrow;sans-serif"/>
          <w:b w:val="false"/>
          <w:color w:val="000000"/>
          <w:sz w:val="21"/>
        </w:rPr>
        <w:t>Austin, Texas</w:t>
      </w:r>
    </w:p>
    <w:p>
      <w:pPr>
        <w:pStyle w:val="TextBody"/>
        <w:bidi w:val="0"/>
        <w:spacing w:before="0" w:after="0"/>
        <w:jc w:val="both"/>
        <w:rPr/>
      </w:pPr>
      <w:r>
        <w:rPr/>
      </w:r>
    </w:p>
    <w:p>
      <w:pPr>
        <w:pStyle w:val="TextBody"/>
        <w:bidi w:val="0"/>
        <w:spacing w:lineRule="auto" w:line="312" w:before="0" w:after="0"/>
        <w:jc w:val="left"/>
        <w:rPr>
          <w:rFonts w:ascii="Arial Narrow;sans-serif" w:hAnsi="Arial Narrow;sans-serif"/>
          <w:b w:val="false"/>
          <w:color w:val="000000"/>
          <w:sz w:val="21"/>
        </w:rPr>
      </w:pPr>
      <w:r>
        <w:rPr>
          <w:rFonts w:ascii="Arial Narrow;sans-serif" w:hAnsi="Arial Narrow;sans-serif"/>
          <w:b w:val="false"/>
          <w:color w:val="000000"/>
          <w:sz w:val="21"/>
        </w:rPr>
        <w:t>We hereby consent to the incorporation by reference in this Registration Statement on Form S-8 of our reports dated November 13, 2024, relating to the consolidated financial statements and the effectiveness of internal control over financial reporting, of EZCORP, Inc.’s appearing in the Company’s Annual Report on Form 10-K for the year ended September 30, 2024.</w:t>
      </w:r>
    </w:p>
    <w:p>
      <w:pPr>
        <w:pStyle w:val="TextBody"/>
        <w:bidi w:val="0"/>
        <w:spacing w:before="0" w:after="0"/>
        <w:jc w:val="both"/>
        <w:rPr/>
      </w:pPr>
      <w:r>
        <w:rPr/>
      </w:r>
    </w:p>
    <w:p>
      <w:pPr>
        <w:pStyle w:val="TextBody"/>
        <w:bidi w:val="0"/>
        <w:spacing w:lineRule="auto" w:line="333" w:before="0" w:after="0"/>
        <w:jc w:val="both"/>
        <w:rPr>
          <w:rFonts w:ascii="Arial Narrow;sans-serif" w:hAnsi="Arial Narrow;sans-serif"/>
          <w:b w:val="false"/>
          <w:color w:val="000000"/>
          <w:sz w:val="21"/>
        </w:rPr>
      </w:pPr>
      <w:r>
        <w:rPr>
          <w:rFonts w:ascii="Arial Narrow;sans-serif" w:hAnsi="Arial Narrow;sans-serif"/>
          <w:b w:val="false"/>
          <w:color w:val="000000"/>
          <w:sz w:val="21"/>
        </w:rPr>
        <w:t>/s/ BDO USA, P.C.</w:t>
      </w:r>
    </w:p>
    <w:p>
      <w:pPr>
        <w:pStyle w:val="TextBody"/>
        <w:bidi w:val="0"/>
        <w:spacing w:before="0" w:after="0"/>
        <w:jc w:val="both"/>
        <w:rPr/>
      </w:pPr>
      <w:r>
        <w:rPr/>
      </w:r>
    </w:p>
    <w:p>
      <w:pPr>
        <w:pStyle w:val="TextBody"/>
        <w:bidi w:val="0"/>
        <w:spacing w:lineRule="auto" w:line="333" w:before="0" w:after="0"/>
        <w:jc w:val="both"/>
        <w:rPr>
          <w:rFonts w:ascii="Arial Narrow;sans-serif" w:hAnsi="Arial Narrow;sans-serif"/>
          <w:b w:val="false"/>
          <w:color w:val="000000"/>
          <w:sz w:val="21"/>
        </w:rPr>
      </w:pPr>
      <w:r>
        <w:rPr>
          <w:rFonts w:ascii="Arial Narrow;sans-serif" w:hAnsi="Arial Narrow;sans-serif"/>
          <w:b w:val="false"/>
          <w:color w:val="000000"/>
          <w:sz w:val="21"/>
        </w:rPr>
        <w:t>BDO USA, P.C.</w:t>
      </w:r>
    </w:p>
    <w:p>
      <w:pPr>
        <w:pStyle w:val="TextBody"/>
        <w:bidi w:val="0"/>
        <w:spacing w:lineRule="auto" w:line="333" w:before="0" w:after="0"/>
        <w:jc w:val="both"/>
        <w:rPr>
          <w:rFonts w:ascii="Arial Narrow;sans-serif" w:hAnsi="Arial Narrow;sans-serif"/>
          <w:b w:val="false"/>
          <w:color w:val="000000"/>
          <w:sz w:val="21"/>
        </w:rPr>
      </w:pPr>
      <w:r>
        <w:rPr>
          <w:rFonts w:ascii="Arial Narrow;sans-serif" w:hAnsi="Arial Narrow;sans-serif"/>
          <w:b w:val="false"/>
          <w:color w:val="000000"/>
          <w:sz w:val="21"/>
        </w:rPr>
        <w:t>Dallas, Texas</w:t>
      </w:r>
    </w:p>
    <w:p>
      <w:pPr>
        <w:pStyle w:val="TextBody"/>
        <w:bidi w:val="0"/>
        <w:spacing w:lineRule="auto" w:line="333" w:before="240" w:after="283"/>
        <w:jc w:val="both"/>
        <w:rPr>
          <w:rFonts w:ascii="Arial Narrow;sans-serif" w:hAnsi="Arial Narrow;sans-serif"/>
          <w:b w:val="false"/>
          <w:color w:val="000000"/>
          <w:sz w:val="21"/>
        </w:rPr>
      </w:pPr>
      <w:r>
        <w:rPr>
          <w:rFonts w:ascii="Arial Narrow;sans-serif" w:hAnsi="Arial Narrow;sans-serif"/>
          <w:b w:val="false"/>
          <w:color w:val="000000"/>
          <w:sz w:val="21"/>
        </w:rPr>
        <w:t>October 29, 2025.</w:t>
      </w:r>
    </w:p>
    <w:p>
      <w:pPr>
        <w:pStyle w:val="TextBody"/>
        <w:bidi w:val="0"/>
        <w:spacing w:before="240" w:after="1"/>
        <w:ind w:left="0" w:right="0" w:hanging="4"/>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51560"/>
                <wp:effectExtent l="0" t="0" r="0" b="0"/>
                <wp:wrapNone/>
                <wp:docPr id="6" name="Frame5"/>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left"/>
                              <w:rPr>
                                <w:rFonts w:ascii="Arial;sans-serif" w:hAnsi="Arial;sans-serif"/>
                                <w:b w:val="false"/>
                                <w:color w:val="685040"/>
                                <w:sz w:val="12"/>
                              </w:rPr>
                            </w:pPr>
                            <w:r>
                              <w:rPr>
                                <w:rFonts w:ascii="Arial;sans-serif" w:hAnsi="Arial;sans-serif"/>
                                <w:b w:val="false"/>
                                <w:color w:val="685040"/>
                                <w:sz w:val="12"/>
                              </w:rPr>
                              <w:t>BDO USA, P.C., a Virginia professional corporation, is the U.S. member of BDO International Limited, a UK company limited by guarantee, and forms part of the international BDO network of independent member firms.</w:t>
                            </w:r>
                          </w:p>
                          <w:p>
                            <w:pPr>
                              <w:pStyle w:val="TextBody"/>
                              <w:bidi w:val="0"/>
                              <w:spacing w:before="0" w:after="0"/>
                              <w:jc w:val="left"/>
                              <w:rPr/>
                            </w:pPr>
                            <w:r>
                              <w:rPr/>
                            </w:r>
                          </w:p>
                          <w:p>
                            <w:pPr>
                              <w:pStyle w:val="TextBody"/>
                              <w:bidi w:val="0"/>
                              <w:spacing w:lineRule="auto" w:line="386" w:before="0" w:after="0"/>
                              <w:jc w:val="both"/>
                              <w:rPr>
                                <w:rFonts w:ascii="Arial;sans-serif" w:hAnsi="Arial;sans-serif"/>
                                <w:b w:val="false"/>
                                <w:color w:val="685040"/>
                                <w:sz w:val="12"/>
                              </w:rPr>
                            </w:pPr>
                            <w:r>
                              <w:rPr>
                                <w:rFonts w:ascii="Arial;sans-serif" w:hAnsi="Arial;sans-serif"/>
                                <w:b w:val="false"/>
                                <w:color w:val="685040"/>
                                <w:sz w:val="12"/>
                              </w:rPr>
                              <w:t>BDO is the brand name for the BDO network and for each of the BDO Member Firms.</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685040"/>
                          <w:sz w:val="12"/>
                        </w:rPr>
                      </w:pPr>
                      <w:r>
                        <w:rPr>
                          <w:rFonts w:ascii="Arial;sans-serif" w:hAnsi="Arial;sans-serif"/>
                          <w:b w:val="false"/>
                          <w:color w:val="685040"/>
                          <w:sz w:val="12"/>
                        </w:rPr>
                        <w:t>BDO USA, P.C., a Virginia professional corporation, is the U.S. member of BDO International Limited, a UK company limited by guarantee, and forms part of the international BDO network of independent member firms.</w:t>
                      </w:r>
                    </w:p>
                    <w:p>
                      <w:pPr>
                        <w:pStyle w:val="TextBody"/>
                        <w:bidi w:val="0"/>
                        <w:spacing w:before="0" w:after="0"/>
                        <w:jc w:val="left"/>
                        <w:rPr/>
                      </w:pPr>
                      <w:r>
                        <w:rPr/>
                      </w:r>
                    </w:p>
                    <w:p>
                      <w:pPr>
                        <w:pStyle w:val="TextBody"/>
                        <w:bidi w:val="0"/>
                        <w:spacing w:lineRule="auto" w:line="386" w:before="0" w:after="0"/>
                        <w:jc w:val="both"/>
                        <w:rPr>
                          <w:rFonts w:ascii="Arial;sans-serif" w:hAnsi="Arial;sans-serif"/>
                          <w:b w:val="false"/>
                          <w:color w:val="685040"/>
                          <w:sz w:val="12"/>
                        </w:rPr>
                      </w:pPr>
                      <w:r>
                        <w:rPr>
                          <w:rFonts w:ascii="Arial;sans-serif" w:hAnsi="Arial;sans-serif"/>
                          <w:b w:val="false"/>
                          <w:color w:val="685040"/>
                          <w:sz w:val="12"/>
                        </w:rPr>
                        <w:t>BDO is the brand name for the BDO network and for each of the BDO Member Firms.</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1551</Words>
  <Characters>8314</Characters>
  <CharactersWithSpaces>9823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