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-651510</wp:posOffset>
            </wp:positionV>
            <wp:extent cx="59690" cy="6648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4152265</wp:posOffset>
            </wp:positionH>
            <wp:positionV relativeFrom="paragraph">
              <wp:posOffset>-651510</wp:posOffset>
            </wp:positionV>
            <wp:extent cx="59690" cy="6648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20955</wp:posOffset>
            </wp:positionV>
            <wp:extent cx="7323455" cy="55848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584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McGuire David Francis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2500 BEE CAVE ROAD</w:t>
      </w:r>
    </w:p>
    <w:p>
      <w:pPr>
        <w:spacing w:after="0" w:line="7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BLDG. 1, SUITE 200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EZCORP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EZPW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7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12/12/2017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60" w:hanging="3"/>
        <w:spacing w:after="0" w:line="256" w:lineRule="auto"/>
        <w:tabs>
          <w:tab w:leader="none" w:pos="15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96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Deputy CFO; CAO</w:t>
      </w:r>
    </w:p>
    <w:p>
      <w:pPr>
        <w:spacing w:after="0" w:line="40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57" w:space="720"/>
            <w:col w:w="3483"/>
          </w:cols>
          <w:pgMar w:left="240" w:top="225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40" w:type="dxa"/>
            <w:vAlign w:val="bottom"/>
            <w:gridSpan w:val="8"/>
          </w:tcPr>
          <w:p>
            <w:pPr>
              <w:jc w:val="center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80" w:type="dxa"/>
            <w:vAlign w:val="bottom"/>
            <w:gridSpan w:val="10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ROLLINGWOOD TX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78746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80" w:type="dxa"/>
            <w:vAlign w:val="bottom"/>
            <w:gridSpan w:val="2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80" w:type="dxa"/>
            <w:vAlign w:val="bottom"/>
            <w:gridSpan w:val="4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ind w:left="8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3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right="1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20" w:type="dxa"/>
            <w:vAlign w:val="bottom"/>
            <w:gridSpan w:val="12"/>
          </w:tcPr>
          <w:p>
            <w:pPr>
              <w:jc w:val="center"/>
              <w:ind w:left="5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Class A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9"/>
              </w:rPr>
              <w:t>Non-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6,725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jc w:val="right"/>
              <w:ind w:right="133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12/12/2017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jc w:val="right"/>
              <w:ind w:right="39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6,725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7"/>
              </w:rPr>
              <w:t>Voting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1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</w:t>
            </w:r>
          </w:p>
        </w:tc>
        <w:tc>
          <w:tcPr>
            <w:tcW w:w="620" w:type="dxa"/>
            <w:vAlign w:val="bottom"/>
          </w:tcPr>
          <w:p>
            <w:pPr>
              <w:ind w:left="2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57,317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Class A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9"/>
              </w:rPr>
              <w:t>Non-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22,671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jc w:val="right"/>
              <w:ind w:right="133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12/12/2017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jc w:val="right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22,671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7"/>
              </w:rPr>
              <w:t>Voting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1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</w:t>
            </w:r>
          </w:p>
        </w:tc>
        <w:tc>
          <w:tcPr>
            <w:tcW w:w="620" w:type="dxa"/>
            <w:vAlign w:val="bottom"/>
          </w:tcPr>
          <w:p>
            <w:pPr>
              <w:ind w:left="2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79,988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ectPr>
          <w:pgSz w:w="11900" w:h="16838" w:orient="portrait"/>
          <w:cols w:equalWidth="0" w:num="1">
            <w:col w:w="11520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Each unit represents a contingent right to receive one share of EZCORP Class A Non-Voting Common Stock at the time of vesting.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units vest, in whole or in part, on September 30, 2018, subject to the attainment of specified performance goals.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units vest, in whole or in part, on September 30, 2020, subject to the attainment of specified performance goals.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5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/s/ Carrie Putnam, attorney in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6350</wp:posOffset>
            </wp:positionV>
            <wp:extent cx="130810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810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-11430</wp:posOffset>
            </wp:positionV>
            <wp:extent cx="16573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73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4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8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12/14/2017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6350</wp:posOffset>
            </wp:positionV>
            <wp:extent cx="50482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920" w:space="240"/>
            <w:col w:w="2360"/>
          </w:cols>
          <w:pgMar w:left="240" w:top="225" w:right="1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2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664269" TargetMode="External"/><Relationship Id="rId13" Type="http://schemas.openxmlformats.org/officeDocument/2006/relationships/hyperlink" Target="http://www.sec.gov/cgi-bin/browse-edgar?action=getcompany&amp;CIK=000087652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2020-01-16T06:00:00Z</dcterms:created>
  <dcterms:modified xsi:type="dcterms:W3CDTF">2020-01-16T06:00:00Z</dcterms:modified>
</cp:coreProperties>
</file>