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314"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12b-25</w:t>
      </w:r>
    </w:p>
    <w:p>
      <w:pPr>
        <w:spacing w:after="0" w:line="339"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NOTIFICATION OF LATE FILING</w:t>
      </w:r>
    </w:p>
    <w:p>
      <w:pPr>
        <w:spacing w:after="0" w:line="200" w:lineRule="exact"/>
        <w:rPr>
          <w:sz w:val="24"/>
          <w:szCs w:val="24"/>
          <w:color w:val="auto"/>
        </w:rPr>
      </w:pPr>
    </w:p>
    <w:p>
      <w:pPr>
        <w:spacing w:after="0" w:line="304"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SEC File Number: 001-19424</w:t>
      </w:r>
    </w:p>
    <w:p>
      <w:pPr>
        <w:spacing w:after="0" w:line="333"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CUSIP Number: 302301106</w:t>
      </w:r>
    </w:p>
    <w:p>
      <w:pPr>
        <w:sectPr>
          <w:pgSz w:w="11900" w:h="16838" w:orient="portrait"/>
          <w:cols w:equalWidth="0" w:num="1">
            <w:col w:w="11060"/>
          </w:cols>
          <w:pgMar w:left="240" w:top="1003"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40"/>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o Form 10-K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o Form 20-F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 Form 11-K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 xml:space="preserve">x </w:t>
      </w:r>
      <w:r>
        <w:rPr>
          <w:rFonts w:ascii="Arial" w:cs="Arial" w:eastAsia="Arial" w:hAnsi="Arial"/>
          <w:sz w:val="17"/>
          <w:szCs w:val="17"/>
          <w:color w:val="auto"/>
        </w:rPr>
        <w:t>Form 10-Q</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 Form 10-D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o Form N-SAR</w:t>
      </w:r>
    </w:p>
    <w:p>
      <w:pPr>
        <w:spacing w:after="0" w:line="196" w:lineRule="exact"/>
        <w:rPr>
          <w:sz w:val="24"/>
          <w:szCs w:val="24"/>
          <w:color w:val="auto"/>
        </w:rPr>
      </w:pPr>
    </w:p>
    <w:p>
      <w:pPr>
        <w:sectPr>
          <w:pgSz w:w="11900" w:h="16838" w:orient="portrait"/>
          <w:cols w:equalWidth="0" w:num="7">
            <w:col w:w="1000" w:space="720"/>
            <w:col w:w="1140" w:space="720"/>
            <w:col w:w="920" w:space="700"/>
            <w:col w:w="940" w:space="640"/>
            <w:col w:w="940" w:space="640"/>
            <w:col w:w="940" w:space="640"/>
            <w:col w:w="1120"/>
          </w:cols>
          <w:pgMar w:left="240" w:top="1003" w:right="5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o Form N-CSR</w:t>
      </w:r>
    </w:p>
    <w:p>
      <w:pPr>
        <w:sectPr>
          <w:pgSz w:w="11900" w:h="16838" w:orient="portrait"/>
          <w:cols w:equalWidth="0" w:num="1">
            <w:col w:w="11060"/>
          </w:cols>
          <w:pgMar w:left="240" w:top="1003" w:right="599" w:bottom="1440" w:gutter="0" w:footer="0" w:header="0"/>
          <w:type w:val="continuous"/>
        </w:sect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For Period Ended: March 31, 2015</w:t>
      </w:r>
    </w:p>
    <w:p>
      <w:pPr>
        <w:spacing w:after="0" w:line="17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10-K</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20-F</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11-F</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10-Q</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N-SAR</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7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ectPr>
          <w:pgSz w:w="11900" w:h="16838" w:orient="portrait"/>
          <w:cols w:equalWidth="0" w:num="1">
            <w:col w:w="11060"/>
          </w:cols>
          <w:pgMar w:left="240" w:top="1003" w:right="5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Full Name of Registrant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Former Name if Applicable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1901 Capital Parkway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Texas 78746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 State and Zip Code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66040</wp:posOffset>
            </wp:positionV>
            <wp:extent cx="8890" cy="1080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080770"/>
                    </a:xfrm>
                    <a:prstGeom prst="rect">
                      <a:avLst/>
                    </a:prstGeom>
                    <a:noFill/>
                  </pic:spPr>
                </pic:pic>
              </a:graphicData>
            </a:graphic>
          </wp:anchor>
        </w:drawing>
      </w:r>
    </w:p>
    <w:p>
      <w:pPr>
        <w:spacing w:after="0" w:line="96" w:lineRule="exact"/>
        <w:rPr>
          <w:sz w:val="20"/>
          <w:szCs w:val="20"/>
          <w:color w:val="auto"/>
        </w:rPr>
      </w:pPr>
    </w:p>
    <w:p>
      <w:pPr>
        <w:ind w:left="720" w:hanging="44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subject annual report, semi-annual report, transition report on Form 10-K, Form 20-F, Form 11-K, Form N-SAR or Form N-CSR, or portion</w:t>
      </w:r>
    </w:p>
    <w:p>
      <w:pPr>
        <w:ind w:left="40"/>
        <w:spacing w:after="0"/>
        <w:tabs>
          <w:tab w:leader="none" w:pos="260" w:val="left"/>
          <w:tab w:leader="none" w:pos="700" w:val="left"/>
        </w:tabs>
        <w:rPr>
          <w:sz w:val="20"/>
          <w:szCs w:val="20"/>
          <w:color w:val="auto"/>
        </w:rPr>
      </w:pPr>
      <w:r>
        <w:rPr>
          <w:rFonts w:ascii="Arial" w:cs="Arial" w:eastAsia="Arial" w:hAnsi="Arial"/>
          <w:sz w:val="29"/>
          <w:szCs w:val="29"/>
          <w:color w:val="auto"/>
          <w:vertAlign w:val="subscript"/>
        </w:rPr>
        <w:t>o</w:t>
      </w:r>
      <w:r>
        <w:rPr>
          <w:sz w:val="20"/>
          <w:szCs w:val="20"/>
          <w:color w:val="auto"/>
        </w:rPr>
        <w:tab/>
      </w:r>
      <w:r>
        <w:rPr>
          <w:rFonts w:ascii="Arial" w:cs="Arial" w:eastAsia="Arial" w:hAnsi="Arial"/>
          <w:sz w:val="29"/>
          <w:szCs w:val="29"/>
          <w:color w:val="auto"/>
          <w:vertAlign w:val="subscript"/>
        </w:rPr>
        <w:t>(b)</w:t>
      </w:r>
      <w:r>
        <w:rPr>
          <w:sz w:val="20"/>
          <w:szCs w:val="20"/>
          <w:color w:val="auto"/>
        </w:rPr>
        <w:tab/>
      </w:r>
      <w:r>
        <w:rPr>
          <w:rFonts w:ascii="Arial" w:cs="Arial" w:eastAsia="Arial" w:hAnsi="Arial"/>
          <w:sz w:val="16"/>
          <w:szCs w:val="16"/>
          <w:color w:val="auto"/>
        </w:rPr>
        <w:t>thereof, will be filed on or before the fifteenth calendar day following the prescribed due date; or the subject quarterly report or transition report on</w:t>
      </w:r>
    </w:p>
    <w:p>
      <w:pPr>
        <w:spacing w:after="0" w:line="1" w:lineRule="exact"/>
        <w:rPr>
          <w:sz w:val="20"/>
          <w:szCs w:val="20"/>
          <w:color w:val="auto"/>
        </w:rPr>
      </w:pPr>
    </w:p>
    <w:p>
      <w:pPr>
        <w:ind w:left="720" w:right="80"/>
        <w:spacing w:after="0" w:line="259" w:lineRule="auto"/>
        <w:rPr>
          <w:sz w:val="20"/>
          <w:szCs w:val="20"/>
          <w:color w:val="auto"/>
        </w:rPr>
      </w:pPr>
      <w:r>
        <w:rPr>
          <w:rFonts w:ascii="Arial" w:cs="Arial" w:eastAsia="Arial" w:hAnsi="Arial"/>
          <w:sz w:val="18"/>
          <w:szCs w:val="18"/>
          <w:color w:val="auto"/>
        </w:rPr>
        <w:t>Form 10-Q or subject distribution report on Form 10-D, or portion thereof, will be filed on or before the fifth calendar day following the prescribed due date; and</w:t>
      </w:r>
    </w:p>
    <w:p>
      <w:pPr>
        <w:spacing w:after="0" w:line="145" w:lineRule="exact"/>
        <w:rPr>
          <w:sz w:val="20"/>
          <w:szCs w:val="20"/>
          <w:color w:val="auto"/>
        </w:rPr>
      </w:pPr>
    </w:p>
    <w:p>
      <w:pPr>
        <w:ind w:left="720" w:hanging="44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EZCORP, Inc. (the "Company") has identified certain errors in a portion of its Grupo Finmart loan portfolio that may impact current and historical amounts of loan reserves and interest income. The Company is conducting a more thorough review to quantify the errors, evaluate the associated processes and controls and remediate the identified control deficiencies. The Company is also reviewing whether certain structured asset sales from Grupo Finmart have been accounted for properly as true sales or whether they should have been accounted for as financing transactions.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delaying the filing of its Quarterly Report on Form 10-Q for the second quarter of fiscal 2015 (ended March 31, 2015) until it has completed the review and analysis of the matters identified above, has determined the impact on its current and historical financial statements and has evaluated the significance of the identified control deficiencies. The Company expects to file the delinquent Quarterly Report upon completion of that review (including a review of the results by the Company's current and predecessor independent registered public accounting firms) and after the current independent registered public accounting firm has completed its required quarterly review.</w:t>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IV — OTHER INFORMATION</w:t>
      </w:r>
    </w:p>
    <w:p>
      <w:pPr>
        <w:spacing w:after="0" w:line="175" w:lineRule="exact"/>
        <w:rPr>
          <w:sz w:val="20"/>
          <w:szCs w:val="20"/>
          <w:color w:val="auto"/>
        </w:rPr>
      </w:pPr>
    </w:p>
    <w:p>
      <w:pPr>
        <w:ind w:left="620" w:hanging="58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Thomas H. Welch, Jr.</w:t>
            </w:r>
          </w:p>
        </w:tc>
        <w:tc>
          <w:tcPr>
            <w:tcW w:w="3540" w:type="dxa"/>
            <w:vAlign w:val="bottom"/>
          </w:tcPr>
          <w:p>
            <w:pPr>
              <w:ind w:left="4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314-3400</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(Area Code)</w:t>
            </w:r>
          </w:p>
        </w:tc>
        <w:tc>
          <w:tcPr>
            <w:tcW w:w="3520" w:type="dxa"/>
            <w:vAlign w:val="bottom"/>
          </w:tcPr>
          <w:p>
            <w:pPr>
              <w:ind w:left="20"/>
              <w:spacing w:after="0"/>
              <w:rPr>
                <w:sz w:val="20"/>
                <w:szCs w:val="20"/>
                <w:color w:val="auto"/>
              </w:rPr>
            </w:pPr>
            <w:r>
              <w:rPr>
                <w:rFonts w:ascii="Arial" w:cs="Arial" w:eastAsia="Arial" w:hAnsi="Arial"/>
                <w:sz w:val="18"/>
                <w:szCs w:val="18"/>
                <w:color w:val="auto"/>
              </w:rPr>
              <w:t>(Telephone Number)</w:t>
            </w:r>
          </w:p>
        </w:tc>
      </w:tr>
    </w:tbl>
    <w:p>
      <w:pPr>
        <w:spacing w:after="0" w:line="175" w:lineRule="exact"/>
        <w:rPr>
          <w:sz w:val="20"/>
          <w:szCs w:val="20"/>
          <w:color w:val="auto"/>
        </w:rPr>
      </w:pPr>
    </w:p>
    <w:p>
      <w:pPr>
        <w:ind w:left="500" w:hanging="465"/>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w:t>
      </w:r>
    </w:p>
    <w:p>
      <w:pPr>
        <w:spacing w:after="0" w:line="46" w:lineRule="exact"/>
        <w:rPr>
          <w:sz w:val="20"/>
          <w:szCs w:val="20"/>
          <w:color w:val="auto"/>
        </w:rPr>
      </w:pPr>
    </w:p>
    <w:p>
      <w:pPr>
        <w:ind w:left="500" w:right="80"/>
        <w:spacing w:after="0" w:line="222" w:lineRule="exact"/>
        <w:rPr>
          <w:sz w:val="20"/>
          <w:szCs w:val="20"/>
          <w:color w:val="auto"/>
        </w:rPr>
      </w:pPr>
      <w:r>
        <w:rPr>
          <w:rFonts w:ascii="Arial" w:cs="Arial" w:eastAsia="Arial" w:hAnsi="Arial"/>
          <w:sz w:val="18"/>
          <w:szCs w:val="18"/>
          <w:color w:val="auto"/>
        </w:rPr>
        <w:t xml:space="preserve">Act of 1940 during the preceding 12 months or for such shorter period that the registrant was required to file such report(s) been filed? If answer is no, identify report(s). </w:t>
      </w:r>
      <w:r>
        <w:rPr>
          <w:rFonts w:ascii="Arial" w:cs="Arial" w:eastAsia="Arial" w:hAnsi="Arial"/>
          <w:sz w:val="16"/>
          <w:szCs w:val="16"/>
          <w:color w:val="auto"/>
        </w:rPr>
        <w:t>Yes x 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64" w:lineRule="exact"/>
        <w:rPr>
          <w:sz w:val="20"/>
          <w:szCs w:val="20"/>
          <w:color w:val="auto"/>
        </w:rPr>
      </w:pPr>
    </w:p>
    <w:p>
      <w:pPr>
        <w:ind w:left="500" w:hanging="465"/>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corresponding period for the last fiscal year will be reflected by the</w:t>
      </w:r>
    </w:p>
    <w:p>
      <w:pPr>
        <w:spacing w:after="0" w:line="35" w:lineRule="exact"/>
        <w:rPr>
          <w:sz w:val="20"/>
          <w:szCs w:val="20"/>
          <w:color w:val="auto"/>
        </w:rPr>
      </w:pPr>
    </w:p>
    <w:p>
      <w:pPr>
        <w:ind w:left="500"/>
        <w:spacing w:after="0" w:line="207" w:lineRule="exact"/>
        <w:tabs>
          <w:tab w:leader="none" w:pos="6360" w:val="left"/>
        </w:tabs>
        <w:rPr>
          <w:sz w:val="20"/>
          <w:szCs w:val="20"/>
          <w:color w:val="auto"/>
        </w:rPr>
      </w:pPr>
      <w:r>
        <w:rPr>
          <w:rFonts w:ascii="Arial" w:cs="Arial" w:eastAsia="Arial" w:hAnsi="Arial"/>
          <w:sz w:val="18"/>
          <w:szCs w:val="18"/>
          <w:color w:val="auto"/>
        </w:rPr>
        <w:t xml:space="preserve">earnings statement to be included in the subject report or portion thereof? </w:t>
      </w:r>
      <w:r>
        <w:rPr>
          <w:rFonts w:ascii="Arial" w:cs="Arial" w:eastAsia="Arial" w:hAnsi="Arial"/>
          <w:sz w:val="16"/>
          <w:szCs w:val="16"/>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0"/>
          <w:szCs w:val="20"/>
          <w:color w:val="auto"/>
        </w:rPr>
      </w:pPr>
    </w:p>
    <w:p>
      <w:pPr>
        <w:ind w:left="500" w:right="58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to report the following operating results when it files its Quarterly Report on Form 10-Q for the second quarter of fiscal 2015:</w:t>
      </w:r>
    </w:p>
    <w:p>
      <w:pPr>
        <w:spacing w:after="0" w:line="18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&amp; Canada Segment:</w:t>
      </w:r>
    </w:p>
    <w:p>
      <w:pPr>
        <w:spacing w:after="0" w:line="171" w:lineRule="exact"/>
        <w:rPr>
          <w:rFonts w:ascii="Arial" w:cs="Arial" w:eastAsia="Arial" w:hAnsi="Arial"/>
          <w:sz w:val="18"/>
          <w:szCs w:val="18"/>
          <w:color w:val="auto"/>
        </w:rPr>
      </w:pPr>
    </w:p>
    <w:p>
      <w:pPr>
        <w:ind w:left="1300" w:right="6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Total revenues of $200.7 million (4% decrease from prior year quarter) — This decrease is primarily due to a decrease in jewelry scrapping sales and a decrease in consumer loan fees and interest, partially offset by an increase in merchandise sales and pawn services charges.</w:t>
      </w:r>
    </w:p>
    <w:p>
      <w:pPr>
        <w:spacing w:after="0" w:line="69" w:lineRule="exact"/>
        <w:rPr>
          <w:rFonts w:ascii="Arial" w:cs="Arial" w:eastAsia="Arial" w:hAnsi="Arial"/>
          <w:sz w:val="16"/>
          <w:szCs w:val="16"/>
          <w:color w:val="auto"/>
        </w:rPr>
      </w:pPr>
    </w:p>
    <w:p>
      <w:pPr>
        <w:jc w:val="both"/>
        <w:ind w:left="1300" w:right="6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Segment contribution of $29.8 million (27% decrease from prior year quarter) — This decrease is primarily due to a decrease in net revenues driven by decreases in merchandise sales gross profit, jewelry scrapping sales gross profit and consumer loan net revenue.</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International Segment:</w:t>
      </w:r>
    </w:p>
    <w:p>
      <w:pPr>
        <w:spacing w:after="0" w:line="171" w:lineRule="exact"/>
        <w:rPr>
          <w:rFonts w:ascii="Arial" w:cs="Arial" w:eastAsia="Arial" w:hAnsi="Arial"/>
          <w:sz w:val="18"/>
          <w:szCs w:val="18"/>
          <w:color w:val="auto"/>
        </w:rPr>
      </w:pPr>
    </w:p>
    <w:p>
      <w:pPr>
        <w:ind w:left="1300" w:right="100" w:hanging="320"/>
        <w:spacing w:after="0" w:line="25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Segment loss of $3.7 million (53% improvement from prior year quarter) — This loss is due to a charge that Cash Converters International incurred in December 2014 in connection with the termination of agency agreements with certain development agents. The termination of such agreements results in the elimination of ongoing commissions, which is expected to yield significant future expense savings. The improvement over the prior year quarter is attributable to the inclusion in the prior year quarter of an impairment charge related to the Company's former investment in Albemarle &amp; Bond.</w:t>
      </w:r>
    </w:p>
    <w:p>
      <w:pPr>
        <w:spacing w:after="0" w:line="134" w:lineRule="exact"/>
        <w:rPr>
          <w:rFonts w:ascii="Arial" w:cs="Arial" w:eastAsia="Arial" w:hAnsi="Arial"/>
          <w:sz w:val="18"/>
          <w:szCs w:val="18"/>
          <w:color w:val="auto"/>
        </w:rPr>
      </w:pPr>
    </w:p>
    <w:p>
      <w:pPr>
        <w:ind w:left="660" w:right="3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Corporate expenses of $19.8 million (21% less than the prior year quarter). The decrease is primarily due to a decrease in administrative expense attributable to the inclusion in the prior year quarter of $8.0 million in retirement benefits, partially offset by an increase in interest expense.</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Due to the matters described in Part III above, the Company is unable at this time to estimate the results of the Latin America segment, which includes Grupo Finmart, and therefore, is also unable to estimate consolidated results of operations or cash flows.</w:t>
      </w:r>
    </w:p>
    <w:p>
      <w:pPr>
        <w:spacing w:after="0" w:line="11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 expects to file a Current Report on Form 8-K in the near future to disclose in more detail the nature and scope of the Grupo Finmart review described in Part III above, as well as selected information about the second quarter of fiscal 2015 to the extent it is unaffected by that review.</w:t>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EZCORP, Inc. has caused this notification to be signed on its behalf by the undersigned hereunto duly authorized.</w:t>
      </w:r>
    </w:p>
    <w:p>
      <w:pPr>
        <w:spacing w:after="0" w:line="171"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Senior Vice President and General Counsel</w:t>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2020-01-23T13:54:10Z</dcterms:created>
  <dcterms:modified xsi:type="dcterms:W3CDTF">2020-01-23T13:54:10Z</dcterms:modified>
</cp:coreProperties>
</file>