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193675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14" w:right="239" w:bottom="1440" w:gutter="0" w:footer="0" w:header="0"/>
        </w:sectPr>
      </w:pPr>
    </w:p>
    <w:p>
      <w:pPr>
        <w:spacing w:after="0" w:line="176"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Delaware</w:t>
      </w:r>
    </w:p>
    <w:p>
      <w:pPr>
        <w:spacing w:after="0" w:line="18" w:lineRule="exact"/>
        <w:rPr>
          <w:sz w:val="24"/>
          <w:szCs w:val="24"/>
          <w:color w:val="auto"/>
        </w:rPr>
      </w:pPr>
    </w:p>
    <w:p>
      <w:pPr>
        <w:jc w:val="center"/>
        <w:ind w:right="32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0-19424</w:t>
      </w:r>
    </w:p>
    <w:p>
      <w:pPr>
        <w:spacing w:after="0" w:line="18" w:lineRule="exact"/>
        <w:rPr>
          <w:sz w:val="24"/>
          <w:szCs w:val="24"/>
          <w:color w:val="auto"/>
        </w:rPr>
      </w:pPr>
    </w:p>
    <w:p>
      <w:pPr>
        <w:jc w:val="center"/>
        <w:ind w:right="82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74-2540145</w:t>
      </w:r>
    </w:p>
    <w:p>
      <w:pPr>
        <w:spacing w:after="0" w:line="18" w:lineRule="exact"/>
        <w:rPr>
          <w:sz w:val="24"/>
          <w:szCs w:val="24"/>
          <w:color w:val="auto"/>
        </w:rPr>
      </w:pPr>
    </w:p>
    <w:p>
      <w:pPr>
        <w:jc w:val="center"/>
        <w:ind w:right="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960" w:space="720"/>
            <w:col w:w="3100"/>
          </w:cols>
          <w:pgMar w:left="240" w:top="514" w:right="239" w:bottom="1440" w:gutter="0" w:footer="0" w:header="0"/>
          <w:type w:val="continuous"/>
        </w:sectPr>
      </w:pP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18"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8"/>
          <w:szCs w:val="18"/>
          <w:color w:val="auto"/>
        </w:rPr>
        <w:t>(zip code)</w:t>
      </w:r>
    </w:p>
    <w:p>
      <w:pPr>
        <w:sectPr>
          <w:pgSz w:w="11900" w:h="16838" w:orient="portrait"/>
          <w:cols w:equalWidth="0" w:num="1">
            <w:col w:w="11420"/>
          </w:cols>
          <w:pgMar w:left="240" w:top="514" w:right="239" w:bottom="1440" w:gutter="0" w:footer="0" w:header="0"/>
          <w:type w:val="continuous"/>
        </w:sectPr>
      </w:pP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126"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1" w:name="page2"/>
    <w:bookmarkEnd w:id="1"/>
    <w:p>
      <w:pPr>
        <w:ind w:right="740"/>
        <w:spacing w:after="0" w:line="271"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68" w:lineRule="exact"/>
        <w:rPr>
          <w:sz w:val="20"/>
          <w:szCs w:val="20"/>
          <w:color w:val="auto"/>
        </w:rPr>
      </w:pPr>
    </w:p>
    <w:p>
      <w:pPr>
        <w:ind w:left="700" w:right="20" w:hanging="688"/>
        <w:spacing w:after="0" w:line="237" w:lineRule="auto"/>
        <w:tabs>
          <w:tab w:leader="none" w:pos="680" w:val="left"/>
        </w:tabs>
        <w:rPr>
          <w:sz w:val="20"/>
          <w:szCs w:val="20"/>
          <w:color w:val="auto"/>
        </w:rPr>
      </w:pPr>
      <w:r>
        <w:rPr>
          <w:rFonts w:ascii="Arial" w:cs="Arial" w:eastAsia="Arial" w:hAnsi="Arial"/>
          <w:sz w:val="18"/>
          <w:szCs w:val="18"/>
          <w:color w:val="auto"/>
        </w:rPr>
        <w:t>(b), (c)</w:t>
        <w:tab/>
        <w:t>On February 10, 2010, EZCORP, Inc. announced that, effective immediately, Paul E. Rothamel has been named President, in addition to his role as Chief Operating Officer. In addition, Mr. Rothamel has been designated by EZCORP’s Board of Directors as the successor to current Chief Executive Officer, Joseph L. Rotunda, effective when Mr. Rotunda retires, which is expected to be within the next year. Mr. Rotunda, who formerly held the title of President in addition to Chief Executive Officer, remains the company’s Chief Executive Officer (principal executive officer). A copy of the company’s press release announcing these changes is attached as Exhibit 99.1 and incorporated herein by reference. Additional information about Mr. Rothamel’s background can be found in the company’s Current Report on Form 8-K filed on August 6, 2009.</w:t>
      </w:r>
    </w:p>
    <w:p>
      <w:pPr>
        <w:spacing w:after="0" w:line="109" w:lineRule="exact"/>
        <w:rPr>
          <w:sz w:val="20"/>
          <w:szCs w:val="20"/>
          <w:color w:val="auto"/>
        </w:rPr>
      </w:pPr>
    </w:p>
    <w:p>
      <w:pPr>
        <w:ind w:left="700" w:right="300"/>
        <w:spacing w:after="0"/>
        <w:rPr>
          <w:sz w:val="20"/>
          <w:szCs w:val="20"/>
          <w:color w:val="auto"/>
        </w:rPr>
      </w:pPr>
      <w:r>
        <w:rPr>
          <w:rFonts w:ascii="Arial" w:cs="Arial" w:eastAsia="Arial" w:hAnsi="Arial"/>
          <w:sz w:val="18"/>
          <w:szCs w:val="18"/>
          <w:color w:val="auto"/>
        </w:rPr>
        <w:t>In connection with Mr. Rothamel’s promotion to President, his target bonus under the company’s 2010 incentive compensation plan has been increased to 150% of base salary (from 100% of base salary). Additional terms of Mr. Rothamel’s compensation can be found in the company’s Current Report on Form 8-K filed on August 6, 2009.</w:t>
      </w:r>
    </w:p>
    <w:p>
      <w:pPr>
        <w:spacing w:after="0" w:line="108" w:lineRule="exact"/>
        <w:rPr>
          <w:sz w:val="20"/>
          <w:szCs w:val="20"/>
          <w:color w:val="auto"/>
        </w:rPr>
      </w:pPr>
    </w:p>
    <w:p>
      <w:pPr>
        <w:ind w:left="700" w:right="180" w:hanging="692"/>
        <w:spacing w:after="0" w:line="239"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February 10, 2010, EZCORP, Inc. also announced that Mr. Rothamel has been elected to the Board of Directors, effective immediately. Such announcement was made as a part of the company’s press release referred to above, a copy of which is attached as Exhibit 99.1. As an employee director, Mr. Rothamel will not receive any additional compensation for serving on the Board of Directors.</w:t>
      </w:r>
    </w:p>
    <w:p>
      <w:pPr>
        <w:spacing w:after="0" w:line="107" w:lineRule="exact"/>
        <w:rPr>
          <w:rFonts w:ascii="Arial" w:cs="Arial" w:eastAsia="Arial" w:hAnsi="Arial"/>
          <w:sz w:val="18"/>
          <w:szCs w:val="18"/>
          <w:color w:val="auto"/>
        </w:rPr>
      </w:pPr>
    </w:p>
    <w:p>
      <w:pPr>
        <w:ind w:left="700"/>
        <w:spacing w:after="0" w:line="238" w:lineRule="auto"/>
        <w:rPr>
          <w:rFonts w:ascii="Arial" w:cs="Arial" w:eastAsia="Arial" w:hAnsi="Arial"/>
          <w:sz w:val="18"/>
          <w:szCs w:val="18"/>
          <w:color w:val="auto"/>
        </w:rPr>
      </w:pPr>
      <w:r>
        <w:rPr>
          <w:rFonts w:ascii="Arial" w:cs="Arial" w:eastAsia="Arial" w:hAnsi="Arial"/>
          <w:sz w:val="18"/>
          <w:szCs w:val="18"/>
          <w:color w:val="auto"/>
        </w:rPr>
        <w:t>Effective February 10, 2010, the sole holder of the company’s Class B Voting Common Stock has elected the following persons (in addition to Mr. Rothamel) to serve on the company’s Board of Directors: Joseph J. Beal, Sterling B. Brinkley, William C. Love, Gary C. Matzner, Thomas C. Roberts, Joseph L. Rotunda and Richard D. Sage. Each of such persons was previously serving on the Board of Directors. Each of the directors elected on February 10, 2010 shall serve a one-year term until the next annual meeting of stockholders (or, if earlier, until his death, removal or resignation).</w:t>
      </w:r>
    </w:p>
    <w:p>
      <w:pPr>
        <w:spacing w:after="0" w:line="108" w:lineRule="exact"/>
        <w:rPr>
          <w:rFonts w:ascii="Arial" w:cs="Arial" w:eastAsia="Arial" w:hAnsi="Arial"/>
          <w:sz w:val="18"/>
          <w:szCs w:val="18"/>
          <w:color w:val="auto"/>
        </w:rPr>
      </w:pPr>
    </w:p>
    <w:p>
      <w:pPr>
        <w:ind w:left="700" w:right="20" w:hanging="692"/>
        <w:spacing w:after="0" w:line="236"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February 10, 2010, the sole holder of the company’s Class B Voting Common Stock approved the EZCORP, Inc. 2010 Long-Term Incentive Plan (the “Plan”), to be effective March 1, 2010. The Plan provides for the issuance of equity-based incentive compensation awards to the company’s employees (including the executive officers), non-employee directors and consultants. The Plan will be administered by the Compensation Committee of the Board of Directors, which will have the authority to select award recipients, to determine the types of awards to be granted and to establish the terms and conditions of any awards. Awards under the Plan may be in the form of stock options, restricted stock, restricted stock units, stock appreciation rights, stock bonuses, performance units or performance shares, and each award will be evidenced by a written agreement setting forth the terms, provisions and conditions of the award. The Plan authorizes the issuance of awards covering up to 1.5 million shares of the company’s Class A Non-Voting Common Stock (plus the number of shares that remain available for issuance under the previously approved EZCORP, Inc. 2006 Incentive Plan).</w:t>
      </w:r>
    </w:p>
    <w:p>
      <w:pPr>
        <w:spacing w:after="0" w:line="11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A copy of the Plan is attached as Exhibit 10.1.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 EZCORP, Inc. 2010 Long-Term Incentive Plan, effective March 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10, 2010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EZCORP, INC.</w:t>
      </w:r>
    </w:p>
    <w:p>
      <w:pPr>
        <w:spacing w:after="0" w:line="198"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February 10, 2010</w:t>
      </w:r>
      <w:r>
        <w:rPr>
          <w:sz w:val="20"/>
          <w:szCs w:val="20"/>
          <w:color w:val="auto"/>
        </w:rPr>
        <w:tab/>
      </w:r>
      <w:r>
        <w:rPr>
          <w:rFonts w:ascii="Arial" w:cs="Arial" w:eastAsia="Arial" w:hAnsi="Arial"/>
          <w:sz w:val="18"/>
          <w:szCs w:val="18"/>
          <w:color w:val="auto"/>
        </w:rPr>
        <w:t>By: /s/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55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Thomas H. Welch, Jr.</w:t>
      </w:r>
    </w:p>
    <w:p>
      <w:pPr>
        <w:ind w:left="5720"/>
        <w:spacing w:after="0" w:line="234" w:lineRule="auto"/>
        <w:rPr>
          <w:sz w:val="20"/>
          <w:szCs w:val="20"/>
          <w:color w:val="auto"/>
        </w:rPr>
      </w:pPr>
      <w:r>
        <w:rPr>
          <w:rFonts w:ascii="Arial" w:cs="Arial" w:eastAsia="Arial" w:hAnsi="Arial"/>
          <w:sz w:val="18"/>
          <w:szCs w:val="18"/>
          <w:color w:val="auto"/>
        </w:rPr>
        <w:t>Senior Vice President, General Counsel and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1" w:right="279" w:bottom="1440" w:gutter="0" w:footer="0" w:header="0"/>
        </w:sectPr>
      </w:pPr>
    </w:p>
    <w:bookmarkStart w:id="3" w:name="page4"/>
    <w:bookmarkEnd w:id="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jc w:val="center"/>
              <w:ind w:right="1074"/>
              <w:spacing w:after="0"/>
              <w:rPr>
                <w:sz w:val="20"/>
                <w:szCs w:val="20"/>
                <w:color w:val="auto"/>
              </w:rPr>
            </w:pPr>
            <w:r>
              <w:rPr>
                <w:rFonts w:ascii="Arial" w:cs="Arial" w:eastAsia="Arial" w:hAnsi="Arial"/>
                <w:sz w:val="18"/>
                <w:szCs w:val="18"/>
                <w:b w:val="1"/>
                <w:bCs w:val="1"/>
                <w:color w:val="auto"/>
                <w:w w:val="99"/>
              </w:rPr>
              <w:t>EXHIBIT INDEX</w:t>
            </w:r>
          </w:p>
        </w:tc>
      </w:tr>
      <w:tr>
        <w:trPr>
          <w:trHeight w:val="338"/>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7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34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412"/>
        </w:trPr>
        <w:tc>
          <w:tcPr>
            <w:tcW w:w="8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EZCORP, Inc. 2010 Long-Term Incentive Plan, effective March 1, 2010</w:t>
            </w:r>
          </w:p>
        </w:tc>
      </w:tr>
      <w:tr>
        <w:trPr>
          <w:trHeight w:val="405"/>
        </w:trPr>
        <w:tc>
          <w:tcPr>
            <w:tcW w:w="820" w:type="dxa"/>
            <w:vAlign w:val="bottom"/>
          </w:tcPr>
          <w:p>
            <w:pPr>
              <w:jc w:val="center"/>
              <w:spacing w:after="0"/>
              <w:rPr>
                <w:sz w:val="20"/>
                <w:szCs w:val="20"/>
                <w:color w:val="auto"/>
              </w:rPr>
            </w:pPr>
            <w:r>
              <w:rPr>
                <w:rFonts w:ascii="Arial" w:cs="Arial" w:eastAsia="Arial" w:hAnsi="Arial"/>
                <w:sz w:val="18"/>
                <w:szCs w:val="18"/>
                <w:color w:val="auto"/>
                <w:w w:val="96"/>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February 10, 2010</w:t>
            </w:r>
          </w:p>
        </w:tc>
      </w:tr>
      <w:tr>
        <w:trPr>
          <w:trHeight w:val="392"/>
        </w:trPr>
        <w:tc>
          <w:tcPr>
            <w:tcW w:w="820" w:type="dxa"/>
            <w:vAlign w:val="bottom"/>
          </w:tcPr>
          <w:p>
            <w:pPr>
              <w:spacing w:after="0"/>
              <w:rPr>
                <w:sz w:val="24"/>
                <w:szCs w:val="24"/>
                <w:color w:val="auto"/>
              </w:rPr>
            </w:pPr>
          </w:p>
        </w:tc>
        <w:tc>
          <w:tcPr>
            <w:tcW w:w="10600" w:type="dxa"/>
            <w:vAlign w:val="bottom"/>
            <w:gridSpan w:val="2"/>
          </w:tcPr>
          <w:p>
            <w:pPr>
              <w:jc w:val="right"/>
              <w:ind w:right="5574"/>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herein shall have the respective meanings ascribed to them in Section 5.1(a) below.</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b w:val="1"/>
          <w:bCs w:val="1"/>
          <w:i w:val="1"/>
          <w:iCs w:val="1"/>
          <w:color w:val="auto"/>
        </w:rPr>
        <w:t xml:space="preserve">Purpose — </w:t>
      </w:r>
      <w:r>
        <w:rPr>
          <w:rFonts w:ascii="Arial" w:cs="Arial" w:eastAsia="Arial" w:hAnsi="Arial"/>
          <w:sz w:val="17"/>
          <w:szCs w:val="17"/>
          <w:color w:val="auto"/>
        </w:rPr>
        <w:t>The 2010 Long-Term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has been established by EZCORP, Inc., a Delaware corporation (the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 attract and retain qualified employees, consultants and directors and to motivate them to achieve long-term goals, to</w:t>
      </w:r>
    </w:p>
    <w:p>
      <w:pPr>
        <w:ind w:left="460"/>
        <w:spacing w:after="0" w:line="234" w:lineRule="auto"/>
        <w:rPr>
          <w:sz w:val="20"/>
          <w:szCs w:val="20"/>
          <w:color w:val="auto"/>
        </w:rPr>
      </w:pPr>
      <w:r>
        <w:rPr>
          <w:rFonts w:ascii="Arial" w:cs="Arial" w:eastAsia="Arial" w:hAnsi="Arial"/>
          <w:sz w:val="18"/>
          <w:szCs w:val="18"/>
          <w:color w:val="auto"/>
        </w:rPr>
        <w:t>provide incentive compensation opportunities that are competitive with those of similar companies and to further align Participants’</w:t>
      </w:r>
    </w:p>
    <w:p>
      <w:pPr>
        <w:ind w:left="460"/>
        <w:spacing w:after="0" w:line="235" w:lineRule="auto"/>
        <w:rPr>
          <w:sz w:val="20"/>
          <w:szCs w:val="20"/>
          <w:color w:val="auto"/>
        </w:rPr>
      </w:pPr>
      <w:r>
        <w:rPr>
          <w:rFonts w:ascii="Arial" w:cs="Arial" w:eastAsia="Arial" w:hAnsi="Arial"/>
          <w:sz w:val="18"/>
          <w:szCs w:val="18"/>
          <w:color w:val="auto"/>
        </w:rPr>
        <w:t>interests with those of the Company’s other stockholders through compensation alternatives based on the Company’s common stock, as</w:t>
      </w:r>
    </w:p>
    <w:p>
      <w:pPr>
        <w:ind w:left="460"/>
        <w:spacing w:after="0" w:line="235" w:lineRule="auto"/>
        <w:rPr>
          <w:sz w:val="20"/>
          <w:szCs w:val="20"/>
          <w:color w:val="auto"/>
        </w:rPr>
      </w:pPr>
      <w:r>
        <w:rPr>
          <w:rFonts w:ascii="Arial" w:cs="Arial" w:eastAsia="Arial" w:hAnsi="Arial"/>
          <w:sz w:val="18"/>
          <w:szCs w:val="18"/>
          <w:color w:val="auto"/>
        </w:rPr>
        <w:t>well as other performance-based compensation alternatives, thereby promoting the long-term financial interests of the Company and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enhancing long-term stockholder return.</w:t>
      </w:r>
    </w:p>
    <w:p>
      <w:pPr>
        <w:spacing w:after="0" w:line="95" w:lineRule="exact"/>
        <w:rPr>
          <w:sz w:val="20"/>
          <w:szCs w:val="20"/>
          <w:color w:val="auto"/>
        </w:rPr>
      </w:pPr>
    </w:p>
    <w:p>
      <w:pPr>
        <w:ind w:left="460" w:right="380" w:hanging="445"/>
        <w:spacing w:after="0" w:line="271"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i w:val="1"/>
          <w:iCs w:val="1"/>
          <w:color w:val="auto"/>
        </w:rPr>
        <w:t xml:space="preserve">Term — </w:t>
      </w:r>
      <w:r>
        <w:rPr>
          <w:rFonts w:ascii="Arial" w:cs="Arial" w:eastAsia="Arial" w:hAnsi="Arial"/>
          <w:sz w:val="18"/>
          <w:szCs w:val="18"/>
          <w:color w:val="auto"/>
        </w:rPr>
        <w:t>The Plan shall become effective as of March 1, 2010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the Plan is sooner terminated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no Award shall be granted under the plan after the tenth anniversary of the Effective Date.</w:t>
      </w:r>
    </w:p>
    <w:p>
      <w:pPr>
        <w:spacing w:after="0" w:line="59" w:lineRule="exact"/>
        <w:rPr>
          <w:sz w:val="20"/>
          <w:szCs w:val="20"/>
          <w:color w:val="auto"/>
        </w:rPr>
      </w:pPr>
    </w:p>
    <w:p>
      <w:pPr>
        <w:ind w:left="460" w:right="120" w:hanging="445"/>
        <w:spacing w:after="0" w:line="253"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Replacement of Existing Plan — </w:t>
      </w:r>
      <w:r>
        <w:rPr>
          <w:rFonts w:ascii="Arial" w:cs="Arial" w:eastAsia="Arial" w:hAnsi="Arial"/>
          <w:sz w:val="18"/>
          <w:szCs w:val="18"/>
          <w:color w:val="auto"/>
        </w:rPr>
        <w:t>From and after the Effective Date, no further awards will be made under the EZCORP, Inc.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but the provisions of the 2006 Plan shall continue to be applicable to the awards made under such plan that are outstanding as of the Effective Date.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i w:val="1"/>
          <w:iCs w:val="1"/>
          <w:color w:val="auto"/>
        </w:rPr>
        <w:t>The Committee —</w:t>
      </w:r>
    </w:p>
    <w:p>
      <w:pPr>
        <w:spacing w:after="0" w:line="104" w:lineRule="exact"/>
        <w:rPr>
          <w:sz w:val="20"/>
          <w:szCs w:val="20"/>
          <w:color w:val="auto"/>
        </w:rPr>
      </w:pPr>
    </w:p>
    <w:p>
      <w:pPr>
        <w:ind w:left="900" w:right="120" w:hanging="446"/>
        <w:spacing w:after="0" w:line="242"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Constitution — </w:t>
      </w:r>
      <w:r>
        <w:rPr>
          <w:rFonts w:ascii="Arial" w:cs="Arial" w:eastAsia="Arial" w:hAnsi="Arial"/>
          <w:sz w:val="18"/>
          <w:szCs w:val="18"/>
          <w:color w:val="auto"/>
        </w:rPr>
        <w:t>Unless otherwise determined by the Board, the Plan will be administered by the Compensation Committee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In any event, the committee that is designated to administer the Plan, whether the Compensation Committee or another committee of the Board (such committee being referred to herein as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w:t>
      </w:r>
    </w:p>
    <w:p>
      <w:pPr>
        <w:spacing w:after="0" w:line="125" w:lineRule="exact"/>
        <w:rPr>
          <w:rFonts w:ascii="Arial" w:cs="Arial" w:eastAsia="Arial" w:hAnsi="Arial"/>
          <w:sz w:val="18"/>
          <w:szCs w:val="18"/>
          <w:color w:val="auto"/>
        </w:rPr>
      </w:pPr>
    </w:p>
    <w:p>
      <w:pPr>
        <w:ind w:left="1360" w:right="80" w:hanging="447"/>
        <w:spacing w:after="0" w:line="246" w:lineRule="auto"/>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Committee shall have complete and absolute authority to construe and interpret the Plan and Awards granted hereunder, to establish and amend rules for Plan administration and to make 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left="1360"/>
        <w:spacing w:after="0"/>
        <w:rPr>
          <w:sz w:val="20"/>
          <w:szCs w:val="20"/>
          <w:color w:val="auto"/>
        </w:rPr>
      </w:pPr>
      <w:r>
        <w:rPr>
          <w:rFonts w:ascii="Arial" w:cs="Arial" w:eastAsia="Arial" w:hAnsi="Arial"/>
          <w:sz w:val="18"/>
          <w:szCs w:val="18"/>
          <w:color w:val="auto"/>
        </w:rPr>
        <w:t>determinations that it deems necessary or advisable for the effective administration of the Plan.</w:t>
      </w:r>
    </w:p>
    <w:p>
      <w:pPr>
        <w:spacing w:after="0" w:line="104" w:lineRule="exact"/>
        <w:rPr>
          <w:sz w:val="20"/>
          <w:szCs w:val="20"/>
          <w:color w:val="auto"/>
        </w:rPr>
      </w:pPr>
    </w:p>
    <w:p>
      <w:pPr>
        <w:ind w:left="1360" w:right="20" w:hanging="447"/>
        <w:spacing w:after="0" w:line="238" w:lineRule="auto"/>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08" w:lineRule="exact"/>
        <w:rPr>
          <w:rFonts w:ascii="Arial" w:cs="Arial" w:eastAsia="Arial" w:hAnsi="Arial"/>
          <w:sz w:val="18"/>
          <w:szCs w:val="18"/>
          <w:color w:val="auto"/>
        </w:rPr>
      </w:pPr>
    </w:p>
    <w:p>
      <w:pPr>
        <w:ind w:left="1360" w:hanging="447"/>
        <w:spacing w:after="0" w:line="237" w:lineRule="auto"/>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 All decisions relating to the Plan and any Award shall be final and binding on all persons. No member of the Committee shall be personally liable for any action or determination relating to the Plan or any Award that was taken or made in good faith.</w:t>
      </w:r>
    </w:p>
    <w:p>
      <w:pPr>
        <w:spacing w:after="0" w:line="75" w:lineRule="exact"/>
        <w:rPr>
          <w:rFonts w:ascii="Arial" w:cs="Arial" w:eastAsia="Arial" w:hAnsi="Arial"/>
          <w:sz w:val="18"/>
          <w:szCs w:val="18"/>
          <w:color w:val="auto"/>
        </w:rPr>
      </w:pPr>
    </w:p>
    <w:p>
      <w:pPr>
        <w:ind w:left="900" w:right="100" w:hanging="446"/>
        <w:spacing w:after="0" w:line="24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Delegation — </w:t>
      </w:r>
      <w:r>
        <w:rPr>
          <w:rFonts w:ascii="Arial" w:cs="Arial" w:eastAsia="Arial" w:hAnsi="Arial"/>
          <w:sz w:val="18"/>
          <w:szCs w:val="18"/>
          <w:color w:val="auto"/>
        </w:rPr>
        <w:t>The Committee may delegate any or all of its authority and responsibilities with respect to the Plan and Awards,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terms 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b w:val="1"/>
          <w:bCs w:val="1"/>
          <w:i w:val="1"/>
          <w:iCs w:val="1"/>
          <w:color w:val="auto"/>
        </w:rPr>
        <w:t>Eligibility —</w:t>
      </w:r>
    </w:p>
    <w:p>
      <w:pPr>
        <w:spacing w:after="0" w:line="12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Eligible Recipients shall consist of (1) all employees of the Company and its Subsidiaries, (2) all Non-Employee Directors and</w:t>
      </w:r>
    </w:p>
    <w:p>
      <w:pPr>
        <w:ind w:left="900" w:right="20"/>
        <w:spacing w:after="0" w:line="237" w:lineRule="auto"/>
        <w:rPr>
          <w:rFonts w:ascii="Arial" w:cs="Arial" w:eastAsia="Arial" w:hAnsi="Arial"/>
          <w:sz w:val="18"/>
          <w:szCs w:val="18"/>
          <w:color w:val="auto"/>
        </w:rPr>
      </w:pPr>
      <w:r>
        <w:rPr>
          <w:rFonts w:ascii="Arial" w:cs="Arial" w:eastAsia="Arial" w:hAnsi="Arial"/>
          <w:sz w:val="18"/>
          <w:szCs w:val="18"/>
          <w:color w:val="auto"/>
        </w:rPr>
        <w:t>(3)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08" w:lineRule="exact"/>
        <w:rPr>
          <w:rFonts w:ascii="Arial" w:cs="Arial" w:eastAsia="Arial" w:hAnsi="Arial"/>
          <w:sz w:val="18"/>
          <w:szCs w:val="18"/>
          <w:color w:val="auto"/>
        </w:rPr>
      </w:pPr>
    </w:p>
    <w:p>
      <w:pPr>
        <w:ind w:left="900" w:right="120" w:hanging="446"/>
        <w:spacing w:after="0" w:line="24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does not constitute a contract of employment with any Eligible Recipient or Participant, and selection as a Participant will not give any Eligible Recipient the right to be retained in the employ of the Company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6" w:name="page7"/>
    <w:bookmarkEnd w:id="6"/>
    <w:p>
      <w:pPr>
        <w:ind w:left="840"/>
        <w:spacing w:after="0"/>
        <w:rPr>
          <w:sz w:val="20"/>
          <w:szCs w:val="20"/>
          <w:color w:val="auto"/>
        </w:rPr>
      </w:pPr>
      <w:r>
        <w:rPr>
          <w:rFonts w:ascii="Arial" w:cs="Arial" w:eastAsia="Arial" w:hAnsi="Arial"/>
          <w:sz w:val="18"/>
          <w:szCs w:val="18"/>
          <w:color w:val="auto"/>
        </w:rPr>
        <w:t>any Subsidiary or to continue to provide services to the Company or any Subsidiary.</w:t>
      </w:r>
    </w:p>
    <w:p>
      <w:pPr>
        <w:spacing w:after="0" w:line="82" w:lineRule="exact"/>
        <w:rPr>
          <w:sz w:val="20"/>
          <w:szCs w:val="20"/>
          <w:color w:val="auto"/>
        </w:rPr>
      </w:pPr>
    </w:p>
    <w:p>
      <w:pPr>
        <w:ind w:left="400" w:right="120" w:hanging="445"/>
        <w:spacing w:after="0" w:line="242" w:lineRule="auto"/>
        <w:tabs>
          <w:tab w:leader="none" w:pos="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Withholding of Taxes — </w:t>
      </w:r>
      <w:r>
        <w:rPr>
          <w:rFonts w:ascii="Arial" w:cs="Arial" w:eastAsia="Arial" w:hAnsi="Arial"/>
          <w:sz w:val="18"/>
          <w:szCs w:val="18"/>
          <w:color w:val="auto"/>
        </w:rPr>
        <w:t>All distributions under the Plan (including the grant of Awards and the issuance of Stock, cash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VAILABLE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w:t>
      </w:r>
    </w:p>
    <w:p>
      <w:pPr>
        <w:spacing w:after="0" w:line="104" w:lineRule="exact"/>
        <w:rPr>
          <w:sz w:val="20"/>
          <w:szCs w:val="20"/>
          <w:color w:val="auto"/>
        </w:rPr>
      </w:pPr>
    </w:p>
    <w:p>
      <w:pPr>
        <w:ind w:left="400" w:hanging="445"/>
        <w:spacing w:after="0" w:line="247" w:lineRule="auto"/>
        <w:tabs>
          <w:tab w:leader="none" w:pos="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i w:val="1"/>
          <w:iCs w:val="1"/>
          <w:color w:val="auto"/>
        </w:rPr>
        <w:t xml:space="preserve">Authorized Shares — </w:t>
      </w:r>
      <w:r>
        <w:rPr>
          <w:rFonts w:ascii="Arial" w:cs="Arial" w:eastAsia="Arial" w:hAnsi="Arial"/>
          <w:sz w:val="18"/>
          <w:szCs w:val="18"/>
          <w:color w:val="auto"/>
        </w:rPr>
        <w:t>The number of Authorized Shares shall be the sum of (a) 1,500,000 plus (b) the number of shares of Stock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prior to the Effective Date, were available for issuance under the 2006 Plan.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80" w:lineRule="exact"/>
        <w:rPr>
          <w:sz w:val="20"/>
          <w:szCs w:val="20"/>
          <w:color w:val="auto"/>
        </w:rPr>
      </w:pPr>
    </w:p>
    <w:p>
      <w:pPr>
        <w:ind w:left="400" w:right="40" w:hanging="445"/>
        <w:spacing w:after="0" w:line="247" w:lineRule="auto"/>
        <w:tabs>
          <w:tab w:leader="none" w:pos="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i w:val="1"/>
          <w:iCs w:val="1"/>
          <w:color w:val="auto"/>
        </w:rPr>
        <w:t xml:space="preserve">Available Shares — </w:t>
      </w:r>
      <w:r>
        <w:rPr>
          <w:rFonts w:ascii="Arial" w:cs="Arial" w:eastAsia="Arial" w:hAnsi="Arial"/>
          <w:sz w:val="18"/>
          <w:szCs w:val="18"/>
          <w:color w:val="auto"/>
        </w:rPr>
        <w:t>At any time, the number of shares that may then be issued pursuant to Awards under the Plan (the “</w:t>
      </w:r>
      <w:r>
        <w:rPr>
          <w:rFonts w:ascii="Arial" w:cs="Arial" w:eastAsia="Arial" w:hAnsi="Arial"/>
          <w:sz w:val="18"/>
          <w:szCs w:val="18"/>
          <w:b w:val="1"/>
          <w:bCs w:val="1"/>
          <w:i w:val="1"/>
          <w:iCs w:val="1"/>
          <w:color w:val="auto"/>
        </w:rPr>
        <w:t>Available Shares</w:t>
      </w:r>
      <w:r>
        <w:rPr>
          <w:rFonts w:ascii="Arial" w:cs="Arial" w:eastAsia="Arial" w:hAnsi="Arial"/>
          <w:sz w:val="18"/>
          <w:szCs w:val="18"/>
          <w:color w:val="auto"/>
        </w:rPr>
        <w:t>”) shall be equal to the difference between (a) the number of Authorized Shares at such time and (b) the sum of (1)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Stock subject to issuance upon exercise or settlement of then outstanding Awards and (2) the number of shares of Stock that have been previously issued upon exercise or settlement of outstanding Awards.</w:t>
      </w:r>
    </w:p>
    <w:p>
      <w:pPr>
        <w:spacing w:after="0" w:line="80" w:lineRule="exact"/>
        <w:rPr>
          <w:sz w:val="20"/>
          <w:szCs w:val="20"/>
          <w:color w:val="auto"/>
        </w:rPr>
      </w:pPr>
    </w:p>
    <w:p>
      <w:pPr>
        <w:ind w:left="400" w:right="200" w:hanging="445"/>
        <w:spacing w:after="0" w:line="241" w:lineRule="auto"/>
        <w:tabs>
          <w:tab w:leader="none" w:pos="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i w:val="1"/>
          <w:iCs w:val="1"/>
          <w:color w:val="auto"/>
        </w:rPr>
        <w:t xml:space="preserve">Restoration of Shares — </w:t>
      </w:r>
      <w:r>
        <w:rPr>
          <w:rFonts w:ascii="Arial" w:cs="Arial" w:eastAsia="Arial" w:hAnsi="Arial"/>
          <w:sz w:val="18"/>
          <w:szCs w:val="18"/>
          <w:color w:val="auto"/>
        </w:rPr>
        <w:t>If Stock subject to any Award is not issued or ceases to be issuable for any reason, including because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is forfeited, 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 or in substitution for outstanding awards previously granted by an entity acquired by the Company shall not be charged against the number of Authorized Shares in calculating the number of Available Shares under Section 3.2.</w:t>
      </w:r>
    </w:p>
    <w:p>
      <w:pPr>
        <w:spacing w:after="0" w:line="85" w:lineRule="exact"/>
        <w:rPr>
          <w:sz w:val="20"/>
          <w:szCs w:val="20"/>
          <w:color w:val="auto"/>
        </w:rPr>
      </w:pPr>
    </w:p>
    <w:p>
      <w:pPr>
        <w:ind w:left="400" w:right="20" w:hanging="445"/>
        <w:spacing w:after="0" w:line="242" w:lineRule="auto"/>
        <w:tabs>
          <w:tab w:leader="none" w:pos="3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i w:val="1"/>
          <w:iCs w:val="1"/>
          <w:color w:val="auto"/>
        </w:rPr>
        <w:t xml:space="preserve">Adjustments to Number of Authorized Shares and Available Shares — </w:t>
      </w:r>
      <w:r>
        <w:rPr>
          <w:rFonts w:ascii="Arial" w:cs="Arial" w:eastAsia="Arial" w:hAnsi="Arial"/>
          <w:sz w:val="18"/>
          <w:szCs w:val="18"/>
          <w:color w:val="auto"/>
        </w:rPr>
        <w:t>If there is any change in the number of outstanding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by reason 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7" w:name="page8"/>
    <w:bookmarkEnd w:id="7"/>
    <w:p>
      <w:pPr>
        <w:ind w:left="460" w:right="500"/>
        <w:spacing w:after="0" w:line="246" w:lineRule="auto"/>
        <w:rPr>
          <w:sz w:val="20"/>
          <w:szCs w:val="20"/>
          <w:color w:val="auto"/>
        </w:rPr>
      </w:pPr>
      <w:r>
        <w:rPr>
          <w:rFonts w:ascii="Arial" w:cs="Arial" w:eastAsia="Arial" w:hAnsi="Arial"/>
          <w:sz w:val="18"/>
          <w:szCs w:val="18"/>
          <w:color w:val="auto"/>
        </w:rPr>
        <w:t>3.4 will be made by the Committee, and its determination as to what adjustments must be made and the extent thereof will be final, binding and conclusive.</w:t>
      </w:r>
    </w:p>
    <w:p>
      <w:pPr>
        <w:spacing w:after="0" w:line="80" w:lineRule="exact"/>
        <w:rPr>
          <w:sz w:val="20"/>
          <w:szCs w:val="20"/>
          <w:color w:val="auto"/>
        </w:rPr>
      </w:pPr>
    </w:p>
    <w:p>
      <w:pPr>
        <w:ind w:left="460" w:hanging="445"/>
        <w:spacing w:after="0" w:line="271" w:lineRule="auto"/>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b w:val="1"/>
          <w:bCs w:val="1"/>
          <w:i w:val="1"/>
          <w:iCs w:val="1"/>
          <w:color w:val="auto"/>
        </w:rPr>
        <w:t xml:space="preserve">Source of Stock — </w:t>
      </w:r>
      <w:r>
        <w:rPr>
          <w:rFonts w:ascii="Arial" w:cs="Arial" w:eastAsia="Arial" w:hAnsi="Arial"/>
          <w:sz w:val="18"/>
          <w:szCs w:val="18"/>
          <w:color w:val="auto"/>
        </w:rPr>
        <w:t>Shares of Stock issued under the Plan may consist in whole or in part of authorized and unissued shares or treasury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59" w:lineRule="exact"/>
        <w:rPr>
          <w:sz w:val="20"/>
          <w:szCs w:val="20"/>
          <w:color w:val="auto"/>
        </w:rPr>
      </w:pPr>
    </w:p>
    <w:p>
      <w:pPr>
        <w:ind w:left="460" w:right="160" w:hanging="445"/>
        <w:spacing w:after="0" w:line="253" w:lineRule="auto"/>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i w:val="1"/>
          <w:iCs w:val="1"/>
          <w:color w:val="auto"/>
        </w:rPr>
        <w:t xml:space="preserve">No Fractional Shares — </w:t>
      </w:r>
      <w:r>
        <w:rPr>
          <w:rFonts w:ascii="Arial" w:cs="Arial" w:eastAsia="Arial" w:hAnsi="Arial"/>
          <w:sz w:val="18"/>
          <w:szCs w:val="18"/>
          <w:color w:val="auto"/>
        </w:rPr>
        <w:t>No fractional shares shall be issued under the Plan or upon exercise or settlement of any Award.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determine to pay cash in lieu of any fractional share that would otherwise be issuable or may determine to cancel such fractional share with no payment of consideration.</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WARDS</w:t>
      </w:r>
    </w:p>
    <w:p>
      <w:pPr>
        <w:spacing w:after="0" w:line="104" w:lineRule="exact"/>
        <w:rPr>
          <w:sz w:val="20"/>
          <w:szCs w:val="20"/>
          <w:color w:val="auto"/>
        </w:rPr>
      </w:pPr>
    </w:p>
    <w:p>
      <w:pPr>
        <w:jc w:val="both"/>
        <w:ind w:left="460" w:right="80" w:hanging="445"/>
        <w:spacing w:after="0" w:line="253"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Subject to the provisions of the Plan, the Committee shall determine the type of Award to grant to a Participant. Awards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granted singly or in combination with other Awards. Awards also may be made in combination with, in replacement of, as alternatives to or as the payment form for grants or rights under any other compensation plan, contract or agreement of the Company.</w:t>
      </w:r>
    </w:p>
    <w:p>
      <w:pPr>
        <w:spacing w:after="0" w:line="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b w:val="1"/>
          <w:bCs w:val="1"/>
          <w:i w:val="1"/>
          <w:iCs w:val="1"/>
          <w:color w:val="auto"/>
        </w:rPr>
        <w:t>Award Terms —</w:t>
      </w:r>
    </w:p>
    <w:p>
      <w:pPr>
        <w:spacing w:after="0" w:line="126" w:lineRule="exact"/>
        <w:rPr>
          <w:sz w:val="20"/>
          <w:szCs w:val="20"/>
          <w:color w:val="auto"/>
        </w:rPr>
      </w:pPr>
    </w:p>
    <w:p>
      <w:pPr>
        <w:ind w:left="900" w:right="60" w:hanging="446"/>
        <w:spacing w:after="0" w:line="23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13" w:lineRule="exact"/>
        <w:rPr>
          <w:rFonts w:ascii="Arial" w:cs="Arial" w:eastAsia="Arial" w:hAnsi="Arial"/>
          <w:sz w:val="18"/>
          <w:szCs w:val="18"/>
          <w:color w:val="auto"/>
        </w:rPr>
      </w:pPr>
    </w:p>
    <w:p>
      <w:pPr>
        <w:ind w:left="900" w:right="120" w:hanging="446"/>
        <w:spacing w:after="0" w:line="24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88" w:lineRule="exact"/>
        <w:rPr>
          <w:rFonts w:ascii="Arial" w:cs="Arial" w:eastAsia="Arial" w:hAnsi="Arial"/>
          <w:sz w:val="18"/>
          <w:szCs w:val="18"/>
          <w:color w:val="auto"/>
        </w:rPr>
      </w:pPr>
    </w:p>
    <w:p>
      <w:pPr>
        <w:ind w:left="1360" w:right="240" w:hanging="447"/>
        <w:spacing w:after="0" w:line="246"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exercise price per share for a Stock Option (whether an Incentive Stock Option or a Non-Qualified Option) shall be not less than 100% of Fair Market Value of the Stock on the date of grant.</w:t>
      </w:r>
    </w:p>
    <w:p>
      <w:pPr>
        <w:spacing w:after="0" w:line="102" w:lineRule="exact"/>
        <w:rPr>
          <w:rFonts w:ascii="Arial" w:cs="Arial" w:eastAsia="Arial" w:hAnsi="Arial"/>
          <w:sz w:val="18"/>
          <w:szCs w:val="18"/>
          <w:color w:val="auto"/>
        </w:rPr>
      </w:pPr>
    </w:p>
    <w:p>
      <w:pPr>
        <w:ind w:left="1360" w:hanging="447"/>
        <w:spacing w:after="0" w:line="246"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base price for a Stock Appreciation Right shall not be less than 100% of the Fair Market Value of the Stock on the date of grant.</w:t>
      </w:r>
    </w:p>
    <w:p>
      <w:pPr>
        <w:spacing w:after="0" w:line="102" w:lineRule="exact"/>
        <w:rPr>
          <w:rFonts w:ascii="Arial" w:cs="Arial" w:eastAsia="Arial" w:hAnsi="Arial"/>
          <w:sz w:val="18"/>
          <w:szCs w:val="18"/>
          <w:color w:val="auto"/>
        </w:rPr>
      </w:pPr>
    </w:p>
    <w:p>
      <w:pPr>
        <w:ind w:left="1360" w:right="200" w:hanging="447"/>
        <w:spacing w:after="0"/>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57" w:right="319" w:bottom="1440" w:gutter="0" w:footer="0" w:header="0"/>
        </w:sectPr>
      </w:pPr>
    </w:p>
    <w:bookmarkStart w:id="8" w:name="page9"/>
    <w:bookmarkEnd w:id="8"/>
    <w:p>
      <w:pPr>
        <w:ind w:left="460" w:hanging="445"/>
        <w:spacing w:after="0" w:line="239"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i w:val="1"/>
          <w:iCs w:val="1"/>
          <w:color w:val="auto"/>
        </w:rPr>
        <w:t xml:space="preserve">Award Agreements — </w:t>
      </w:r>
      <w:r>
        <w:rPr>
          <w:rFonts w:ascii="Arial" w:cs="Arial" w:eastAsia="Arial" w:hAnsi="Arial"/>
          <w:sz w:val="18"/>
          <w:szCs w:val="18"/>
          <w:color w:val="auto"/>
        </w:rPr>
        <w:t>Each Award will be evidenced by a written agreement issued by the Company and setting forth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and conditions of such Award (an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Each Award Agreement shall be in such form as may be specified by the Committee and may be evidenced by an electronic transmission (including an e-mail or reference to a website or other URL) sent to the recipient through the Company’s normal process for communicating electronically with its employees. As a condition to receiving an Award, the Committee may require the proposed Eligible 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86" w:lineRule="exact"/>
        <w:rPr>
          <w:sz w:val="20"/>
          <w:szCs w:val="20"/>
          <w:color w:val="auto"/>
        </w:rPr>
      </w:pPr>
    </w:p>
    <w:p>
      <w:pPr>
        <w:jc w:val="both"/>
        <w:ind w:left="460" w:right="140" w:hanging="445"/>
        <w:spacing w:after="0" w:line="257" w:lineRule="auto"/>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i w:val="1"/>
          <w:iCs w:val="1"/>
          <w:color w:val="auto"/>
        </w:rPr>
        <w:t xml:space="preserve">Performance Based Compensation — </w:t>
      </w:r>
      <w:r>
        <w:rPr>
          <w:rFonts w:ascii="Arial" w:cs="Arial" w:eastAsia="Arial" w:hAnsi="Arial"/>
          <w:sz w:val="17"/>
          <w:szCs w:val="17"/>
          <w:color w:val="auto"/>
        </w:rPr>
        <w:t>The Committee may designate any Award as “performance-based compensation” for purposes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Section 162(m) of the Code. Any Awards designated as “performance-based compensation” shall be conditioned on the achievement of one or more Performance Measures, and the measurement may be stated in absolute terms or relative to comparable companies.</w:t>
      </w:r>
    </w:p>
    <w:p>
      <w:pPr>
        <w:spacing w:after="0" w:line="2" w:lineRule="exact"/>
        <w:rPr>
          <w:sz w:val="20"/>
          <w:szCs w:val="20"/>
          <w:color w:val="auto"/>
        </w:rPr>
      </w:pPr>
    </w:p>
    <w:p>
      <w:pPr>
        <w:ind w:left="460"/>
        <w:spacing w:after="0" w:line="261" w:lineRule="auto"/>
        <w:rPr>
          <w:sz w:val="20"/>
          <w:szCs w:val="20"/>
          <w:color w:val="auto"/>
        </w:rPr>
      </w:pPr>
      <w:r>
        <w:rPr>
          <w:rFonts w:ascii="Arial" w:cs="Arial" w:eastAsia="Arial" w:hAnsi="Arial"/>
          <w:sz w:val="17"/>
          <w:szCs w:val="17"/>
          <w:color w:val="auto"/>
        </w:rPr>
        <w:t>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70" w:lineRule="exact"/>
        <w:rPr>
          <w:sz w:val="20"/>
          <w:szCs w:val="20"/>
          <w:color w:val="auto"/>
        </w:rPr>
      </w:pPr>
    </w:p>
    <w:p>
      <w:pPr>
        <w:ind w:left="460" w:right="460" w:hanging="445"/>
        <w:spacing w:after="0" w:line="271" w:lineRule="auto"/>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b w:val="1"/>
          <w:bCs w:val="1"/>
          <w:i w:val="1"/>
          <w:iCs w:val="1"/>
          <w:color w:val="auto"/>
        </w:rPr>
        <w:t xml:space="preserve">Transferability of Awards — </w:t>
      </w:r>
      <w:r>
        <w:rPr>
          <w:rFonts w:ascii="Arial" w:cs="Arial" w:eastAsia="Arial" w:hAnsi="Arial"/>
          <w:sz w:val="18"/>
          <w:szCs w:val="18"/>
          <w:color w:val="auto"/>
        </w:rPr>
        <w:t>The Committee may limit or provide for the transferability of Awards by Participants and may grant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that otherwise would be granted to an Eligible Recipient to a permitted transferee of such Eligible Recipient.</w:t>
      </w:r>
    </w:p>
    <w:p>
      <w:pPr>
        <w:spacing w:after="0" w:line="59" w:lineRule="exact"/>
        <w:rPr>
          <w:sz w:val="20"/>
          <w:szCs w:val="20"/>
          <w:color w:val="auto"/>
        </w:rPr>
      </w:pPr>
    </w:p>
    <w:p>
      <w:pPr>
        <w:ind w:left="460" w:right="20" w:hanging="445"/>
        <w:spacing w:after="0" w:line="247" w:lineRule="auto"/>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b w:val="1"/>
          <w:bCs w:val="1"/>
          <w:i w:val="1"/>
          <w:iCs w:val="1"/>
          <w:color w:val="auto"/>
        </w:rPr>
        <w:t xml:space="preserve">Prohibition on Repricing — </w:t>
      </w:r>
      <w:r>
        <w:rPr>
          <w:rFonts w:ascii="Arial" w:cs="Arial" w:eastAsia="Arial" w:hAnsi="Arial"/>
          <w:sz w:val="18"/>
          <w:szCs w:val="18"/>
          <w:color w:val="auto"/>
        </w:rPr>
        <w:t>Notwithstanding any other provision of the Plan, the Committee shall not “reprice” any Stock Option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80" w:lineRule="exact"/>
        <w:rPr>
          <w:sz w:val="20"/>
          <w:szCs w:val="20"/>
          <w:color w:val="auto"/>
        </w:rPr>
      </w:pPr>
    </w:p>
    <w:p>
      <w:pPr>
        <w:ind w:left="460" w:right="120" w:hanging="445"/>
        <w:spacing w:after="0" w:line="271" w:lineRule="auto"/>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b w:val="1"/>
          <w:bCs w:val="1"/>
          <w:i w:val="1"/>
          <w:iCs w:val="1"/>
          <w:color w:val="auto"/>
        </w:rPr>
        <w:t xml:space="preserve">Prohibition on Loans to Participants — </w:t>
      </w:r>
      <w:r>
        <w:rPr>
          <w:rFonts w:ascii="Arial" w:cs="Arial" w:eastAsia="Arial" w:hAnsi="Arial"/>
          <w:sz w:val="18"/>
          <w:szCs w:val="18"/>
          <w:color w:val="auto"/>
        </w:rPr>
        <w:t>The Company shall not loan funds to any Participant for the purpose of paying the exercise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price associated with any Award or for the purpose of paying any taxes associated with the exercise or vesting of an Award.</w:t>
      </w:r>
    </w:p>
    <w:p>
      <w:pPr>
        <w:spacing w:after="0" w:line="59" w:lineRule="exact"/>
        <w:rPr>
          <w:sz w:val="20"/>
          <w:szCs w:val="20"/>
          <w:color w:val="auto"/>
        </w:rPr>
      </w:pPr>
    </w:p>
    <w:p>
      <w:pPr>
        <w:jc w:val="center"/>
        <w:ind w:right="840"/>
        <w:spacing w:after="0" w:line="271"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i w:val="1"/>
          <w:iCs w:val="1"/>
          <w:color w:val="auto"/>
        </w:rPr>
        <w:t>Prohibition on Reload Provisions —</w:t>
      </w:r>
      <w:r>
        <w:rPr>
          <w:rFonts w:ascii="Arial" w:cs="Arial" w:eastAsia="Arial" w:hAnsi="Arial"/>
          <w:sz w:val="18"/>
          <w:szCs w:val="18"/>
          <w:color w:val="auto"/>
        </w:rPr>
        <w:t xml:space="preserve"> No Stock Option granted under the Plan shall contain any “reload” provision entitling the Participant to the automatic grant of additional Stock Options in connection with any exercise of the original Stock Option.</w:t>
      </w:r>
    </w:p>
    <w:p>
      <w:pPr>
        <w:spacing w:after="0" w:line="59" w:lineRule="exact"/>
        <w:rPr>
          <w:sz w:val="20"/>
          <w:szCs w:val="20"/>
          <w:color w:val="auto"/>
        </w:rPr>
      </w:pPr>
    </w:p>
    <w:p>
      <w:pPr>
        <w:jc w:val="both"/>
        <w:ind w:left="460" w:right="180" w:hanging="445"/>
        <w:spacing w:after="0" w:line="253" w:lineRule="auto"/>
        <w:tabs>
          <w:tab w:leader="none" w:pos="4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b w:val="1"/>
          <w:bCs w:val="1"/>
          <w:i w:val="1"/>
          <w:iCs w:val="1"/>
          <w:color w:val="auto"/>
        </w:rPr>
        <w:t xml:space="preserve">Dividends and Dividend Equivalents — </w:t>
      </w:r>
      <w:r>
        <w:rPr>
          <w:rFonts w:ascii="Arial" w:cs="Arial" w:eastAsia="Arial" w:hAnsi="Arial"/>
          <w:sz w:val="18"/>
          <w:szCs w:val="18"/>
          <w:color w:val="auto"/>
        </w:rPr>
        <w:t>An Award may provide the Participant with the right to receive dividend payments or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payments with respect to Stock subject to the Award (both before and after such Stock is earned or vested), which payments may be either made currently or credited to an account for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35" w:right="25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color w:val="auto"/>
        </w:rPr>
        <w:t>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73" w:lineRule="exact"/>
        <w:rPr>
          <w:sz w:val="20"/>
          <w:szCs w:val="20"/>
          <w:color w:val="auto"/>
        </w:rPr>
      </w:pPr>
    </w:p>
    <w:p>
      <w:pPr>
        <w:ind w:left="420" w:right="120" w:hanging="458"/>
        <w:spacing w:after="0" w:line="242"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i w:val="1"/>
          <w:iCs w:val="1"/>
          <w:color w:val="auto"/>
        </w:rPr>
        <w:t>Settlement of Awards —</w:t>
      </w:r>
      <w:r>
        <w:rPr>
          <w:rFonts w:ascii="Arial" w:cs="Arial" w:eastAsia="Arial" w:hAnsi="Arial"/>
          <w:sz w:val="18"/>
          <w:szCs w:val="18"/>
          <w:color w:val="auto"/>
        </w:rPr>
        <w:t xml:space="preserve"> The obligation to make payments and distributions with respect to Awards may be satisfied through cash payments, the 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85" w:lineRule="exact"/>
        <w:rPr>
          <w:sz w:val="20"/>
          <w:szCs w:val="20"/>
          <w:color w:val="auto"/>
        </w:rPr>
      </w:pPr>
    </w:p>
    <w:p>
      <w:pPr>
        <w:ind w:left="420" w:right="180" w:hanging="458"/>
        <w:spacing w:after="0" w:line="271"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i w:val="1"/>
          <w:iCs w:val="1"/>
          <w:color w:val="auto"/>
        </w:rPr>
        <w:t>Awards to Non-Employee Directors —</w:t>
      </w:r>
      <w:r>
        <w:rPr>
          <w:rFonts w:ascii="Arial" w:cs="Arial" w:eastAsia="Arial" w:hAnsi="Arial"/>
          <w:sz w:val="18"/>
          <w:szCs w:val="18"/>
          <w:color w:val="auto"/>
        </w:rPr>
        <w:t xml:space="preserve"> Non-Employee Directors shall not be eligible to receive any Awards under the Plan other than the Awards specified in this Section.</w:t>
      </w:r>
    </w:p>
    <w:p>
      <w:pPr>
        <w:spacing w:after="0" w:line="46" w:lineRule="exact"/>
        <w:rPr>
          <w:sz w:val="20"/>
          <w:szCs w:val="20"/>
          <w:color w:val="auto"/>
        </w:rPr>
      </w:pPr>
    </w:p>
    <w:p>
      <w:pPr>
        <w:ind w:left="860" w:right="100" w:hanging="446"/>
        <w:spacing w:after="0" w:line="242"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Discretionary Awards — </w:t>
      </w:r>
      <w:r>
        <w:rPr>
          <w:rFonts w:ascii="Arial" w:cs="Arial" w:eastAsia="Arial" w:hAnsi="Arial"/>
          <w:sz w:val="18"/>
          <w:szCs w:val="18"/>
          <w:color w:val="auto"/>
        </w:rPr>
        <w:t>The Committee may, in its discretion, grant a Non-Qualified Option or Restricted Stock to any Non-Employee 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pacing w:after="0" w:line="84" w:lineRule="exact"/>
        <w:rPr>
          <w:rFonts w:ascii="Arial" w:cs="Arial" w:eastAsia="Arial" w:hAnsi="Arial"/>
          <w:sz w:val="18"/>
          <w:szCs w:val="18"/>
          <w:color w:val="auto"/>
        </w:rPr>
      </w:pPr>
    </w:p>
    <w:p>
      <w:pPr>
        <w:ind w:left="860" w:right="80" w:hanging="446"/>
        <w:spacing w:after="0" w:line="242"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Awards in Lieu of Annual Cash Retainer — </w:t>
      </w:r>
      <w:r>
        <w:rPr>
          <w:rFonts w:ascii="Arial" w:cs="Arial" w:eastAsia="Arial" w:hAnsi="Arial"/>
          <w:sz w:val="18"/>
          <w:szCs w:val="18"/>
          <w:color w:val="auto"/>
        </w:rPr>
        <w:t>In addition to any Awards granted pursuant to subsection (a) of this Section,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its discretion, may permit a Non-Employee Director to elect to receive a Non-Qualified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84" w:lineRule="exact"/>
        <w:rPr>
          <w:rFonts w:ascii="Arial" w:cs="Arial" w:eastAsia="Arial" w:hAnsi="Arial"/>
          <w:sz w:val="18"/>
          <w:szCs w:val="18"/>
          <w:color w:val="auto"/>
        </w:rPr>
      </w:pPr>
    </w:p>
    <w:p>
      <w:pPr>
        <w:ind w:left="860" w:right="360" w:hanging="446"/>
        <w:spacing w:after="0" w:line="253"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Terms of Non-Employee Director Awards. </w:t>
      </w:r>
      <w:r>
        <w:rPr>
          <w:rFonts w:ascii="Arial" w:cs="Arial" w:eastAsia="Arial" w:hAnsi="Arial"/>
          <w:sz w:val="18"/>
          <w:szCs w:val="18"/>
          <w:color w:val="auto"/>
        </w:rPr>
        <w:t>In connection with the grant of an Award under this Section, the Committee, in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 pursuant to Section 4.2, shall establish the terms and provisions of such Award, subject to the following limitations (in addition to any other applicable limitations that may be contained in other provisions of the Plan):</w:t>
      </w:r>
    </w:p>
    <w:p>
      <w:pPr>
        <w:spacing w:after="0" w:line="83" w:lineRule="exact"/>
        <w:rPr>
          <w:rFonts w:ascii="Arial" w:cs="Arial" w:eastAsia="Arial" w:hAnsi="Arial"/>
          <w:sz w:val="18"/>
          <w:szCs w:val="18"/>
          <w:color w:val="auto"/>
        </w:rPr>
      </w:pPr>
    </w:p>
    <w:p>
      <w:pPr>
        <w:ind w:left="1320" w:right="420" w:hanging="447"/>
        <w:spacing w:after="0" w:line="246" w:lineRule="auto"/>
        <w:tabs>
          <w:tab w:leader="none" w:pos="13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exercise price per share of any Stock Option granted pursuant to this Section shall not be less than 100% of the Fair Market Value of the Stock on the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49" w:right="279" w:bottom="1440" w:gutter="0" w:footer="0" w:header="0"/>
        </w:sectPr>
      </w:pPr>
    </w:p>
    <w:bookmarkStart w:id="10" w:name="page11"/>
    <w:bookmarkEnd w:id="10"/>
    <w:p>
      <w:pPr>
        <w:ind w:left="1360" w:right="20" w:hanging="447"/>
        <w:spacing w:after="0" w:line="246"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Stock Option (or any portion thereof) granted pursuant to this Section may be exercisable earlier than six months from the date of grant; and</w:t>
      </w:r>
    </w:p>
    <w:p>
      <w:pPr>
        <w:spacing w:after="0" w:line="102" w:lineRule="exact"/>
        <w:rPr>
          <w:rFonts w:ascii="Arial" w:cs="Arial" w:eastAsia="Arial" w:hAnsi="Arial"/>
          <w:sz w:val="18"/>
          <w:szCs w:val="18"/>
          <w:color w:val="auto"/>
        </w:rPr>
      </w:pPr>
    </w:p>
    <w:p>
      <w:pPr>
        <w:ind w:left="1360" w:hanging="447"/>
        <w:spacing w:after="0" w:line="246"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Restricted Stock (or any portion thereof) granted pursuant to this Section may be transferable earlier than six months from the date of grant.</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i w:val="1"/>
          <w:iCs w:val="1"/>
          <w:color w:val="auto"/>
        </w:rPr>
        <w:t>Use of Terms —</w:t>
      </w:r>
    </w:p>
    <w:p>
      <w:pPr>
        <w:spacing w:after="0" w:line="10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Defined Terms — </w:t>
      </w:r>
      <w:r>
        <w:rPr>
          <w:rFonts w:ascii="Arial" w:cs="Arial" w:eastAsia="Arial" w:hAnsi="Arial"/>
          <w:sz w:val="18"/>
          <w:szCs w:val="18"/>
          <w:color w:val="auto"/>
        </w:rPr>
        <w:t>As used herein, the following terms shall have the respective meanings indicated below:</w:t>
      </w:r>
    </w:p>
    <w:p>
      <w:pPr>
        <w:spacing w:after="0" w:line="10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2006 Plan</w:t>
      </w:r>
      <w:r>
        <w:rPr>
          <w:rFonts w:ascii="Arial" w:cs="Arial" w:eastAsia="Arial" w:hAnsi="Arial"/>
          <w:sz w:val="18"/>
          <w:szCs w:val="18"/>
          <w:color w:val="auto"/>
        </w:rPr>
        <w:t>” has the meaning specified in Section 1.3.</w:t>
      </w:r>
    </w:p>
    <w:p>
      <w:pPr>
        <w:spacing w:after="0" w:line="117" w:lineRule="exact"/>
        <w:rPr>
          <w:rFonts w:ascii="Arial" w:cs="Arial" w:eastAsia="Arial" w:hAnsi="Arial"/>
          <w:sz w:val="18"/>
          <w:szCs w:val="18"/>
          <w:color w:val="auto"/>
        </w:rPr>
      </w:pPr>
    </w:p>
    <w:p>
      <w:pPr>
        <w:ind w:left="1360" w:right="60" w:hanging="447"/>
        <w:spacing w:after="0" w:line="26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Cash Retainer” means</w:t>
      </w:r>
      <w:r>
        <w:rPr>
          <w:rFonts w:ascii="Arial" w:cs="Arial" w:eastAsia="Arial" w:hAnsi="Arial"/>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66" w:lineRule="exact"/>
        <w:rPr>
          <w:rFonts w:ascii="Arial" w:cs="Arial" w:eastAsia="Arial" w:hAnsi="Arial"/>
          <w:sz w:val="18"/>
          <w:szCs w:val="18"/>
          <w:color w:val="auto"/>
        </w:rPr>
      </w:pPr>
    </w:p>
    <w:p>
      <w:pPr>
        <w:ind w:left="1360" w:right="40" w:hanging="447"/>
        <w:spacing w:after="0" w:line="26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Shares</w:t>
      </w:r>
      <w:r>
        <w:rPr>
          <w:rFonts w:ascii="Arial" w:cs="Arial" w:eastAsia="Arial" w:hAnsi="Arial"/>
          <w:sz w:val="18"/>
          <w:szCs w:val="18"/>
          <w:color w:val="auto"/>
        </w:rPr>
        <w:t>” means the aggregate number of shares of Stock that may be issued pursuant to Awards under the Plan, as specified in Section 3.1.</w:t>
      </w:r>
    </w:p>
    <w:p>
      <w:pPr>
        <w:spacing w:after="0" w:line="66"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Shares</w:t>
      </w:r>
      <w:r>
        <w:rPr>
          <w:rFonts w:ascii="Arial" w:cs="Arial" w:eastAsia="Arial" w:hAnsi="Arial"/>
          <w:sz w:val="18"/>
          <w:szCs w:val="18"/>
          <w:color w:val="auto"/>
        </w:rPr>
        <w:t>” has the meaning specified in Section 3.2.</w:t>
      </w:r>
    </w:p>
    <w:p>
      <w:pPr>
        <w:spacing w:after="0" w:line="117" w:lineRule="exact"/>
        <w:rPr>
          <w:rFonts w:ascii="Arial" w:cs="Arial" w:eastAsia="Arial" w:hAnsi="Arial"/>
          <w:sz w:val="18"/>
          <w:szCs w:val="18"/>
          <w:color w:val="auto"/>
        </w:rPr>
      </w:pPr>
    </w:p>
    <w:p>
      <w:pPr>
        <w:ind w:left="1360" w:right="100" w:hanging="447"/>
        <w:spacing w:after="0" w:line="26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granted under the Plan. An Award may be in the form of Stock Options, Stock Appreciation Rights, Stock Bonuses, Restricted Stock, Restricted Stock Units, Performance Units or Performance Shares.</w:t>
      </w:r>
    </w:p>
    <w:p>
      <w:pPr>
        <w:spacing w:after="0" w:line="66"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4.3.</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from time to time by the Committee.</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2.1(a).</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Section 1.1.</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specified in Section 1.2.</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Recipient</w:t>
      </w:r>
      <w:r>
        <w:rPr>
          <w:rFonts w:ascii="Arial" w:cs="Arial" w:eastAsia="Arial" w:hAnsi="Arial"/>
          <w:sz w:val="18"/>
          <w:szCs w:val="18"/>
          <w:color w:val="auto"/>
        </w:rPr>
        <w:t>” means any person who is eligible to receive an Award under the Plan, as specified in Section 2.2(a).</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Executive Officer of the Company, as designated from time to time by the Board.</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57" w:right="319" w:bottom="1440" w:gutter="0" w:footer="0" w:header="0"/>
        </w:sectPr>
      </w:pPr>
    </w:p>
    <w:bookmarkStart w:id="11" w:name="page12"/>
    <w:bookmarkEnd w:id="11"/>
    <w:p>
      <w:pPr>
        <w:ind w:left="447" w:right="120" w:hanging="447"/>
        <w:spacing w:after="0" w:line="239" w:lineRule="auto"/>
        <w:tabs>
          <w:tab w:leader="none" w:pos="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93" w:lineRule="exact"/>
        <w:rPr>
          <w:rFonts w:ascii="Arial" w:cs="Arial" w:eastAsia="Arial" w:hAnsi="Arial"/>
          <w:sz w:val="18"/>
          <w:szCs w:val="18"/>
          <w:color w:val="auto"/>
        </w:rPr>
      </w:pPr>
    </w:p>
    <w:p>
      <w:pPr>
        <w:ind w:left="447" w:right="280" w:hanging="447"/>
        <w:spacing w:after="0" w:line="267" w:lineRule="auto"/>
        <w:tabs>
          <w:tab w:leader="none" w:pos="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that is intended to satisfy the requirements applicable to an “incentive stock option” as that term is described in Section 422(b) of the Code.</w:t>
      </w:r>
    </w:p>
    <w:p>
      <w:pPr>
        <w:spacing w:after="0" w:line="66" w:lineRule="exact"/>
        <w:rPr>
          <w:rFonts w:ascii="Arial" w:cs="Arial" w:eastAsia="Arial" w:hAnsi="Arial"/>
          <w:sz w:val="18"/>
          <w:szCs w:val="18"/>
          <w:color w:val="auto"/>
        </w:rPr>
      </w:pPr>
    </w:p>
    <w:p>
      <w:pPr>
        <w:ind w:left="447" w:hanging="447"/>
        <w:spacing w:after="0"/>
        <w:tabs>
          <w:tab w:leader="none" w:pos="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 or any of its Subsidiaries.</w:t>
      </w:r>
    </w:p>
    <w:p>
      <w:pPr>
        <w:spacing w:after="0" w:line="117" w:lineRule="exact"/>
        <w:rPr>
          <w:rFonts w:ascii="Arial" w:cs="Arial" w:eastAsia="Arial" w:hAnsi="Arial"/>
          <w:sz w:val="18"/>
          <w:szCs w:val="18"/>
          <w:color w:val="auto"/>
        </w:rPr>
      </w:pPr>
    </w:p>
    <w:p>
      <w:pPr>
        <w:ind w:left="447" w:right="100" w:hanging="447"/>
        <w:spacing w:after="0" w:line="267" w:lineRule="auto"/>
        <w:tabs>
          <w:tab w:leader="none" w:pos="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 Stock Option that is not intended to satisfy the requirements applicable to an “incentive stock option” as that term is described in Section 422(b) of the Code.</w:t>
      </w:r>
    </w:p>
    <w:p>
      <w:pPr>
        <w:spacing w:after="0" w:line="66" w:lineRule="exact"/>
        <w:rPr>
          <w:rFonts w:ascii="Arial" w:cs="Arial" w:eastAsia="Arial" w:hAnsi="Arial"/>
          <w:sz w:val="18"/>
          <w:szCs w:val="18"/>
          <w:color w:val="auto"/>
        </w:rPr>
      </w:pPr>
    </w:p>
    <w:p>
      <w:pPr>
        <w:ind w:left="447" w:hanging="447"/>
        <w:spacing w:after="0"/>
        <w:tabs>
          <w:tab w:leader="none" w:pos="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Normal Retirement</w:t>
      </w:r>
      <w:r>
        <w:rPr>
          <w:rFonts w:ascii="Arial" w:cs="Arial" w:eastAsia="Arial" w:hAnsi="Arial"/>
          <w:sz w:val="18"/>
          <w:szCs w:val="18"/>
          <w:color w:val="auto"/>
        </w:rPr>
        <w:t>” has the meaning specified from time to time by the Committee.</w:t>
      </w:r>
    </w:p>
    <w:p>
      <w:pPr>
        <w:spacing w:after="0" w:line="117" w:lineRule="exact"/>
        <w:rPr>
          <w:rFonts w:ascii="Arial" w:cs="Arial" w:eastAsia="Arial" w:hAnsi="Arial"/>
          <w:sz w:val="18"/>
          <w:szCs w:val="18"/>
          <w:color w:val="auto"/>
        </w:rPr>
      </w:pPr>
    </w:p>
    <w:p>
      <w:pPr>
        <w:ind w:left="447" w:hanging="447"/>
        <w:spacing w:after="0"/>
        <w:tabs>
          <w:tab w:leader="none" w:pos="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person who receives an Award under the Plan.</w:t>
      </w:r>
    </w:p>
    <w:p>
      <w:pPr>
        <w:spacing w:after="0" w:line="117" w:lineRule="exact"/>
        <w:rPr>
          <w:rFonts w:ascii="Arial" w:cs="Arial" w:eastAsia="Arial" w:hAnsi="Arial"/>
          <w:sz w:val="18"/>
          <w:szCs w:val="18"/>
          <w:color w:val="auto"/>
        </w:rPr>
      </w:pPr>
    </w:p>
    <w:p>
      <w:pPr>
        <w:ind w:left="447" w:hanging="447"/>
        <w:spacing w:after="0"/>
        <w:tabs>
          <w:tab w:leader="none" w:pos="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Measures</w:t>
      </w:r>
      <w:r>
        <w:rPr>
          <w:rFonts w:ascii="Arial" w:cs="Arial" w:eastAsia="Arial" w:hAnsi="Arial"/>
          <w:sz w:val="18"/>
          <w:szCs w:val="18"/>
          <w:color w:val="auto"/>
        </w:rPr>
        <w:t>” mean (A) total stockholder return (Stock price appreciation plus dividends), (B) net income,</w:t>
      </w:r>
    </w:p>
    <w:p>
      <w:pPr>
        <w:spacing w:after="0" w:line="13" w:lineRule="exact"/>
        <w:rPr>
          <w:rFonts w:ascii="Arial" w:cs="Arial" w:eastAsia="Arial" w:hAnsi="Arial"/>
          <w:sz w:val="18"/>
          <w:szCs w:val="18"/>
          <w:color w:val="auto"/>
        </w:rPr>
      </w:pPr>
    </w:p>
    <w:p>
      <w:pPr>
        <w:ind w:left="447"/>
        <w:spacing w:after="0" w:line="234" w:lineRule="auto"/>
        <w:rPr>
          <w:rFonts w:ascii="Arial" w:cs="Arial" w:eastAsia="Arial" w:hAnsi="Arial"/>
          <w:sz w:val="18"/>
          <w:szCs w:val="18"/>
          <w:color w:val="auto"/>
        </w:rPr>
      </w:pPr>
      <w:r>
        <w:rPr>
          <w:rFonts w:ascii="Arial" w:cs="Arial" w:eastAsia="Arial" w:hAnsi="Arial"/>
          <w:sz w:val="18"/>
          <w:szCs w:val="18"/>
          <w:color w:val="auto"/>
        </w:rPr>
        <w:t>(C) earnings per share, (D) return on sales, (E) return on equity, (F) return on assets, (G) return on invested capital,</w:t>
      </w:r>
    </w:p>
    <w:p>
      <w:pPr>
        <w:spacing w:after="0" w:line="1" w:lineRule="exact"/>
        <w:rPr>
          <w:sz w:val="20"/>
          <w:szCs w:val="20"/>
          <w:color w:val="auto"/>
        </w:rPr>
      </w:pPr>
    </w:p>
    <w:p>
      <w:pPr>
        <w:ind w:left="447"/>
        <w:spacing w:after="0" w:line="237" w:lineRule="auto"/>
        <w:rPr>
          <w:sz w:val="20"/>
          <w:szCs w:val="20"/>
          <w:color w:val="auto"/>
        </w:rPr>
      </w:pPr>
      <w:r>
        <w:rPr>
          <w:rFonts w:ascii="Arial" w:cs="Arial" w:eastAsia="Arial" w:hAnsi="Arial"/>
          <w:sz w:val="18"/>
          <w:szCs w:val="18"/>
          <w:color w:val="auto"/>
        </w:rPr>
        <w:t>(H)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92" w:lineRule="exact"/>
        <w:rPr>
          <w:sz w:val="20"/>
          <w:szCs w:val="20"/>
          <w:color w:val="auto"/>
        </w:rPr>
      </w:pPr>
    </w:p>
    <w:p>
      <w:pPr>
        <w:ind w:left="447" w:right="460" w:hanging="447"/>
        <w:spacing w:after="0" w:line="267" w:lineRule="auto"/>
        <w:tabs>
          <w:tab w:leader="none" w:pos="4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is a grant of Stock subject to the satisfaction of specified conditions or the achievement of specified performance goals.</w:t>
      </w:r>
    </w:p>
    <w:p>
      <w:pPr>
        <w:spacing w:after="0" w:line="66" w:lineRule="exact"/>
        <w:rPr>
          <w:rFonts w:ascii="Arial" w:cs="Arial" w:eastAsia="Arial" w:hAnsi="Arial"/>
          <w:sz w:val="18"/>
          <w:szCs w:val="18"/>
          <w:color w:val="auto"/>
        </w:rPr>
      </w:pPr>
    </w:p>
    <w:p>
      <w:pPr>
        <w:ind w:left="447" w:right="180" w:hanging="447"/>
        <w:spacing w:after="0" w:line="267" w:lineRule="auto"/>
        <w:tabs>
          <w:tab w:leader="none" w:pos="4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is a right to receive a cash payment subject to the satisfaction of specified conditions or the achievement of specified performance goals.</w:t>
      </w:r>
    </w:p>
    <w:p>
      <w:pPr>
        <w:spacing w:after="0" w:line="152"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7"/>
          </w:cols>
          <w:pgMar w:left="1153" w:top="1039" w:right="239" w:bottom="1440" w:gutter="0" w:footer="0" w:header="0"/>
        </w:sectPr>
      </w:pPr>
    </w:p>
    <w:bookmarkStart w:id="12" w:name="page13"/>
    <w:bookmarkEnd w:id="12"/>
    <w:p>
      <w:pPr>
        <w:ind w:left="906" w:hanging="447"/>
        <w:spacing w:after="0"/>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has the meaning specified from time to time by the Committee.</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specified in Section 1.1.</w:t>
      </w:r>
    </w:p>
    <w:p>
      <w:pPr>
        <w:spacing w:after="0" w:line="117" w:lineRule="exact"/>
        <w:rPr>
          <w:rFonts w:ascii="Arial" w:cs="Arial" w:eastAsia="Arial" w:hAnsi="Arial"/>
          <w:sz w:val="18"/>
          <w:szCs w:val="18"/>
          <w:color w:val="auto"/>
        </w:rPr>
      </w:pPr>
    </w:p>
    <w:p>
      <w:pPr>
        <w:ind w:left="906" w:right="500" w:hanging="447"/>
        <w:spacing w:after="0" w:line="267" w:lineRule="auto"/>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is Stock that is subject to a risk of forfeiture or other restrictions that will lapse upon the satisfaction of specified conditions or the achievement of specified performance goals.</w:t>
      </w:r>
    </w:p>
    <w:p>
      <w:pPr>
        <w:spacing w:after="0" w:line="66" w:lineRule="exact"/>
        <w:rPr>
          <w:rFonts w:ascii="Arial" w:cs="Arial" w:eastAsia="Arial" w:hAnsi="Arial"/>
          <w:sz w:val="18"/>
          <w:szCs w:val="18"/>
          <w:color w:val="auto"/>
        </w:rPr>
      </w:pPr>
    </w:p>
    <w:p>
      <w:pPr>
        <w:ind w:left="906" w:hanging="447"/>
        <w:spacing w:after="0" w:line="251" w:lineRule="auto"/>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79" w:lineRule="exact"/>
        <w:rPr>
          <w:rFonts w:ascii="Arial" w:cs="Arial" w:eastAsia="Arial" w:hAnsi="Arial"/>
          <w:sz w:val="18"/>
          <w:szCs w:val="18"/>
          <w:color w:val="auto"/>
        </w:rPr>
      </w:pPr>
    </w:p>
    <w:p>
      <w:pPr>
        <w:ind w:left="906" w:right="20" w:hanging="447"/>
        <w:spacing w:after="0" w:line="267" w:lineRule="auto"/>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Year</w:t>
      </w:r>
      <w:r>
        <w:rPr>
          <w:rFonts w:ascii="Arial" w:cs="Arial" w:eastAsia="Arial" w:hAnsi="Arial"/>
          <w:sz w:val="18"/>
          <w:szCs w:val="18"/>
          <w:color w:val="auto"/>
        </w:rPr>
        <w:t>” means the approximately annual period commencing at an annual meeting of the Company’s stockholders and ending at the next annual meeting of the Company’s stockholders.</w:t>
      </w:r>
    </w:p>
    <w:p>
      <w:pPr>
        <w:spacing w:after="0" w:line="66" w:lineRule="exact"/>
        <w:rPr>
          <w:rFonts w:ascii="Arial" w:cs="Arial" w:eastAsia="Arial" w:hAnsi="Arial"/>
          <w:sz w:val="18"/>
          <w:szCs w:val="18"/>
          <w:color w:val="auto"/>
        </w:rPr>
      </w:pPr>
    </w:p>
    <w:p>
      <w:pPr>
        <w:ind w:left="906" w:hanging="447"/>
        <w:spacing w:after="0"/>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Non-Voting Common Stock, $0.01 par value per share, of the Company.</w:t>
      </w:r>
    </w:p>
    <w:p>
      <w:pPr>
        <w:spacing w:after="0" w:line="117" w:lineRule="exact"/>
        <w:rPr>
          <w:rFonts w:ascii="Arial" w:cs="Arial" w:eastAsia="Arial" w:hAnsi="Arial"/>
          <w:sz w:val="18"/>
          <w:szCs w:val="18"/>
          <w:color w:val="auto"/>
        </w:rPr>
      </w:pPr>
    </w:p>
    <w:p>
      <w:pPr>
        <w:jc w:val="both"/>
        <w:ind w:left="906" w:right="60" w:hanging="447"/>
        <w:spacing w:after="0" w:line="251" w:lineRule="auto"/>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pacing w:after="0" w:line="79" w:lineRule="exact"/>
        <w:rPr>
          <w:rFonts w:ascii="Arial" w:cs="Arial" w:eastAsia="Arial" w:hAnsi="Arial"/>
          <w:sz w:val="18"/>
          <w:szCs w:val="18"/>
          <w:color w:val="auto"/>
        </w:rPr>
      </w:pPr>
    </w:p>
    <w:p>
      <w:pPr>
        <w:ind w:left="906" w:hanging="447"/>
        <w:spacing w:after="0"/>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Award</w:t>
      </w:r>
      <w:r>
        <w:rPr>
          <w:rFonts w:ascii="Arial" w:cs="Arial" w:eastAsia="Arial" w:hAnsi="Arial"/>
          <w:sz w:val="18"/>
          <w:szCs w:val="18"/>
          <w:color w:val="auto"/>
        </w:rPr>
        <w:t>” is an Award consisting of Restricted Stock, Restricted Stock Units, Performance Shares or a Stock Bonus.</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Bonus</w:t>
      </w:r>
      <w:r>
        <w:rPr>
          <w:rFonts w:ascii="Arial" w:cs="Arial" w:eastAsia="Arial" w:hAnsi="Arial"/>
          <w:sz w:val="18"/>
          <w:szCs w:val="18"/>
          <w:color w:val="auto"/>
        </w:rPr>
        <w:t>” is a grant of Stock that is not subject to a substantial risk of forfeiture or other conditions.</w:t>
      </w:r>
    </w:p>
    <w:p>
      <w:pPr>
        <w:spacing w:after="0" w:line="117" w:lineRule="exact"/>
        <w:rPr>
          <w:rFonts w:ascii="Arial" w:cs="Arial" w:eastAsia="Arial" w:hAnsi="Arial"/>
          <w:sz w:val="18"/>
          <w:szCs w:val="18"/>
          <w:color w:val="auto"/>
        </w:rPr>
      </w:pPr>
    </w:p>
    <w:p>
      <w:pPr>
        <w:ind w:left="906" w:right="340" w:hanging="447"/>
        <w:spacing w:after="0" w:line="267" w:lineRule="auto"/>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is a right to purchase a specified number of shares of Stock at a specified price. A Stock Option may be an Incentive Stock Option or a Non-Qualified Option.</w:t>
      </w:r>
    </w:p>
    <w:p>
      <w:pPr>
        <w:spacing w:after="0" w:line="66" w:lineRule="exact"/>
        <w:rPr>
          <w:rFonts w:ascii="Arial" w:cs="Arial" w:eastAsia="Arial" w:hAnsi="Arial"/>
          <w:sz w:val="18"/>
          <w:szCs w:val="18"/>
          <w:color w:val="auto"/>
        </w:rPr>
      </w:pPr>
    </w:p>
    <w:p>
      <w:pPr>
        <w:ind w:left="906" w:right="140" w:hanging="447"/>
        <w:spacing w:after="0" w:line="245" w:lineRule="auto"/>
        <w:tabs>
          <w:tab w:leader="none" w:pos="9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69"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Other Definitional Provisions —</w:t>
      </w:r>
    </w:p>
    <w:p>
      <w:pPr>
        <w:spacing w:after="0" w:line="125" w:lineRule="exact"/>
        <w:rPr>
          <w:rFonts w:ascii="Arial" w:cs="Arial" w:eastAsia="Arial" w:hAnsi="Arial"/>
          <w:sz w:val="18"/>
          <w:szCs w:val="18"/>
          <w:color w:val="auto"/>
        </w:rPr>
      </w:pPr>
    </w:p>
    <w:p>
      <w:pPr>
        <w:ind w:left="906" w:right="440" w:hanging="447"/>
        <w:spacing w:after="0" w:line="246" w:lineRule="auto"/>
        <w:tabs>
          <w:tab w:leader="none" w:pos="9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02" w:lineRule="exact"/>
        <w:rPr>
          <w:rFonts w:ascii="Arial" w:cs="Arial" w:eastAsia="Arial" w:hAnsi="Arial"/>
          <w:sz w:val="18"/>
          <w:szCs w:val="18"/>
          <w:color w:val="auto"/>
        </w:rPr>
      </w:pPr>
    </w:p>
    <w:p>
      <w:pPr>
        <w:ind w:left="906" w:hanging="447"/>
        <w:spacing w:after="0"/>
        <w:tabs>
          <w:tab w:leader="none" w:pos="9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When used herein, the word “including” means “including, without limitation.”</w:t>
      </w:r>
    </w:p>
    <w:p>
      <w:pPr>
        <w:spacing w:after="0" w:line="185"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1039" w:right="279" w:bottom="1440" w:gutter="0" w:footer="0" w:header="0"/>
        </w:sectPr>
      </w:pPr>
    </w:p>
    <w:bookmarkStart w:id="13" w:name="page14"/>
    <w:bookmarkEnd w:id="13"/>
    <w:p>
      <w:pPr>
        <w:ind w:left="1340" w:right="60" w:hanging="44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73" w:lineRule="exact"/>
        <w:rPr>
          <w:sz w:val="20"/>
          <w:szCs w:val="20"/>
          <w:color w:val="auto"/>
        </w:rPr>
      </w:pPr>
    </w:p>
    <w:p>
      <w:pPr>
        <w:ind w:left="440" w:right="20" w:hanging="445"/>
        <w:spacing w:after="0" w:line="244" w:lineRule="auto"/>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i w:val="1"/>
          <w:iCs w:val="1"/>
          <w:color w:val="auto"/>
        </w:rPr>
        <w:t xml:space="preserve">Amendment and Termination — </w:t>
      </w:r>
      <w:r>
        <w:rPr>
          <w:rFonts w:ascii="Arial" w:cs="Arial" w:eastAsia="Arial" w:hAnsi="Arial"/>
          <w:sz w:val="18"/>
          <w:szCs w:val="18"/>
          <w:color w:val="auto"/>
        </w:rPr>
        <w:t>The Board or the Committee may at any time and in any way amend, suspend or terminate the Plan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Award 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82" w:lineRule="exact"/>
        <w:rPr>
          <w:sz w:val="20"/>
          <w:szCs w:val="20"/>
          <w:color w:val="auto"/>
        </w:rPr>
      </w:pPr>
    </w:p>
    <w:p>
      <w:pPr>
        <w:ind w:left="440" w:hanging="445"/>
        <w:spacing w:after="0" w:line="239" w:lineRule="auto"/>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i w:val="1"/>
          <w:iCs w:val="1"/>
          <w:color w:val="auto"/>
        </w:rPr>
        <w:t xml:space="preserve">Liability of the Company — </w:t>
      </w:r>
      <w:r>
        <w:rPr>
          <w:rFonts w:ascii="Arial" w:cs="Arial" w:eastAsia="Arial" w:hAnsi="Arial"/>
          <w:sz w:val="18"/>
          <w:szCs w:val="18"/>
          <w:color w:val="auto"/>
        </w:rPr>
        <w:t>By accepting any benefits under the Plan, each Participant and each person claiming under or through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86" w:lineRule="exact"/>
        <w:rPr>
          <w:sz w:val="20"/>
          <w:szCs w:val="20"/>
          <w:color w:val="auto"/>
        </w:rPr>
      </w:pPr>
    </w:p>
    <w:p>
      <w:pPr>
        <w:ind w:left="440" w:hanging="445"/>
        <w:spacing w:after="0" w:line="241" w:lineRule="auto"/>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i w:val="1"/>
          <w:iCs w:val="1"/>
          <w:color w:val="auto"/>
        </w:rPr>
        <w:t xml:space="preserve">Unfunded Plan — </w:t>
      </w:r>
      <w:r>
        <w:rPr>
          <w:rFonts w:ascii="Arial" w:cs="Arial" w:eastAsia="Arial" w:hAnsi="Arial"/>
          <w:sz w:val="18"/>
          <w:szCs w:val="18"/>
          <w:color w:val="auto"/>
        </w:rPr>
        <w:t>Insofar as it provides for Awards, the Plan shall be unfunded. Although bookkeeping accounts may be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85" w:lineRule="exact"/>
        <w:rPr>
          <w:sz w:val="20"/>
          <w:szCs w:val="20"/>
          <w:color w:val="auto"/>
        </w:rPr>
      </w:pPr>
    </w:p>
    <w:p>
      <w:pPr>
        <w:jc w:val="both"/>
        <w:ind w:left="440" w:right="240" w:hanging="445"/>
        <w:spacing w:after="0" w:line="253" w:lineRule="auto"/>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b w:val="1"/>
          <w:bCs w:val="1"/>
          <w:i w:val="1"/>
          <w:iCs w:val="1"/>
          <w:color w:val="auto"/>
        </w:rPr>
        <w:t xml:space="preserve">Rights as Stockholder — </w:t>
      </w:r>
      <w:r>
        <w:rPr>
          <w:rFonts w:ascii="Arial" w:cs="Arial" w:eastAsia="Arial" w:hAnsi="Arial"/>
          <w:sz w:val="18"/>
          <w:szCs w:val="18"/>
          <w:color w:val="auto"/>
        </w:rPr>
        <w:t>No Award under the Plan shall confer upon a Participant any right as a stockholder of the Company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on which he or she fulfills all service requirements and other conditions for receipt of shares of Stock. If the transfer of Stock is restricted, certificates representing such Stock may bear a legend referring to such restrictions.</w:t>
      </w:r>
    </w:p>
    <w:p>
      <w:pPr>
        <w:spacing w:after="0" w:line="75" w:lineRule="exact"/>
        <w:rPr>
          <w:sz w:val="20"/>
          <w:szCs w:val="20"/>
          <w:color w:val="auto"/>
        </w:rPr>
      </w:pPr>
    </w:p>
    <w:p>
      <w:pPr>
        <w:ind w:left="440" w:right="360" w:hanging="445"/>
        <w:spacing w:after="0" w:line="271" w:lineRule="auto"/>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b w:val="1"/>
          <w:bCs w:val="1"/>
          <w:i w:val="1"/>
          <w:iCs w:val="1"/>
          <w:color w:val="auto"/>
        </w:rPr>
        <w:t xml:space="preserve">Compliance With Applicable Laws — </w:t>
      </w:r>
      <w:r>
        <w:rPr>
          <w:rFonts w:ascii="Arial" w:cs="Arial" w:eastAsia="Arial" w:hAnsi="Arial"/>
          <w:sz w:val="18"/>
          <w:szCs w:val="18"/>
          <w:color w:val="auto"/>
        </w:rPr>
        <w:t>Notwithstanding any other provision of the Plan or any Award Agreement, the Company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no obligation to issue 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057" w:right="259" w:bottom="1440" w:gutter="0" w:footer="0" w:header="0"/>
        </w:sectPr>
      </w:pPr>
    </w:p>
    <w:bookmarkStart w:id="14" w:name="page15"/>
    <w:bookmarkEnd w:id="14"/>
    <w:p>
      <w:pPr>
        <w:ind w:left="400" w:right="20"/>
        <w:spacing w:after="0" w:line="237" w:lineRule="auto"/>
        <w:rPr>
          <w:sz w:val="20"/>
          <w:szCs w:val="20"/>
          <w:color w:val="auto"/>
        </w:rPr>
      </w:pPr>
      <w:r>
        <w:rPr>
          <w:rFonts w:ascii="Arial" w:cs="Arial" w:eastAsia="Arial" w:hAnsi="Arial"/>
          <w:sz w:val="18"/>
          <w:szCs w:val="18"/>
          <w:color w:val="auto"/>
        </w:rPr>
        <w:t>shares of Stock under the Plan or pursuant to any Award unless such 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 bear such legend or legends as the Committee deems appropriate in order to assure compliance with applicable securities laws and regulations.</w:t>
      </w:r>
    </w:p>
    <w:p>
      <w:pPr>
        <w:spacing w:after="0" w:line="89" w:lineRule="exact"/>
        <w:rPr>
          <w:sz w:val="20"/>
          <w:szCs w:val="20"/>
          <w:color w:val="auto"/>
        </w:rPr>
      </w:pPr>
    </w:p>
    <w:p>
      <w:pPr>
        <w:ind w:left="400" w:right="100" w:hanging="445"/>
        <w:spacing w:after="0" w:line="244" w:lineRule="auto"/>
        <w:tabs>
          <w:tab w:leader="none" w:pos="3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The Plan and Awards granted hereunder (including Award Agreements evidencing such Awards)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governed by 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82" w:lineRule="exact"/>
        <w:rPr>
          <w:sz w:val="20"/>
          <w:szCs w:val="20"/>
          <w:color w:val="auto"/>
        </w:rPr>
      </w:pPr>
    </w:p>
    <w:p>
      <w:pPr>
        <w:ind w:left="400" w:hanging="445"/>
        <w:spacing w:after="0" w:line="239" w:lineRule="auto"/>
        <w:tabs>
          <w:tab w:leader="none" w:pos="3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b w:val="1"/>
          <w:bCs w:val="1"/>
          <w:i w:val="1"/>
          <w:iCs w:val="1"/>
          <w:color w:val="auto"/>
        </w:rPr>
        <w:t xml:space="preserve">Foreign Jurisdictions — </w:t>
      </w:r>
      <w:r>
        <w:rPr>
          <w:rFonts w:ascii="Arial" w:cs="Arial" w:eastAsia="Arial" w:hAnsi="Arial"/>
          <w:sz w:val="18"/>
          <w:szCs w:val="18"/>
          <w:color w:val="auto"/>
        </w:rPr>
        <w:t>To the extent that the Committee determines that the material terms set by the Committee or imposed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preclude 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00" w:top="1057" w:right="29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EZCORP</w:t>
      </w:r>
      <w:r>
        <w:rPr>
          <w:rFonts w:ascii="Arial" w:cs="Arial" w:eastAsia="Arial" w:hAnsi="Arial"/>
          <w:sz w:val="42"/>
          <w:szCs w:val="42"/>
          <w:b w:val="1"/>
          <w:bCs w:val="1"/>
          <w:i w:val="1"/>
          <w:iCs w:val="1"/>
          <w:color w:val="auto"/>
          <w:vertAlign w:val="superscript"/>
        </w:rPr>
        <w:t>®</w:t>
      </w:r>
    </w:p>
    <w:p>
      <w:pPr>
        <w:jc w:val="center"/>
        <w:spacing w:after="0" w:line="234" w:lineRule="auto"/>
        <w:rPr>
          <w:sz w:val="20"/>
          <w:szCs w:val="20"/>
          <w:color w:val="auto"/>
        </w:rPr>
      </w:pPr>
      <w:r>
        <w:rPr>
          <w:rFonts w:ascii="Arial" w:cs="Arial" w:eastAsia="Arial" w:hAnsi="Arial"/>
          <w:sz w:val="18"/>
          <w:szCs w:val="18"/>
          <w:b w:val="1"/>
          <w:bCs w:val="1"/>
          <w:color w:val="auto"/>
        </w:rPr>
        <w:t>EZCORP NAMES PAUL ROTHAMEL PRESIDENT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CEO SUCCESSION PLAN</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AUSTIN, Texas (February 10, 2010) — EZCORP, Inc. (Nasdaq: EZPW) announced today that Paul E. Rothamel has been named President, in addition to his role as Chief Operating Officer, and has also been elected to the Board of Directors. The Company also announced that the Board has designated Mr. Rothamel as the successor to current Chief Executive Officer, Joe Rotunda, effective when Mr. Rotunda retires, which is expected to be within the next year.</w:t>
      </w:r>
    </w:p>
    <w:p>
      <w:pPr>
        <w:spacing w:after="0" w:line="9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Mr. Rothamel, 45, joined EZCORP in September 2009 as Executive Vice President and Chief Operating Officer, with executive management responsibility for all of EZCORP’s operations. In his new role, Mr. Rothamel will also manage the Company’s strategic development, marketing, human resources and loss prevention functions. The Company’s Chief Financial Officer and the General Counsel will continue to report to Mr. Rotunda, along with Mr. Rothamel.</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Rotunda said, “I am pleased with the Board’s decision to name Paul EZCORP’s next CEO. I have been very impressed with how quickly he has grasped the complexities and nuances of our business and look forward to continuing to work closely with him. Paul has a solid track record of business success and brings fresh vision and well-developed organizational skills. This announcement reflects months of thoughtful succession planning by the Board, as well as management, and is a part of our ongoing efforts to ensure a seamless transition to the next generation of EZCORP leaders.”</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Prior to joining EZCORP, Mr. Rothamel was President and Chief Executive Officer of Pamida, an $800 million chain of general merchandise and pharmacy stores. Mr. Rothamel spent twelve years at Pamida and ShopKo Stores, Inc. in various senior executive positions. Since 2005, both Pamida and ShopKo have been owned by Sun Capital Partners, a leading private equity firm. Before joining ShopKo in 1997, Mr. Rothamel held a variety of operational positions with other multi-unit retailers.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EZCORP provides loans or credit services to customers who do not have cash resources or access to credit to meet their short-term cash needs. In its pawnshops, the company offers non-recourse loans collateralized by tangible personal property, commonly known as pawn loans. At these locations, the company also sells merchandise, primarily collateral forfeited from its pawn lending operations, to consumers looking for good value. The company also offers a variety of short-term consumer loans, including payday loans, installment loans and auto title loans, or fee-based credit services to customers seeking loans.</w:t>
      </w:r>
    </w:p>
    <w:p>
      <w:pPr>
        <w:spacing w:after="0" w:line="9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At December 31, 2009, EZCORP operated a total of 920 locations, consisting of 370 U.S. pawnshops, 70 pawnshops in Mexico, 472 U.S. short-term consumer loan stores, and 8 short-term consumer loan stores in Canada. The company also has significant investments in Albemarle &amp; Bond Holdings PLC (ABM.L), one of the U.K.’s largest pawnbroking businesses with 115 stores, and Cash Converters International Limited (CCV.L and CCV.AUS), which franchises and operates a worldwide network of over 500 financial services and second-hand retail stores.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 Investor Relations at (512) 314-2220.</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lowerLetter"/>
      <w:start w:val="1"/>
    </w:lvl>
    <w:lvl w:ilvl="1">
      <w:lvlJc w:val="left"/>
      <w:lvlText w:val="(%2)"/>
      <w:numFmt w:val="decimal"/>
      <w:start w:val="1"/>
    </w:lvl>
  </w:abstractNum>
  <w:abstractNum w:abstractNumId="3">
    <w:nsid w:val="12200854"/>
    <w:multiLevelType w:val="hybridMultilevel"/>
    <w:lvl w:ilvl="0">
      <w:lvlJc w:val="left"/>
      <w:lvlText w:val="%1"/>
      <w:numFmt w:val="lowerLetter"/>
      <w:start w:val="1"/>
    </w:lvl>
    <w:lvl w:ilvl="1">
      <w:lvlJc w:val="left"/>
      <w:lvlText w:val="(%2)"/>
      <w:numFmt w:val="decimal"/>
      <w:start w:val="2"/>
    </w:lvl>
  </w:abstractNum>
  <w:abstractNum w:abstractNumId="4">
    <w:nsid w:val="4DB127F8"/>
    <w:multiLevelType w:val="hybridMultilevel"/>
    <w:lvl w:ilvl="0">
      <w:lvlJc w:val="left"/>
      <w:lvlText w:val="(%1)"/>
      <w:numFmt w:val="lowerLetter"/>
      <w:start w:val="3"/>
    </w:lvl>
    <w:lvl w:ilvl="1">
      <w:lvlJc w:val="left"/>
      <w:lvlText w:val="%2"/>
      <w:numFmt w:val="decimal"/>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lvl w:ilvl="1">
      <w:lvlJc w:val="left"/>
      <w:lvlText w:val="(%2)"/>
      <w:numFmt w:val="decimal"/>
      <w:start w:val="1"/>
    </w:lvl>
  </w:abstractNum>
  <w:abstractNum w:abstractNumId="7">
    <w:nsid w:val="1190CDE7"/>
    <w:multiLevelType w:val="hybridMultilevel"/>
    <w:lvl w:ilvl="0">
      <w:lvlJc w:val="left"/>
      <w:lvlText w:val="(%1)"/>
      <w:numFmt w:val="lowerLetter"/>
      <w:start w:val="1"/>
    </w:lvl>
    <w:lvl w:ilvl="1">
      <w:lvlJc w:val="left"/>
      <w:lvlText w:val="(%2)"/>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lowerLetter"/>
      <w:start w:val="1"/>
    </w:lvl>
    <w:lvl w:ilvl="1">
      <w:lvlJc w:val="left"/>
      <w:lvlText w:val="(%2)"/>
      <w:numFmt w:val="decimal"/>
      <w:start w:val="1"/>
    </w:lvl>
  </w:abstractNum>
  <w:abstractNum w:abstractNumId="10">
    <w:nsid w:val="3352255A"/>
    <w:multiLevelType w:val="hybridMultilevel"/>
    <w:lvl w:ilvl="0">
      <w:lvlJc w:val="left"/>
      <w:lvlText w:val="(%1)"/>
      <w:numFmt w:val="decimal"/>
      <w:start w:val="15"/>
    </w:lvl>
  </w:abstractNum>
  <w:abstractNum w:abstractNumId="11">
    <w:nsid w:val="109CF92E"/>
    <w:multiLevelType w:val="hybridMultilevel"/>
    <w:lvl w:ilvl="0">
      <w:lvlJc w:val="left"/>
      <w:lvlText w:val="(%1)"/>
      <w:numFmt w:val="decimal"/>
      <w:start w:val="22"/>
    </w:lvl>
  </w:abstractNum>
  <w:abstractNum w:abstractNumId="12">
    <w:nsid w:val="DED7263"/>
    <w:multiLevelType w:val="hybridMultilevel"/>
    <w:lvl w:ilvl="0">
      <w:lvlJc w:val="left"/>
      <w:lvlText w:val="%1"/>
      <w:numFmt w:val="lowerLetter"/>
      <w:start w:val="1"/>
    </w:lvl>
    <w:lvl w:ilvl="1">
      <w:lvlJc w:val="left"/>
      <w:lvlText w:val="(%2)"/>
      <w:numFmt w:val="decimal"/>
      <w:start w:val="24"/>
    </w:lvl>
  </w:abstractNum>
  <w:abstractNum w:abstractNumId="13">
    <w:nsid w:val="7FDCC233"/>
    <w:multiLevelType w:val="hybridMultilevel"/>
    <w:lvl w:ilvl="0">
      <w:lvlJc w:val="left"/>
      <w:lvlText w:val="(%1)"/>
      <w:numFmt w:val="lowerLetter"/>
      <w:start w:val="2"/>
    </w:lvl>
    <w:lvl w:ilvl="1">
      <w:lvlJc w:val="left"/>
      <w:lvlText w:val="(%2)"/>
      <w:numFmt w:val="decimal"/>
      <w:start w:val="1"/>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2020-01-29T07:54:11Z</dcterms:created>
  <dcterms:modified xsi:type="dcterms:W3CDTF">2020-01-29T07:54:11Z</dcterms:modified>
</cp:coreProperties>
</file>