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dd9a220a4f12456789cfb570c8147476"/>
      <w:bookmarkStart w:id="1" w:name="a201210-kdiscopsrestatement.htm"/>
      <w:bookmarkStart w:id="2" w:name="ksa201210kdiscopsrestatement"/>
      <w:bookmarkStart w:id="3" w:name="sdd9a220a4f12456789cfb570c8147476"/>
      <w:bookmarkStart w:id="4" w:name="a201210-kdiscopsrestatement.htm"/>
      <w:bookmarkStart w:id="5" w:name="ksa201210kdiscopsrestatement"/>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sz w:val="20"/>
        </w:rPr>
      </w:pPr>
      <w:r>
        <w:rPr>
          <w:rFonts w:ascii="inherit" w:hAnsi="inherit"/>
          <w:b/>
          <w:sz w:val="20"/>
        </w:rPr>
        <w:t>Date of Report (Date of earliest event reported):</w:t>
      </w:r>
      <w:r>
        <w:rPr>
          <w:sz w:val="20"/>
        </w:rPr>
        <w:t xml:space="preserve"> </w:t>
      </w:r>
      <w:r>
        <w:rPr>
          <w:rFonts w:ascii="inherit" w:hAnsi="inherit"/>
          <w:b/>
          <w:strike w:val="false"/>
          <w:dstrike w:val="false"/>
          <w:color w:val="000000"/>
          <w:sz w:val="20"/>
          <w:u w:val="none"/>
          <w:effect w:val="none"/>
        </w:rPr>
        <w:t>October 3, 2013</w:t>
      </w:r>
      <w:r>
        <w:rPr>
          <w:sz w:val="20"/>
        </w:rPr>
        <w:t xml:space="preserve">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6" w:name="sce54a950e1f7412bbf769dd5a53ecbcb"/>
      <w:bookmarkStart w:id="7" w:name="sce54a950e1f7412bbf769dd5a53ecbcb"/>
      <w:bookmarkEnd w:id="7"/>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8.01 — Other Events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EZCORP, Inc. (the “Company”) is filing this Current Report on Form 8-K for the purpose of conforming certain of its historical information for discontinued operations. During the third quarter of fiscal 2013, the Company's Board of Directors approved a plan to close 107 legacy stores in a variety of locations. This Current Report on Form 8-K is being filed in order to present the reclassification of the discontinued stores in our financial statements for our fiscal years ended September 30, 2012, 2011 and 2010. This Current Report on Form 8-K updates the following information in the Company's Annual Report on Form 10-K for the year ended September 30, 2012 (the "2012 Form 10-K) in Exhibit 99.1 hereto:</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Item 1. Business </w:t>
      </w:r>
    </w:p>
    <w:p>
      <w:pPr>
        <w:pStyle w:val="TextBody"/>
        <w:spacing w:lineRule="auto" w:line="288" w:before="0" w:after="0"/>
        <w:rPr>
          <w:rFonts w:ascii="inherit" w:hAnsi="inherit"/>
          <w:sz w:val="17"/>
        </w:rPr>
      </w:pPr>
      <w:r>
        <w:rPr>
          <w:rFonts w:ascii="inherit" w:hAnsi="inherit"/>
          <w:sz w:val="17"/>
        </w:rPr>
        <w:t>Item 2. Properties</w:t>
      </w:r>
    </w:p>
    <w:p>
      <w:pPr>
        <w:pStyle w:val="TextBody"/>
        <w:spacing w:lineRule="auto" w:line="288" w:before="0" w:after="0"/>
        <w:rPr>
          <w:rFonts w:ascii="inherit" w:hAnsi="inherit"/>
          <w:sz w:val="17"/>
        </w:rPr>
      </w:pPr>
      <w:r>
        <w:rPr>
          <w:rFonts w:ascii="inherit" w:hAnsi="inherit"/>
          <w:sz w:val="17"/>
        </w:rPr>
        <w:t>Item 6. Selected Financial Data</w:t>
      </w:r>
    </w:p>
    <w:p>
      <w:pPr>
        <w:pStyle w:val="TextBody"/>
        <w:spacing w:lineRule="auto" w:line="288" w:before="0" w:after="0"/>
        <w:rPr>
          <w:rFonts w:ascii="inherit" w:hAnsi="inherit"/>
          <w:sz w:val="17"/>
        </w:rPr>
      </w:pPr>
      <w:r>
        <w:rPr>
          <w:rFonts w:ascii="inherit" w:hAnsi="inherit"/>
          <w:sz w:val="17"/>
        </w:rPr>
        <w:t>Item 7. Management's Discussion and Analysis of Financial Condition and Results of Operations</w:t>
      </w:r>
    </w:p>
    <w:p>
      <w:pPr>
        <w:pStyle w:val="TextBody"/>
        <w:spacing w:lineRule="auto" w:line="288" w:before="0" w:after="0"/>
        <w:rPr>
          <w:rFonts w:ascii="inherit" w:hAnsi="inherit"/>
          <w:sz w:val="17"/>
        </w:rPr>
      </w:pPr>
      <w:r>
        <w:rPr>
          <w:rFonts w:ascii="inherit" w:hAnsi="inherit"/>
          <w:sz w:val="17"/>
        </w:rPr>
        <w:t>Item 8. Financial Statements and Supplementary Data</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Updates to the 2012 Form 10-K relate to the presentation of discontinued operations and the correction of certain errors in the presentation of the Consolidated Statements of Cash Flows and the condensed consolidating financial statements (Note 22: "Condensed Consolidating Financial Information" in the 2012 Form 10-K and Note 23 in the attached Exhibit 99.1) and have no effect on the Company's previously reported results of operations, financial condition, or cash flows. All other information in the 2012 Form 10-K remains unchanged.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The information in this Current Report on Form 8-K should be read in conjunction with the 2012 Form 10-K (except for the items updated herein). The information in this Current Report on Form 8-K is deemed incorporated by reference into the Company's registration statements filed under the Securities Act of 1933, as amended.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 xml:space="preserve">Item 9.01 — Financial Statements and Exhibits. </w:t>
      </w:r>
    </w:p>
    <w:p>
      <w:pPr>
        <w:pStyle w:val="TextBody"/>
        <w:spacing w:lineRule="auto" w:line="288" w:before="0" w:after="0"/>
        <w:jc w:val="left"/>
        <w:rPr>
          <w:rFonts w:ascii="inherit" w:hAnsi="inherit"/>
          <w:sz w:val="17"/>
        </w:rPr>
      </w:pPr>
      <w:r>
        <w:rPr>
          <w:rFonts w:ascii="inherit" w:hAnsi="inherit"/>
          <w:sz w:val="17"/>
        </w:rPr>
        <w:t>(d)    Exhibits.</w:t>
      </w:r>
    </w:p>
    <w:tbl>
      <w:tblPr>
        <w:tblW w:w="10205" w:type="dxa"/>
        <w:jc w:val="center"/>
        <w:tblInd w:w="0" w:type="dxa"/>
        <w:tblCellMar>
          <w:top w:w="0" w:type="dxa"/>
          <w:left w:w="0" w:type="dxa"/>
          <w:bottom w:w="0" w:type="dxa"/>
          <w:right w:w="0" w:type="dxa"/>
        </w:tblCellMar>
      </w:tblPr>
      <w:tblGrid>
        <w:gridCol w:w="1500"/>
        <w:gridCol w:w="8705"/>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500" w:type="dxa"/>
            <w:tcBorders/>
            <w:shd w:fill="auto" w:val="clear"/>
            <w:vAlign w:val="center"/>
          </w:tcPr>
          <w:p>
            <w:pPr>
              <w:pStyle w:val="TableContents"/>
              <w:spacing w:before="0" w:after="283"/>
              <w:rPr>
                <w:sz w:val="4"/>
                <w:szCs w:val="4"/>
              </w:rPr>
            </w:pPr>
            <w:r>
              <w:rPr>
                <w:sz w:val="4"/>
                <w:szCs w:val="4"/>
              </w:rPr>
            </w:r>
          </w:p>
        </w:tc>
        <w:tc>
          <w:tcPr>
            <w:tcW w:w="87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23.1</w:t>
            </w:r>
          </w:p>
        </w:tc>
        <w:tc>
          <w:tcPr>
            <w:tcW w:w="8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of BDO USA, LLP.</w:t>
            </w:r>
          </w:p>
        </w:tc>
      </w:tr>
      <w:tr>
        <w:trPr/>
        <w:tc>
          <w:tcPr>
            <w:tcW w:w="15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870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Updated information in the Annual Report on Form 10-K for the year ended September 30 2012: Item 1. Business; Item 2. Properties; Item 6. Selected Financial Data;</w:t>
              <w:br/>
              <w:t>Updated Item 7. Management's Discussion and Analysis of Financial Condition and Results of Operations; Item 8. Financial Statements and Supplementary Data.</w:t>
            </w:r>
          </w:p>
        </w:tc>
      </w:tr>
      <w:tr>
        <w:trPr/>
        <w:tc>
          <w:tcPr>
            <w:tcW w:w="15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101.INS†††</w:t>
            </w:r>
          </w:p>
        </w:tc>
        <w:tc>
          <w:tcPr>
            <w:tcW w:w="8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15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101.SCH†††</w:t>
            </w:r>
          </w:p>
        </w:tc>
        <w:tc>
          <w:tcPr>
            <w:tcW w:w="8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15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101.CAL†††</w:t>
            </w:r>
          </w:p>
        </w:tc>
        <w:tc>
          <w:tcPr>
            <w:tcW w:w="8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15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101.LAB†††</w:t>
            </w:r>
          </w:p>
        </w:tc>
        <w:tc>
          <w:tcPr>
            <w:tcW w:w="8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15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101.DEF†††</w:t>
            </w:r>
          </w:p>
        </w:tc>
        <w:tc>
          <w:tcPr>
            <w:tcW w:w="8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15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101.PRE†††</w:t>
            </w:r>
          </w:p>
        </w:tc>
        <w:tc>
          <w:tcPr>
            <w:tcW w:w="8705"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8" w:name="sd0896add8fd0463eb012b8531246dc34"/>
      <w:bookmarkStart w:id="9" w:name="sd0896add8fd0463eb012b8531246dc34"/>
      <w:bookmarkEnd w:id="9"/>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642"/>
        <w:gridCol w:w="3854"/>
        <w:gridCol w:w="305"/>
        <w:gridCol w:w="503"/>
        <w:gridCol w:w="206"/>
        <w:gridCol w:w="523"/>
        <w:gridCol w:w="206"/>
        <w:gridCol w:w="396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2" w:type="dxa"/>
            <w:tcBorders/>
            <w:shd w:fill="auto" w:val="clear"/>
            <w:vAlign w:val="center"/>
          </w:tcPr>
          <w:p>
            <w:pPr>
              <w:pStyle w:val="TableContents"/>
              <w:spacing w:before="0" w:after="283"/>
              <w:rPr>
                <w:sz w:val="4"/>
                <w:szCs w:val="4"/>
              </w:rPr>
            </w:pPr>
            <w:r>
              <w:rPr>
                <w:sz w:val="4"/>
                <w:szCs w:val="4"/>
              </w:rPr>
            </w:r>
          </w:p>
        </w:tc>
        <w:tc>
          <w:tcPr>
            <w:tcW w:w="385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2" w:type="dxa"/>
            <w:tcBorders/>
            <w:shd w:fill="auto" w:val="clear"/>
            <w:vAlign w:val="center"/>
          </w:tcPr>
          <w:p>
            <w:pPr>
              <w:pStyle w:val="TableContents"/>
              <w:spacing w:before="0" w:after="0"/>
              <w:ind w:left="0" w:right="0" w:firstLine="30"/>
              <w:rPr/>
            </w:pPr>
            <w:r>
              <w:rPr/>
              <w:t> </w:t>
            </w:r>
          </w:p>
        </w:tc>
        <w:tc>
          <w:tcPr>
            <w:tcW w:w="3854" w:type="dxa"/>
            <w:tcBorders/>
            <w:shd w:fill="auto" w:val="clear"/>
            <w:vAlign w:val="center"/>
          </w:tcPr>
          <w:p>
            <w:pPr>
              <w:pStyle w:val="TableContents"/>
              <w:spacing w:before="0" w:after="0"/>
              <w:ind w:left="0" w:right="0" w:firstLine="30"/>
              <w:rPr/>
            </w:pPr>
            <w:r>
              <w:rPr/>
              <w:t> </w:t>
            </w:r>
          </w:p>
        </w:tc>
        <w:tc>
          <w:tcPr>
            <w:tcW w:w="305" w:type="dxa"/>
            <w:tcBorders/>
            <w:shd w:fill="auto" w:val="clear"/>
            <w:vAlign w:val="center"/>
          </w:tcPr>
          <w:p>
            <w:pPr>
              <w:pStyle w:val="TableContents"/>
              <w:spacing w:before="0" w:after="0"/>
              <w:ind w:left="0" w:right="0" w:firstLine="30"/>
              <w:jc w:val="left"/>
              <w:rPr/>
            </w:pPr>
            <w:r>
              <w:rPr/>
              <w:t> </w:t>
            </w:r>
          </w:p>
        </w:tc>
        <w:tc>
          <w:tcPr>
            <w:tcW w:w="50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4695"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642" w:type="dxa"/>
            <w:tcBorders/>
            <w:shd w:fill="auto" w:val="clear"/>
            <w:vAlign w:val="center"/>
          </w:tcPr>
          <w:p>
            <w:pPr>
              <w:pStyle w:val="TableContents"/>
              <w:spacing w:before="0" w:after="0"/>
              <w:ind w:left="0" w:right="0" w:firstLine="30"/>
              <w:rPr/>
            </w:pPr>
            <w:r>
              <w:rPr/>
              <w:t> </w:t>
            </w:r>
          </w:p>
        </w:tc>
        <w:tc>
          <w:tcPr>
            <w:tcW w:w="3854" w:type="dxa"/>
            <w:tcBorders/>
            <w:shd w:fill="auto" w:val="clear"/>
            <w:vAlign w:val="center"/>
          </w:tcPr>
          <w:p>
            <w:pPr>
              <w:pStyle w:val="TableContents"/>
              <w:spacing w:before="0" w:after="0"/>
              <w:ind w:left="0" w:right="0" w:firstLine="30"/>
              <w:rPr/>
            </w:pPr>
            <w:r>
              <w:rPr/>
              <w:t> </w:t>
            </w:r>
          </w:p>
        </w:tc>
        <w:tc>
          <w:tcPr>
            <w:tcW w:w="808" w:type="dxa"/>
            <w:gridSpan w:val="2"/>
            <w:tcBorders/>
            <w:shd w:fill="auto" w:val="clear"/>
            <w:vAlign w:val="center"/>
          </w:tcPr>
          <w:p>
            <w:pPr>
              <w:pStyle w:val="TableContents"/>
              <w:spacing w:before="0" w:after="0"/>
              <w:ind w:left="0" w:right="0" w:firstLine="30"/>
              <w:rPr/>
            </w:pPr>
            <w:r>
              <w:rPr/>
              <w:t> </w:t>
            </w:r>
          </w:p>
        </w:tc>
        <w:tc>
          <w:tcPr>
            <w:tcW w:w="729" w:type="dxa"/>
            <w:gridSpan w:val="2"/>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rPr/>
            </w:pPr>
            <w:r>
              <w:rPr/>
              <w:t> </w:t>
            </w:r>
          </w:p>
        </w:tc>
        <w:tc>
          <w:tcPr>
            <w:tcW w:w="3966" w:type="dxa"/>
            <w:tcBorders/>
            <w:shd w:fill="auto" w:val="clear"/>
            <w:vAlign w:val="center"/>
          </w:tcPr>
          <w:p>
            <w:pPr>
              <w:pStyle w:val="TableContents"/>
              <w:spacing w:before="0" w:after="0"/>
              <w:ind w:left="0" w:right="0" w:firstLine="30"/>
              <w:rPr/>
            </w:pPr>
            <w:r>
              <w:rPr/>
              <w:t> </w:t>
            </w:r>
          </w:p>
        </w:tc>
      </w:tr>
      <w:tr>
        <w:trPr/>
        <w:tc>
          <w:tcPr>
            <w:tcW w:w="6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8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October 3, 2013</w:t>
            </w:r>
          </w:p>
        </w:tc>
        <w:tc>
          <w:tcPr>
            <w:tcW w:w="305" w:type="dxa"/>
            <w:tcBorders/>
            <w:shd w:fill="auto" w:val="clear"/>
            <w:vAlign w:val="center"/>
          </w:tcPr>
          <w:p>
            <w:pPr>
              <w:pStyle w:val="TableContents"/>
              <w:spacing w:before="0" w:after="0"/>
              <w:ind w:left="0" w:right="0" w:firstLine="30"/>
              <w:jc w:val="left"/>
              <w:rPr/>
            </w:pPr>
            <w:r>
              <w:rPr/>
              <w:t> </w:t>
            </w:r>
          </w:p>
        </w:tc>
        <w:tc>
          <w:tcPr>
            <w:tcW w:w="50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06" w:type="dxa"/>
            <w:tcBorders/>
            <w:shd w:fill="auto" w:val="clear"/>
            <w:vAlign w:val="center"/>
          </w:tcPr>
          <w:p>
            <w:pPr>
              <w:pStyle w:val="TableContents"/>
              <w:spacing w:before="0" w:after="0"/>
              <w:ind w:left="0" w:right="0" w:firstLine="30"/>
              <w:jc w:val="left"/>
              <w:rPr/>
            </w:pPr>
            <w:r>
              <w:rPr/>
              <w:t> </w:t>
            </w:r>
          </w:p>
        </w:tc>
        <w:tc>
          <w:tcPr>
            <w:tcW w:w="3966"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sz w:val="17"/>
                <w:u w:val="single"/>
              </w:rPr>
            </w:pPr>
            <w:r>
              <w:rPr>
                <w:rFonts w:ascii="inherit" w:hAnsi="inherit"/>
                <w:sz w:val="17"/>
                <w:u w:val="single"/>
              </w:rPr>
              <w:t>/s/ Jeffrey S. Byal</w:t>
            </w:r>
          </w:p>
        </w:tc>
      </w:tr>
      <w:tr>
        <w:trPr/>
        <w:tc>
          <w:tcPr>
            <w:tcW w:w="642" w:type="dxa"/>
            <w:tcBorders/>
            <w:shd w:fill="auto" w:val="clear"/>
            <w:vAlign w:val="center"/>
          </w:tcPr>
          <w:p>
            <w:pPr>
              <w:pStyle w:val="TableContents"/>
              <w:spacing w:before="0" w:after="0"/>
              <w:ind w:left="0" w:right="0" w:firstLine="30"/>
              <w:rPr/>
            </w:pPr>
            <w:r>
              <w:rPr/>
              <w:t> </w:t>
            </w:r>
          </w:p>
        </w:tc>
        <w:tc>
          <w:tcPr>
            <w:tcW w:w="3854" w:type="dxa"/>
            <w:tcBorders/>
            <w:shd w:fill="auto" w:val="clear"/>
            <w:vAlign w:val="center"/>
          </w:tcPr>
          <w:p>
            <w:pPr>
              <w:pStyle w:val="TableContents"/>
              <w:spacing w:before="0" w:after="0"/>
              <w:ind w:left="0" w:right="0" w:firstLine="30"/>
              <w:rPr/>
            </w:pPr>
            <w:r>
              <w:rPr/>
              <w:t> </w:t>
            </w:r>
          </w:p>
        </w:tc>
        <w:tc>
          <w:tcPr>
            <w:tcW w:w="305" w:type="dxa"/>
            <w:tcBorders/>
            <w:shd w:fill="auto" w:val="clear"/>
            <w:vAlign w:val="center"/>
          </w:tcPr>
          <w:p>
            <w:pPr>
              <w:pStyle w:val="TableContents"/>
              <w:spacing w:before="0" w:after="0"/>
              <w:ind w:left="0" w:right="0" w:firstLine="30"/>
              <w:jc w:val="left"/>
              <w:rPr/>
            </w:pPr>
            <w:r>
              <w:rPr/>
              <w:t> </w:t>
            </w:r>
          </w:p>
        </w:tc>
        <w:tc>
          <w:tcPr>
            <w:tcW w:w="50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52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396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Jeffrey S. Byal</w:t>
            </w:r>
          </w:p>
        </w:tc>
      </w:tr>
      <w:tr>
        <w:trPr/>
        <w:tc>
          <w:tcPr>
            <w:tcW w:w="642" w:type="dxa"/>
            <w:tcBorders/>
            <w:shd w:fill="auto" w:val="clear"/>
            <w:vAlign w:val="center"/>
          </w:tcPr>
          <w:p>
            <w:pPr>
              <w:pStyle w:val="TableContents"/>
              <w:spacing w:before="0" w:after="0"/>
              <w:ind w:left="0" w:right="0" w:firstLine="30"/>
              <w:rPr/>
            </w:pPr>
            <w:r>
              <w:rPr/>
              <w:t> </w:t>
            </w:r>
          </w:p>
        </w:tc>
        <w:tc>
          <w:tcPr>
            <w:tcW w:w="3854" w:type="dxa"/>
            <w:tcBorders/>
            <w:shd w:fill="auto" w:val="clear"/>
            <w:vAlign w:val="center"/>
          </w:tcPr>
          <w:p>
            <w:pPr>
              <w:pStyle w:val="TableContents"/>
              <w:spacing w:before="0" w:after="0"/>
              <w:ind w:left="0" w:right="0" w:firstLine="30"/>
              <w:rPr/>
            </w:pPr>
            <w:r>
              <w:rPr/>
              <w:t> </w:t>
            </w:r>
          </w:p>
        </w:tc>
        <w:tc>
          <w:tcPr>
            <w:tcW w:w="305" w:type="dxa"/>
            <w:tcBorders/>
            <w:shd w:fill="auto" w:val="clear"/>
            <w:vAlign w:val="center"/>
          </w:tcPr>
          <w:p>
            <w:pPr>
              <w:pStyle w:val="TableContents"/>
              <w:spacing w:before="0" w:after="0"/>
              <w:ind w:left="0" w:right="0" w:firstLine="30"/>
              <w:jc w:val="left"/>
              <w:rPr/>
            </w:pPr>
            <w:r>
              <w:rPr/>
              <w:t> </w:t>
            </w:r>
          </w:p>
        </w:tc>
        <w:tc>
          <w:tcPr>
            <w:tcW w:w="50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52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396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Senior Vice President and Chief Accounting Officer</w:t>
            </w:r>
          </w:p>
        </w:tc>
      </w:tr>
      <w:tr>
        <w:trPr/>
        <w:tc>
          <w:tcPr>
            <w:tcW w:w="642" w:type="dxa"/>
            <w:tcBorders/>
            <w:shd w:fill="auto" w:val="clear"/>
            <w:vAlign w:val="center"/>
          </w:tcPr>
          <w:p>
            <w:pPr>
              <w:pStyle w:val="TableContents"/>
              <w:spacing w:before="0" w:after="0"/>
              <w:ind w:left="0" w:right="0" w:firstLine="30"/>
              <w:rPr/>
            </w:pPr>
            <w:r>
              <w:rPr/>
              <w:t> </w:t>
            </w:r>
          </w:p>
        </w:tc>
        <w:tc>
          <w:tcPr>
            <w:tcW w:w="3854" w:type="dxa"/>
            <w:tcBorders/>
            <w:shd w:fill="auto" w:val="clear"/>
            <w:vAlign w:val="center"/>
          </w:tcPr>
          <w:p>
            <w:pPr>
              <w:pStyle w:val="TableContents"/>
              <w:spacing w:before="0" w:after="0"/>
              <w:ind w:left="0" w:right="0" w:firstLine="30"/>
              <w:rPr/>
            </w:pPr>
            <w:r>
              <w:rPr/>
              <w:t> </w:t>
            </w:r>
          </w:p>
        </w:tc>
        <w:tc>
          <w:tcPr>
            <w:tcW w:w="305" w:type="dxa"/>
            <w:tcBorders/>
            <w:shd w:fill="auto" w:val="clear"/>
            <w:vAlign w:val="center"/>
          </w:tcPr>
          <w:p>
            <w:pPr>
              <w:pStyle w:val="TableContents"/>
              <w:spacing w:before="0" w:after="0"/>
              <w:ind w:left="0" w:right="0" w:firstLine="30"/>
              <w:rPr/>
            </w:pPr>
            <w:r>
              <w:rPr/>
              <w:t> </w:t>
            </w:r>
          </w:p>
        </w:tc>
        <w:tc>
          <w:tcPr>
            <w:tcW w:w="50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rPr/>
            </w:pPr>
            <w:r>
              <w:rPr/>
              <w:t> </w:t>
            </w:r>
          </w:p>
        </w:tc>
        <w:tc>
          <w:tcPr>
            <w:tcW w:w="52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rPr/>
            </w:pPr>
            <w:r>
              <w:rPr/>
              <w:t> </w:t>
            </w:r>
          </w:p>
        </w:tc>
        <w:tc>
          <w:tcPr>
            <w:tcW w:w="3966"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rFonts w:ascii="inherit" w:hAnsi="inherit"/>
          <w:sz w:val="17"/>
        </w:rPr>
      </w:pPr>
      <w:r>
        <w:rPr>
          <w:rFonts w:ascii="inherit" w:hAnsi="inherit"/>
          <w:sz w:val="17"/>
        </w:rPr>
      </w:r>
      <w:bookmarkStart w:id="10" w:name="s9cc94773ccbe4d3c8d450acfa9cec735"/>
      <w:bookmarkStart w:id="11" w:name="s9cc94773ccbe4d3c8d450acfa9cec735"/>
      <w:bookmarkEnd w:id="11"/>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EXHIBIT INDEX</w:t>
      </w:r>
    </w:p>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938"/>
        <w:gridCol w:w="826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938" w:type="dxa"/>
            <w:tcBorders/>
            <w:shd w:fill="auto" w:val="clear"/>
            <w:vAlign w:val="center"/>
          </w:tcPr>
          <w:p>
            <w:pPr>
              <w:pStyle w:val="TableContents"/>
              <w:spacing w:before="0" w:after="283"/>
              <w:rPr>
                <w:sz w:val="4"/>
                <w:szCs w:val="4"/>
              </w:rPr>
            </w:pPr>
            <w:r>
              <w:rPr>
                <w:sz w:val="4"/>
                <w:szCs w:val="4"/>
              </w:rPr>
            </w:r>
          </w:p>
        </w:tc>
        <w:tc>
          <w:tcPr>
            <w:tcW w:w="82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3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Exhibit No.</w:t>
            </w:r>
          </w:p>
        </w:tc>
        <w:tc>
          <w:tcPr>
            <w:tcW w:w="8267"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Description of Exhibit</w:t>
            </w:r>
          </w:p>
        </w:tc>
      </w:tr>
      <w:tr>
        <w:trPr/>
        <w:tc>
          <w:tcPr>
            <w:tcW w:w="193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23.1</w:t>
            </w:r>
          </w:p>
        </w:tc>
        <w:tc>
          <w:tcPr>
            <w:tcW w:w="82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of BDO USA, LLP.</w:t>
            </w:r>
          </w:p>
        </w:tc>
      </w:tr>
      <w:tr>
        <w:trPr/>
        <w:tc>
          <w:tcPr>
            <w:tcW w:w="193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82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Updated information in the Annual Report on Form 10-K for the year ended September 30 2012: Item 1. Business; Item 2. Properties; Item 6. Selected Financial Data;</w:t>
              <w:br/>
              <w:t>Updated Item 7. Management's Discussion and Analysis of Financial Condition and Results of Operations; Item 8. Financial Statements and Supplementary Data.</w:t>
            </w:r>
          </w:p>
        </w:tc>
      </w:tr>
      <w:tr>
        <w:trPr/>
        <w:tc>
          <w:tcPr>
            <w:tcW w:w="193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101.INS†††</w:t>
            </w:r>
          </w:p>
        </w:tc>
        <w:tc>
          <w:tcPr>
            <w:tcW w:w="82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193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101.SCH†††</w:t>
            </w:r>
          </w:p>
        </w:tc>
        <w:tc>
          <w:tcPr>
            <w:tcW w:w="82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193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101.CAL†††</w:t>
            </w:r>
          </w:p>
        </w:tc>
        <w:tc>
          <w:tcPr>
            <w:tcW w:w="82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193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101.LAB†††</w:t>
            </w:r>
          </w:p>
        </w:tc>
        <w:tc>
          <w:tcPr>
            <w:tcW w:w="82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193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101.DEF†††</w:t>
            </w:r>
          </w:p>
        </w:tc>
        <w:tc>
          <w:tcPr>
            <w:tcW w:w="82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193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101.PRE†††</w:t>
            </w:r>
          </w:p>
        </w:tc>
        <w:tc>
          <w:tcPr>
            <w:tcW w:w="8267"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bookmarkStart w:id="12" w:name="sB7A114D3E861B15E56157F24AD12C94C"/>
      <w:bookmarkStart w:id="13" w:name="a231consentupdatedforduald.htm"/>
      <w:bookmarkStart w:id="14" w:name="ksa231consentupdatedforduald"/>
      <w:bookmarkStart w:id="15" w:name="sB7A114D3E861B15E56157F24AD12C94C"/>
      <w:bookmarkStart w:id="16" w:name="a231consentupdatedforduald.htm"/>
      <w:bookmarkStart w:id="17" w:name="ksa231consentupdatedforduald"/>
      <w:bookmarkEnd w:id="15"/>
      <w:bookmarkEnd w:id="16"/>
      <w:bookmarkEnd w:id="17"/>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18"/>
          <w:u w:val="single"/>
        </w:rPr>
      </w:pPr>
      <w:r>
        <w:rPr>
          <w:rFonts w:ascii="inherit" w:hAnsi="inherit"/>
          <w:b/>
          <w:sz w:val="18"/>
          <w:u w:val="single"/>
        </w:rPr>
        <w:t>Consent of Independent Registered Public Accounting Firm</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8"/>
        </w:rPr>
      </w:pPr>
      <w:r>
        <w:rPr>
          <w:rFonts w:ascii="inherit" w:hAnsi="inherit"/>
          <w:sz w:val="18"/>
        </w:rPr>
        <w:t>EZCORP, Inc.</w:t>
      </w:r>
    </w:p>
    <w:p>
      <w:pPr>
        <w:pStyle w:val="TextBody"/>
        <w:spacing w:lineRule="auto" w:line="288" w:before="0" w:after="0"/>
        <w:jc w:val="both"/>
        <w:rPr>
          <w:rFonts w:ascii="inherit" w:hAnsi="inherit"/>
          <w:sz w:val="18"/>
        </w:rPr>
      </w:pPr>
      <w:r>
        <w:rPr>
          <w:rFonts w:ascii="inherit" w:hAnsi="inherit"/>
          <w:sz w:val="18"/>
        </w:rPr>
        <w:t>Austin, Texas</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sz w:val="18"/>
        </w:rPr>
      </w:pPr>
      <w:r>
        <w:rPr>
          <w:rFonts w:ascii="inherit" w:hAnsi="inherit"/>
          <w:sz w:val="18"/>
        </w:rPr>
        <w:t>We hereby consent to the incorporation by reference in the Registration Statement (Form S-8 No. 33-63078) pertaining to the EZCORP, Inc. 401(k) Plan, the Registration Statement (Form S-8 No. 333-108847) pertaining to the 1998 EZCORP, Inc. Stock Incentive Plan, the Registration Statement (Form S-8 No. 333-122116) pertaining to the EZCORP, Inc. 2003 Incentive Plan, the Registration Statement (Form S-8 No. 333-140492) pertaining to the EZCORP, Inc. 2006 Incentive Plan, the Registration Statement (Form S-8 No. 333-166950) pertaining to the EZCORP, Inc. 2010 Incentive Plan, the Registration Statement (Form S-3 No. 333-155394), the Registration Statement (Form S-4 No. 333-170972) and the Registration Statement (Form S-3ASR No. 179379) of our report dated November 20, 2012, Notes 1, 2, 4, 6, 7, 12, 14, 18, 19 and 23, which are as of October 3, 2013</w:t>
      </w:r>
      <w:r>
        <w:rPr>
          <w:sz w:val="18"/>
        </w:rPr>
        <w:t xml:space="preserve"> </w:t>
      </w:r>
      <w:r>
        <w:rPr>
          <w:rFonts w:ascii="inherit" w:hAnsi="inherit"/>
          <w:sz w:val="18"/>
        </w:rPr>
        <w:t>relating to the consolidated financial statements of EZCORP and our report dated November 20, 2012 relating to the effectiveness of EZCORP’s internal control over financial reporting which appear in this Form 8-K for the year ended September 30, 2012.</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8"/>
        </w:rPr>
      </w:pPr>
      <w:r>
        <w:rPr>
          <w:rFonts w:ascii="inherit" w:hAnsi="inherit"/>
          <w:sz w:val="18"/>
        </w:rPr>
        <w:t>BDO USA, LLP</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8"/>
        </w:rPr>
      </w:pPr>
      <w:r>
        <w:rPr>
          <w:rFonts w:ascii="inherit" w:hAnsi="inherit"/>
          <w:sz w:val="18"/>
        </w:rPr>
        <w:t>Dallas, Texas</w:t>
      </w:r>
    </w:p>
    <w:p>
      <w:pPr>
        <w:pStyle w:val="TextBody"/>
        <w:spacing w:lineRule="auto" w:line="288" w:before="0" w:after="0"/>
        <w:jc w:val="both"/>
        <w:rPr>
          <w:sz w:val="18"/>
        </w:rPr>
      </w:pPr>
      <w:r>
        <w:rPr>
          <w:rFonts w:ascii="inherit" w:hAnsi="inherit"/>
          <w:sz w:val="18"/>
        </w:rPr>
        <w:t>October 3, 2013</w:t>
      </w:r>
      <w:r>
        <w:rPr>
          <w:sz w:val="18"/>
        </w:rPr>
        <w:t xml:space="preserve"> </w:t>
      </w:r>
    </w:p>
    <w:p>
      <w:pPr>
        <w:pStyle w:val="TextBody"/>
        <w:spacing w:lineRule="auto" w:line="288" w:before="0" w:after="0"/>
        <w:jc w:val="center"/>
        <w:rPr>
          <w:rFonts w:ascii="inherit" w:hAnsi="inherit"/>
          <w:sz w:val="18"/>
        </w:rPr>
      </w:pPr>
      <w:r>
        <w:rPr>
          <w:rFonts w:ascii="inherit" w:hAnsi="inherit"/>
          <w:sz w:val="18"/>
        </w:rPr>
      </w:r>
    </w:p>
    <w:p>
      <w:pPr>
        <w:pStyle w:val="TextBody"/>
        <w:spacing w:before="0" w:after="0"/>
        <w:rPr/>
      </w:pPr>
      <w:r>
        <w:rPr/>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rPr/>
      </w:pPr>
      <w:hyperlink w:anchor="s149FCBE28F3900CCBC1E0F13F39FAE0B">
        <w:bookmarkStart w:id="18" w:name="sE40BB93F8B589AEC76F50F13F3F2C16D"/>
        <w:bookmarkStart w:id="19" w:name="ezpw_201210kexhibit.htm"/>
        <w:bookmarkStart w:id="20" w:name="ksezpw_201210kexhibit"/>
        <w:bookmarkEnd w:id="18"/>
        <w:bookmarkEnd w:id="19"/>
        <w:bookmarkEnd w:id="20"/>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1. BUSINESS</w:t>
      </w:r>
    </w:p>
    <w:p>
      <w:pPr>
        <w:pStyle w:val="TextBody"/>
        <w:spacing w:lineRule="auto" w:line="288" w:before="0" w:after="0"/>
        <w:jc w:val="left"/>
        <w:rPr>
          <w:rFonts w:ascii="inherit" w:hAnsi="inherit"/>
          <w:b/>
          <w:sz w:val="17"/>
        </w:rPr>
      </w:pPr>
      <w:bookmarkStart w:id="21" w:name="s9285379728FED6FFC8F90F13C9A4ED06"/>
      <w:bookmarkEnd w:id="21"/>
      <w:r>
        <w:rPr>
          <w:rFonts w:ascii="inherit" w:hAnsi="inherit"/>
          <w:b/>
          <w:sz w:val="17"/>
        </w:rPr>
        <w:t>General</w:t>
      </w:r>
    </w:p>
    <w:p>
      <w:pPr>
        <w:pStyle w:val="TextBody"/>
        <w:spacing w:lineRule="auto" w:line="288" w:before="0" w:after="0"/>
        <w:jc w:val="left"/>
        <w:rPr>
          <w:rFonts w:ascii="inherit" w:hAnsi="inherit"/>
          <w:sz w:val="17"/>
        </w:rPr>
      </w:pPr>
      <w:r>
        <w:rPr>
          <w:rFonts w:ascii="inherit" w:hAnsi="inherit"/>
          <w:sz w:val="17"/>
        </w:rPr>
        <w:t xml:space="preserve">EZCORP, Inc. is a Delaware corporation headquartered in Austin, Texas. We are a leading provider of instant cash solutions, employing approximately 7,200 team members and operating over 1,250 locations and branches across the United States, Mexico, Canada and the United Kingdom, with unconsolidated investments based in the United Kingdom and Australia. </w:t>
      </w:r>
    </w:p>
    <w:p>
      <w:pPr>
        <w:pStyle w:val="TextBody"/>
        <w:spacing w:lineRule="auto" w:line="288" w:before="0" w:after="0"/>
        <w:jc w:val="left"/>
        <w:rPr>
          <w:rFonts w:ascii="inherit" w:hAnsi="inherit"/>
          <w:sz w:val="17"/>
        </w:rPr>
      </w:pPr>
      <w:r>
        <w:rPr>
          <w:rFonts w:ascii="inherit" w:hAnsi="inherit"/>
          <w:sz w:val="17"/>
        </w:rPr>
        <w:t xml:space="preserve">We provide a variety of instant cash solutions, including collateralized, non-recourse loans, commonly known as pawn loans, and a variety of short-term consumer loans, including single-payment and multiple-payment unsecured loans and single-payment and multiple-payment auto title loans. In Texas, we provide fee-based credit services to consumers seeking loans. At our pawn and buy/sell stores, we sell merchandise, primarily collateral forfeited from pawn lending operations and second-hand merchandise purchased from customers. We also offer prepaid debit card services to help customers better manage their money and control their spending. </w:t>
      </w:r>
    </w:p>
    <w:p>
      <w:pPr>
        <w:pStyle w:val="TextBody"/>
        <w:spacing w:lineRule="auto" w:line="288" w:before="0" w:after="0"/>
        <w:jc w:val="left"/>
        <w:rPr>
          <w:rFonts w:ascii="inherit" w:hAnsi="inherit"/>
          <w:sz w:val="17"/>
        </w:rPr>
      </w:pPr>
      <w:r>
        <w:rPr>
          <w:rFonts w:ascii="inherit" w:hAnsi="inherit"/>
          <w:sz w:val="17"/>
        </w:rPr>
        <w:t xml:space="preserve">During the second quarter of fiscal 2012, we entered into the unsecured lending market in Mexico with the acquisition of a 60% interest in Prestaciones Finmart, S.A.de C.V., SOFOM, E.N.R. ("Crediamigo"), a leading payroll withholding lender headquartered in Mexico City. As of September 30, 2012, Crediamigo had approximately 100 payroll withholding master agreements with Mexican employers, primarily federal, state and local governments and agencies, and provided consumer loans to the agencies' employees. In addition, during the third quarter of fiscal 2012, we acquired 72% of Ariste Holding Limited and its affiliates ("Cash Genie"), which offers short-term consumer loans online in the United Kingdom. Subsequent to the end of fiscal 2012, we increased our ownership interest in Cash Genie to 95%. </w:t>
      </w:r>
    </w:p>
    <w:p>
      <w:pPr>
        <w:pStyle w:val="TextBody"/>
        <w:spacing w:lineRule="auto" w:line="288" w:before="0" w:after="0"/>
        <w:jc w:val="left"/>
        <w:rPr>
          <w:sz w:val="17"/>
        </w:rPr>
      </w:pPr>
      <w:r>
        <w:rPr>
          <w:rFonts w:ascii="inherit" w:hAnsi="inherit"/>
          <w:sz w:val="17"/>
        </w:rPr>
        <w:t xml:space="preserve">At September 30, 2012, we operated a total of 1,262 locations, consisting of 470 U.S. pawn stores (operating primarily as EZPAWN or Value Pawn), seven U.S. buy/sell stores (operating as Cash Converters), 230 pawn stores in Mexico (operating as Empeño Fácil or Empeñe Su Oro), 442 U.S. financial services stores (operating primarily as EZMONEY), 33 financial services stores in Canada (operating as CASHMAX), 35 buy/sell and financial services stores in Canada (operating as Cash Converters) and 45 financial services branches in Mexico (operating as Crediamigo). We own approximately 30% of Albemarle &amp; Bond Holdings, PLC, one of the United Kingdom's largest pawnbroking businesses with approximately 230 stores, and approximately 33% of Cash Converters International Limited, which is based in Australia and franchises and operates a worldwide network of approximately 700 locations that provide financial services and buy and sell second-hand goods. We also own the Cash Converters master franchise rights in Canada and are the franchisor of 10 stores there. During the third quarter of fiscal 2013, our Board of Directors approved a plan to close 107 legacy stores (102 of which were in operation at </w:t>
      </w:r>
      <w:r>
        <w:rPr>
          <w:rFonts w:ascii="inherit" w:hAnsi="inherit"/>
          <w:strike w:val="false"/>
          <w:dstrike w:val="false"/>
          <w:color w:val="000000"/>
          <w:sz w:val="17"/>
          <w:u w:val="none"/>
          <w:effect w:val="none"/>
        </w:rPr>
        <w:t>September 30, 2012</w:t>
      </w:r>
      <w:r>
        <w:rPr>
          <w:rFonts w:ascii="inherit" w:hAnsi="inherit"/>
          <w:sz w:val="17"/>
        </w:rPr>
        <w:t xml:space="preserve">) in a variety of locations. These stores are generally older, smaller stores that do not fit our future growth profile (See Note 2, "Discontinued Operations," to our consolidated financial statements contained in “Part II — Item 8 — Financial Statements and Supplementary Data” for further details). Our consolidated financial statements reflect the reclassification of these discontinued operations for all periods presented. </w:t>
      </w:r>
    </w:p>
    <w:p>
      <w:pPr>
        <w:pStyle w:val="TextBody"/>
        <w:spacing w:lineRule="auto" w:line="288" w:before="0" w:after="0"/>
        <w:jc w:val="left"/>
        <w:rPr>
          <w:rFonts w:ascii="inherit" w:hAnsi="inherit"/>
          <w:sz w:val="17"/>
        </w:rPr>
      </w:pPr>
      <w:r>
        <w:rPr>
          <w:rFonts w:ascii="inherit" w:hAnsi="inherit"/>
          <w:sz w:val="17"/>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and new or refurbished merchandise from third party vendors. In our Cash Converters stores, we also buy and sell second-hand goods. At our financial services stores and at some of our pawn stores, we offer a variety of consumer loan products, including single-payment, unsecured loans with maturity dates typically ranging from 7 to 30 days; multiple-payment unsecured loans that may be repaid over extended periods of up to seven months; single-payment 30-day loans secured by automobile titles; multiple-payment auto title loans that carry terms of two to five months; and revolving lines of credit, both unsecured and secured by automobile titles. In Texas, our financial services stores and our pawn stores that also offer financial services do not offer loan products themselves, but rather offer credit services to help customers obtain loans from independent third-party lenders. We also offer prepaid debit cards in all of our U.S. stores.</w:t>
      </w:r>
    </w:p>
    <w:p>
      <w:pPr>
        <w:pStyle w:val="TextBody"/>
        <w:spacing w:lineRule="auto" w:line="288" w:before="0" w:after="0"/>
        <w:jc w:val="left"/>
        <w:rPr>
          <w:rFonts w:ascii="inherit" w:hAnsi="inherit"/>
          <w:sz w:val="17"/>
        </w:rPr>
      </w:pPr>
      <w:r>
        <w:rPr>
          <w:rFonts w:ascii="inherit" w:hAnsi="inherit"/>
          <w:sz w:val="17"/>
        </w:rPr>
        <w:t>Beginning with the second quarter of fiscal 2012, we redefined our reportable operating segments based on geography. Because our company is organized and managed along geographic lines, with product offerings and channels based on local custom and regulation, we concluded that segment reporting based on geography more closely aligns with our management organization and strategic direction.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For periods ending after January 1, 2012, we report segments as follows:</w:t>
      </w:r>
    </w:p>
    <w:tbl>
      <w:tblPr>
        <w:tblW w:w="6460" w:type="dxa"/>
        <w:jc w:val="left"/>
        <w:tblInd w:w="0" w:type="dxa"/>
        <w:tblCellMar>
          <w:top w:w="0" w:type="dxa"/>
          <w:left w:w="0" w:type="dxa"/>
          <w:bottom w:w="0" w:type="dxa"/>
          <w:right w:w="0" w:type="dxa"/>
        </w:tblCellMar>
      </w:tblPr>
      <w:tblGrid>
        <w:gridCol w:w="485"/>
        <w:gridCol w:w="5975"/>
      </w:tblGrid>
      <w:tr>
        <w:trPr/>
        <w:tc>
          <w:tcPr>
            <w:tcW w:w="485" w:type="dxa"/>
            <w:tcBorders/>
            <w:shd w:fill="auto" w:val="clear"/>
            <w:vAlign w:val="center"/>
          </w:tcPr>
          <w:p>
            <w:pPr>
              <w:pStyle w:val="TableContents"/>
              <w:spacing w:before="0" w:after="283"/>
              <w:rPr>
                <w:sz w:val="4"/>
                <w:szCs w:val="4"/>
              </w:rPr>
            </w:pPr>
            <w:r>
              <w:rPr>
                <w:sz w:val="4"/>
                <w:szCs w:val="4"/>
              </w:rPr>
            </w:r>
          </w:p>
        </w:tc>
        <w:tc>
          <w:tcPr>
            <w:tcW w:w="59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U.S. &amp; Canada — All business activities in the United States and Canada</w:t>
            </w:r>
          </w:p>
        </w:tc>
      </w:tr>
    </w:tbl>
    <w:tbl>
      <w:tblPr>
        <w:tblW w:w="7285" w:type="dxa"/>
        <w:jc w:val="left"/>
        <w:tblInd w:w="0" w:type="dxa"/>
        <w:tblCellMar>
          <w:top w:w="0" w:type="dxa"/>
          <w:left w:w="0" w:type="dxa"/>
          <w:bottom w:w="0" w:type="dxa"/>
          <w:right w:w="0" w:type="dxa"/>
        </w:tblCellMar>
      </w:tblPr>
      <w:tblGrid>
        <w:gridCol w:w="485"/>
        <w:gridCol w:w="6800"/>
      </w:tblGrid>
      <w:tr>
        <w:trPr/>
        <w:tc>
          <w:tcPr>
            <w:tcW w:w="485" w:type="dxa"/>
            <w:tcBorders/>
            <w:shd w:fill="auto" w:val="clear"/>
            <w:vAlign w:val="center"/>
          </w:tcPr>
          <w:p>
            <w:pPr>
              <w:pStyle w:val="TableContents"/>
              <w:spacing w:before="0" w:after="283"/>
              <w:rPr>
                <w:sz w:val="4"/>
                <w:szCs w:val="4"/>
              </w:rPr>
            </w:pPr>
            <w:r>
              <w:rPr>
                <w:sz w:val="4"/>
                <w:szCs w:val="4"/>
              </w:rPr>
            </w:r>
          </w:p>
        </w:tc>
        <w:tc>
          <w:tcPr>
            <w:tcW w:w="68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8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Latin America — All business activities in Mexico and other parts of Latin America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Other International — All business activities in the rest of the world (currently consisting of consumer loans online in the U.K. and our equity interests in the net income of Albemarle &amp; Bond and Cash Converters International)</w:t>
            </w:r>
          </w:p>
        </w:tc>
      </w:tr>
    </w:tbl>
    <w:p>
      <w:pPr>
        <w:pStyle w:val="TextBody"/>
        <w:spacing w:lineRule="auto" w:line="288" w:before="0" w:after="0"/>
        <w:jc w:val="left"/>
        <w:rPr>
          <w:rFonts w:ascii="inherit" w:hAnsi="inherit"/>
          <w:sz w:val="17"/>
        </w:rPr>
      </w:pPr>
      <w:r>
        <w:rPr>
          <w:rFonts w:ascii="inherit" w:hAnsi="inherit"/>
          <w:sz w:val="17"/>
        </w:rPr>
        <w:t>Concurrent with the change in reportable operating segments, we revised our prior period financial information to reflect comparable financial information for the new segment structure. For revenues, profitability, assets and other information attributable to each of our segments, see Note 19, “Operating Segment Information,” to our consolidated financial statements contained in “Part II — Item 8 — Financial Statements and Supplementary Data.”</w:t>
      </w:r>
    </w:p>
    <w:p>
      <w:pPr>
        <w:pStyle w:val="TextBody"/>
        <w:spacing w:lineRule="auto" w:line="288" w:before="0" w:after="0"/>
        <w:jc w:val="left"/>
        <w:rPr>
          <w:rFonts w:ascii="inherit" w:hAnsi="inherit"/>
          <w:sz w:val="17"/>
        </w:rPr>
      </w:pPr>
      <w:r>
        <w:rPr>
          <w:rFonts w:ascii="inherit" w:hAnsi="inherit"/>
          <w:sz w:val="17"/>
        </w:rPr>
        <w:t>The following table presents store data by segment:</w:t>
      </w:r>
    </w:p>
    <w:tbl>
      <w:tblPr>
        <w:tblW w:w="10205" w:type="dxa"/>
        <w:jc w:val="left"/>
        <w:tblInd w:w="0" w:type="dxa"/>
        <w:tblCellMar>
          <w:top w:w="0" w:type="dxa"/>
          <w:left w:w="0" w:type="dxa"/>
          <w:bottom w:w="0" w:type="dxa"/>
          <w:right w:w="0" w:type="dxa"/>
        </w:tblCellMar>
      </w:tblPr>
      <w:tblGrid>
        <w:gridCol w:w="3100"/>
        <w:gridCol w:w="1021"/>
        <w:gridCol w:w="220"/>
        <w:gridCol w:w="130"/>
        <w:gridCol w:w="942"/>
        <w:gridCol w:w="193"/>
        <w:gridCol w:w="130"/>
        <w:gridCol w:w="1299"/>
        <w:gridCol w:w="142"/>
        <w:gridCol w:w="130"/>
        <w:gridCol w:w="1238"/>
        <w:gridCol w:w="216"/>
        <w:gridCol w:w="130"/>
        <w:gridCol w:w="872"/>
        <w:gridCol w:w="442"/>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3100"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00" w:type="dxa"/>
            <w:tcBorders/>
            <w:shd w:fill="auto" w:val="clear"/>
            <w:vAlign w:val="center"/>
          </w:tcPr>
          <w:p>
            <w:pPr>
              <w:pStyle w:val="TableContents"/>
              <w:spacing w:before="0" w:after="0"/>
              <w:ind w:left="0" w:right="0" w:firstLine="30"/>
              <w:jc w:val="left"/>
              <w:rPr/>
            </w:pPr>
            <w:r>
              <w:rPr/>
              <w:t> </w:t>
            </w:r>
          </w:p>
        </w:tc>
        <w:tc>
          <w:tcPr>
            <w:tcW w:w="710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2012</w:t>
            </w:r>
          </w:p>
        </w:tc>
      </w:tr>
      <w:tr>
        <w:trPr/>
        <w:tc>
          <w:tcPr>
            <w:tcW w:w="3100" w:type="dxa"/>
            <w:tcBorders/>
            <w:shd w:fill="auto" w:val="clear"/>
            <w:vAlign w:val="center"/>
          </w:tcPr>
          <w:p>
            <w:pPr>
              <w:pStyle w:val="TableContents"/>
              <w:spacing w:before="0" w:after="0"/>
              <w:ind w:left="0" w:right="0" w:firstLine="30"/>
              <w:jc w:val="left"/>
              <w:rPr/>
            </w:pPr>
            <w:r>
              <w:rPr/>
              <w:t> </w:t>
            </w:r>
          </w:p>
        </w:tc>
        <w:tc>
          <w:tcPr>
            <w:tcW w:w="566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ind w:left="0" w:right="0" w:firstLine="30"/>
              <w:jc w:val="left"/>
              <w:rPr/>
            </w:pPr>
            <w:r>
              <w:rPr/>
              <w:t> </w:t>
            </w:r>
          </w:p>
        </w:tc>
      </w:tr>
      <w:tr>
        <w:trPr/>
        <w:tc>
          <w:tcPr>
            <w:tcW w:w="3100" w:type="dxa"/>
            <w:tcBorders/>
            <w:shd w:fill="auto" w:val="clear"/>
            <w:vAlign w:val="center"/>
          </w:tcPr>
          <w:p>
            <w:pPr>
              <w:pStyle w:val="TableContents"/>
              <w:spacing w:before="0" w:after="0"/>
              <w:ind w:left="0" w:right="0" w:firstLine="30"/>
              <w:jc w:val="left"/>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0" w:type="dxa"/>
            <w:tcBorders/>
            <w:shd w:fill="auto" w:val="clear"/>
            <w:vAlign w:val="center"/>
          </w:tcPr>
          <w:p>
            <w:pPr>
              <w:pStyle w:val="TableContents"/>
              <w:spacing w:before="0" w:after="0"/>
              <w:ind w:left="0" w:right="0" w:firstLine="30"/>
              <w:rPr/>
            </w:pPr>
            <w:r>
              <w:rPr/>
              <w:t> </w:t>
            </w:r>
          </w:p>
        </w:tc>
        <w:tc>
          <w:tcPr>
            <w:tcW w:w="113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0" w:type="dxa"/>
            <w:tcBorders/>
            <w:shd w:fill="auto" w:val="clear"/>
            <w:vAlign w:val="center"/>
          </w:tcPr>
          <w:p>
            <w:pPr>
              <w:pStyle w:val="TableContents"/>
              <w:spacing w:before="0" w:after="0"/>
              <w:ind w:left="0" w:right="0" w:firstLine="30"/>
              <w:rPr/>
            </w:pPr>
            <w:r>
              <w:rPr/>
              <w:t> </w:t>
            </w:r>
          </w:p>
        </w:tc>
        <w:tc>
          <w:tcPr>
            <w:tcW w:w="144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0" w:type="dxa"/>
            <w:tcBorders/>
            <w:shd w:fill="auto" w:val="clear"/>
            <w:vAlign w:val="center"/>
          </w:tcPr>
          <w:p>
            <w:pPr>
              <w:pStyle w:val="TableContents"/>
              <w:spacing w:before="0" w:after="0"/>
              <w:ind w:left="0" w:right="0" w:firstLine="30"/>
              <w:rPr/>
            </w:pPr>
            <w:r>
              <w:rPr/>
              <w:t> </w:t>
            </w:r>
          </w:p>
        </w:tc>
        <w:tc>
          <w:tcPr>
            <w:tcW w:w="145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1"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441"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454"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ind w:left="0" w:right="0" w:firstLine="180"/>
              <w:jc w:val="left"/>
              <w:rPr/>
            </w:pPr>
            <w:r>
              <w:rPr/>
              <w:t> </w:t>
            </w:r>
          </w:p>
        </w:tc>
      </w:tr>
      <w:tr>
        <w:trPr/>
        <w:tc>
          <w:tcPr>
            <w:tcW w:w="3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933</w:t>
            </w:r>
          </w:p>
        </w:tc>
        <w:tc>
          <w:tcPr>
            <w:tcW w:w="2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942" w:type="dxa"/>
            <w:tcBorders/>
            <w:shd w:fill="auto" w:val="clear"/>
            <w:vAlign w:val="center"/>
          </w:tcPr>
          <w:p>
            <w:pPr>
              <w:pStyle w:val="TableContents"/>
              <w:spacing w:before="0" w:after="0"/>
              <w:jc w:val="right"/>
              <w:rPr>
                <w:rFonts w:ascii="inherit" w:hAnsi="inherit"/>
                <w:sz w:val="17"/>
              </w:rPr>
            </w:pPr>
            <w:r>
              <w:rPr>
                <w:rFonts w:ascii="inherit" w:hAnsi="inherit"/>
                <w:sz w:val="17"/>
              </w:rPr>
              <w:t>178</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9" w:type="dxa"/>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38" w:type="dxa"/>
            <w:tcBorders/>
            <w:shd w:fill="auto" w:val="clear"/>
            <w:vAlign w:val="center"/>
          </w:tcPr>
          <w:p>
            <w:pPr>
              <w:pStyle w:val="TableContents"/>
              <w:spacing w:before="0" w:after="0"/>
              <w:jc w:val="right"/>
              <w:rPr>
                <w:rFonts w:ascii="inherit" w:hAnsi="inherit"/>
                <w:sz w:val="17"/>
              </w:rPr>
            </w:pPr>
            <w:r>
              <w:rPr>
                <w:rFonts w:ascii="inherit" w:hAnsi="inherit"/>
                <w:sz w:val="17"/>
              </w:rPr>
              <w:t>1,111</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72"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4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De novo</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2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942" w:type="dxa"/>
            <w:tcBorders/>
            <w:shd w:fill="CCEEFF" w:val="clear"/>
            <w:vAlign w:val="center"/>
          </w:tcPr>
          <w:p>
            <w:pPr>
              <w:pStyle w:val="TableContents"/>
              <w:spacing w:before="0" w:after="0"/>
              <w:jc w:val="right"/>
              <w:rPr>
                <w:rFonts w:ascii="inherit" w:hAnsi="inherit"/>
                <w:sz w:val="17"/>
              </w:rPr>
            </w:pPr>
            <w:r>
              <w:rPr>
                <w:rFonts w:ascii="inherit" w:hAnsi="inherit"/>
                <w:sz w:val="17"/>
              </w:rPr>
              <w:t>54</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9"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38" w:type="dxa"/>
            <w:tcBorders/>
            <w:shd w:fill="CCEEFF" w:val="clear"/>
            <w:vAlign w:val="center"/>
          </w:tcPr>
          <w:p>
            <w:pPr>
              <w:pStyle w:val="TableContents"/>
              <w:spacing w:before="0" w:after="0"/>
              <w:jc w:val="right"/>
              <w:rPr>
                <w:rFonts w:ascii="inherit" w:hAnsi="inherit"/>
                <w:sz w:val="17"/>
              </w:rPr>
            </w:pPr>
            <w:r>
              <w:rPr>
                <w:rFonts w:ascii="inherit" w:hAnsi="inherit"/>
                <w:sz w:val="17"/>
              </w:rPr>
              <w:t>71</w:t>
            </w:r>
          </w:p>
        </w:tc>
        <w:tc>
          <w:tcPr>
            <w:tcW w:w="2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72" w:type="dxa"/>
            <w:tcBorders/>
            <w:shd w:fill="CCEEFF" w:val="clear"/>
            <w:vAlign w:val="center"/>
          </w:tcPr>
          <w:p>
            <w:pPr>
              <w:pStyle w:val="TableContents"/>
              <w:spacing w:before="0" w:after="0"/>
              <w:jc w:val="right"/>
              <w:rPr/>
            </w:pPr>
            <w:r>
              <w:rPr/>
              <w:t>—</w:t>
            </w:r>
          </w:p>
        </w:tc>
        <w:tc>
          <w:tcPr>
            <w:tcW w:w="4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2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942"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9" w:type="dxa"/>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38" w:type="dxa"/>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72" w:type="dxa"/>
            <w:tcBorders/>
            <w:shd w:fill="auto" w:val="clear"/>
            <w:vAlign w:val="center"/>
          </w:tcPr>
          <w:p>
            <w:pPr>
              <w:pStyle w:val="TableContents"/>
              <w:spacing w:before="0" w:after="0"/>
              <w:jc w:val="right"/>
              <w:rPr/>
            </w:pPr>
            <w:r>
              <w:rPr/>
              <w:t>—</w:t>
            </w:r>
          </w:p>
        </w:tc>
        <w:tc>
          <w:tcPr>
            <w:tcW w:w="4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942"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299"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38" w:type="dxa"/>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872" w:type="dxa"/>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4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987</w:t>
            </w:r>
          </w:p>
        </w:tc>
        <w:tc>
          <w:tcPr>
            <w:tcW w:w="22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9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275</w:t>
            </w:r>
          </w:p>
        </w:tc>
        <w:tc>
          <w:tcPr>
            <w:tcW w:w="1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1,262</w:t>
            </w:r>
          </w:p>
        </w:tc>
        <w:tc>
          <w:tcPr>
            <w:tcW w:w="21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4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Discontinued operations</w:t>
            </w:r>
          </w:p>
        </w:tc>
        <w:tc>
          <w:tcPr>
            <w:tcW w:w="1021"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220"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942"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193"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9"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38" w:type="dxa"/>
            <w:tcBorders/>
            <w:shd w:fill="CCEEFF" w:val="clear"/>
            <w:vAlign w:val="center"/>
          </w:tcPr>
          <w:p>
            <w:pPr>
              <w:pStyle w:val="TableContents"/>
              <w:spacing w:before="0" w:after="0"/>
              <w:jc w:val="right"/>
              <w:rPr>
                <w:rFonts w:ascii="inherit" w:hAnsi="inherit"/>
                <w:sz w:val="17"/>
              </w:rPr>
            </w:pPr>
            <w:r>
              <w:rPr>
                <w:rFonts w:ascii="inherit" w:hAnsi="inherit"/>
                <w:sz w:val="17"/>
              </w:rPr>
              <w:t>102</w:t>
            </w:r>
          </w:p>
        </w:tc>
        <w:tc>
          <w:tcPr>
            <w:tcW w:w="2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7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Stores in continuing operations</w:t>
            </w:r>
          </w:p>
        </w:tc>
        <w:tc>
          <w:tcPr>
            <w:tcW w:w="10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942</w:t>
            </w:r>
          </w:p>
        </w:tc>
        <w:tc>
          <w:tcPr>
            <w:tcW w:w="22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9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218</w:t>
            </w:r>
          </w:p>
        </w:tc>
        <w:tc>
          <w:tcPr>
            <w:tcW w:w="1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1,160</w:t>
            </w:r>
          </w:p>
        </w:tc>
        <w:tc>
          <w:tcPr>
            <w:tcW w:w="21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4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following components comprised our total revenues for each of the last three fiscal years:</w:t>
      </w:r>
    </w:p>
    <w:tbl>
      <w:tblPr>
        <w:tblW w:w="10205" w:type="dxa"/>
        <w:jc w:val="left"/>
        <w:tblInd w:w="0" w:type="dxa"/>
        <w:tblCellMar>
          <w:top w:w="0" w:type="dxa"/>
          <w:left w:w="0" w:type="dxa"/>
          <w:bottom w:w="0" w:type="dxa"/>
          <w:right w:w="0" w:type="dxa"/>
        </w:tblCellMar>
      </w:tblPr>
      <w:tblGrid>
        <w:gridCol w:w="5898"/>
        <w:gridCol w:w="1043"/>
        <w:gridCol w:w="244"/>
        <w:gridCol w:w="151"/>
        <w:gridCol w:w="1043"/>
        <w:gridCol w:w="244"/>
        <w:gridCol w:w="151"/>
        <w:gridCol w:w="1043"/>
        <w:gridCol w:w="388"/>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898"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98" w:type="dxa"/>
            <w:tcBorders/>
            <w:shd w:fill="auto" w:val="clear"/>
            <w:vAlign w:val="center"/>
          </w:tcPr>
          <w:p>
            <w:pPr>
              <w:pStyle w:val="TableContents"/>
              <w:spacing w:before="0" w:after="0"/>
              <w:ind w:left="0" w:right="0" w:firstLine="30"/>
              <w:jc w:val="left"/>
              <w:rPr/>
            </w:pPr>
            <w:r>
              <w:rPr/>
              <w:t> </w:t>
            </w:r>
          </w:p>
        </w:tc>
        <w:tc>
          <w:tcPr>
            <w:tcW w:w="4307"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98" w:type="dxa"/>
            <w:tcBorders/>
            <w:shd w:fill="auto" w:val="clear"/>
            <w:vAlign w:val="center"/>
          </w:tcPr>
          <w:p>
            <w:pPr>
              <w:pStyle w:val="TableContents"/>
              <w:spacing w:before="0" w:after="0"/>
              <w:ind w:left="0" w:right="0" w:firstLine="30"/>
              <w:jc w:val="left"/>
              <w:rPr/>
            </w:pPr>
            <w:r>
              <w:rPr/>
              <w:t> </w:t>
            </w:r>
          </w:p>
        </w:tc>
        <w:tc>
          <w:tcPr>
            <w:tcW w:w="128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1" w:type="dxa"/>
            <w:tcBorders/>
            <w:shd w:fill="auto" w:val="clear"/>
            <w:vAlign w:val="center"/>
          </w:tcPr>
          <w:p>
            <w:pPr>
              <w:pStyle w:val="TableContents"/>
              <w:spacing w:before="0" w:after="0"/>
              <w:ind w:left="0" w:right="0" w:firstLine="30"/>
              <w:rPr/>
            </w:pPr>
            <w:r>
              <w:rPr/>
              <w:t> </w:t>
            </w:r>
          </w:p>
        </w:tc>
        <w:tc>
          <w:tcPr>
            <w:tcW w:w="128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51" w:type="dxa"/>
            <w:tcBorders/>
            <w:shd w:fill="auto" w:val="clear"/>
            <w:vAlign w:val="center"/>
          </w:tcPr>
          <w:p>
            <w:pPr>
              <w:pStyle w:val="TableContents"/>
              <w:spacing w:before="0" w:after="0"/>
              <w:ind w:left="0" w:right="0" w:firstLine="30"/>
              <w:rPr/>
            </w:pPr>
            <w:r>
              <w:rPr/>
              <w:t> </w:t>
            </w:r>
          </w:p>
        </w:tc>
        <w:tc>
          <w:tcPr>
            <w:tcW w:w="143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0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33</w:t>
            </w:r>
          </w:p>
        </w:tc>
        <w:tc>
          <w:tcPr>
            <w:tcW w:w="2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w:t>
            </w:r>
          </w:p>
        </w:tc>
        <w:tc>
          <w:tcPr>
            <w:tcW w:w="2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33</w:t>
            </w:r>
          </w:p>
        </w:tc>
        <w:tc>
          <w:tcPr>
            <w:tcW w:w="38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89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Consumer loan (including credit service) fees</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89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revenues</w:t>
            </w:r>
          </w:p>
        </w:tc>
        <w:tc>
          <w:tcPr>
            <w:tcW w:w="104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4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4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88" w:type="dxa"/>
            <w:tcBorders>
              <w:bottom w:val="single" w:sz="2" w:space="0" w:color="000000"/>
            </w:tcBorders>
            <w:shd w:fill="CCEEFF"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3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b/>
          <w:sz w:val="17"/>
        </w:rPr>
      </w:pPr>
      <w:bookmarkStart w:id="22" w:name="s4A067B032095B2A1944B0F13D7A9B8A7"/>
      <w:bookmarkEnd w:id="22"/>
      <w:r>
        <w:rPr>
          <w:rFonts w:ascii="inherit" w:hAnsi="inherit"/>
          <w:b/>
          <w:sz w:val="17"/>
        </w:rPr>
        <w:t>Pawn and Retail Activities</w:t>
      </w:r>
    </w:p>
    <w:p>
      <w:pPr>
        <w:pStyle w:val="TextBody"/>
        <w:spacing w:lineRule="auto" w:line="288" w:before="0" w:after="0"/>
        <w:jc w:val="left"/>
        <w:rPr>
          <w:sz w:val="17"/>
        </w:rPr>
      </w:pPr>
      <w:r>
        <w:rPr>
          <w:rFonts w:ascii="inherit" w:hAnsi="inherit"/>
          <w:sz w:val="17"/>
        </w:rPr>
        <w:t xml:space="preserve">At our pawn stores, we make pawn loans, which are typically small, non-recourse loans collateralized by tangible personal property. At </w:t>
      </w:r>
      <w:r>
        <w:rPr>
          <w:rFonts w:ascii="inherit" w:hAnsi="inherit"/>
          <w:strike w:val="false"/>
          <w:dstrike w:val="false"/>
          <w:color w:val="000000"/>
          <w:sz w:val="17"/>
          <w:u w:val="none"/>
          <w:effect w:val="none"/>
        </w:rPr>
        <w:t>September 30, 2012</w:t>
      </w:r>
      <w:r>
        <w:rPr>
          <w:rFonts w:ascii="inherit" w:hAnsi="inherit"/>
          <w:sz w:val="17"/>
        </w:rPr>
        <w:t xml:space="preserve">, we had an aggregate pawn loan principal balance of </w:t>
      </w:r>
      <w:r>
        <w:rPr>
          <w:rFonts w:ascii="inherit" w:hAnsi="inherit"/>
          <w:strike w:val="false"/>
          <w:dstrike w:val="false"/>
          <w:color w:val="000000"/>
          <w:sz w:val="17"/>
          <w:u w:val="none"/>
          <w:effect w:val="none"/>
        </w:rPr>
        <w:t>$157.6 million</w:t>
      </w:r>
      <w:r>
        <w:rPr>
          <w:rFonts w:ascii="inherit" w:hAnsi="inherit"/>
          <w:sz w:val="17"/>
        </w:rPr>
        <w:t xml:space="preserve">, and the average pawn loan was approximately $125. We earn pawn service charge revenue on our pawn lending. In fiscal 2012, pawn service charges accounted for approximately </w:t>
      </w:r>
      <w:r>
        <w:rPr>
          <w:rFonts w:ascii="inherit" w:hAnsi="inherit"/>
          <w:strike w:val="false"/>
          <w:dstrike w:val="false"/>
          <w:color w:val="000000"/>
          <w:sz w:val="17"/>
          <w:u w:val="none"/>
          <w:effect w:val="none"/>
        </w:rPr>
        <w:t>24%</w:t>
      </w:r>
      <w:r>
        <w:rPr>
          <w:sz w:val="17"/>
        </w:rPr>
        <w:t xml:space="preserve"> </w:t>
      </w:r>
      <w:r>
        <w:rPr>
          <w:rFonts w:ascii="inherit" w:hAnsi="inherit"/>
          <w:sz w:val="17"/>
        </w:rPr>
        <w:t xml:space="preserve">of our total revenues and </w:t>
      </w:r>
      <w:r>
        <w:rPr>
          <w:rFonts w:ascii="inherit" w:hAnsi="inherit"/>
          <w:strike w:val="false"/>
          <w:dstrike w:val="false"/>
          <w:color w:val="000000"/>
          <w:sz w:val="17"/>
          <w:u w:val="none"/>
          <w:effect w:val="none"/>
        </w:rPr>
        <w:t>38%</w:t>
      </w:r>
      <w:r>
        <w:rPr>
          <w:sz w:val="17"/>
        </w:rPr>
        <w:t xml:space="preserve"> </w:t>
      </w:r>
      <w:r>
        <w:rPr>
          <w:rFonts w:ascii="inherit" w:hAnsi="inherit"/>
          <w:sz w:val="17"/>
        </w:rPr>
        <w:t>of our net revenues.</w:t>
      </w:r>
    </w:p>
    <w:p>
      <w:pPr>
        <w:pStyle w:val="TextBody"/>
        <w:spacing w:lineRule="auto" w:line="288" w:before="0" w:after="0"/>
        <w:jc w:val="left"/>
        <w:rPr>
          <w:sz w:val="17"/>
        </w:rPr>
      </w:pPr>
      <w:r>
        <w:rPr>
          <w:rFonts w:ascii="inherit" w:hAnsi="inherit"/>
          <w:sz w:val="17"/>
        </w:rPr>
        <w:t xml:space="preserve">While allowable service charges vary by state and loan size, a majority of our U.S. pawn loans earn 20% per month. Our average U.S. pawn loan amount typically ranges between $130 and $145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$60 U.S. dollars. In fiscal </w:t>
      </w:r>
      <w:r>
        <w:rPr>
          <w:rFonts w:ascii="inherit" w:hAnsi="inherit"/>
          <w:strike w:val="false"/>
          <w:dstrike w:val="false"/>
          <w:color w:val="000000"/>
          <w:sz w:val="17"/>
          <w:u w:val="none"/>
          <w:effect w:val="none"/>
        </w:rPr>
        <w:t>2012</w:t>
      </w:r>
      <w:r>
        <w:rPr>
          <w:rFonts w:ascii="inherit" w:hAnsi="inherit"/>
          <w:sz w:val="17"/>
        </w:rPr>
        <w:t xml:space="preserve">,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rFonts w:ascii="inherit" w:hAnsi="inherit"/>
          <w:sz w:val="17"/>
        </w:rPr>
        <w:t xml:space="preserve">, and on a consolidated basis, approximately </w:t>
      </w:r>
      <w:r>
        <w:rPr>
          <w:rFonts w:ascii="inherit" w:hAnsi="inherit"/>
          <w:strike w:val="false"/>
          <w:dstrike w:val="false"/>
          <w:color w:val="000000"/>
          <w:sz w:val="17"/>
          <w:u w:val="none"/>
          <w:effect w:val="none"/>
        </w:rPr>
        <w:t>82%</w:t>
      </w:r>
      <w:r>
        <w:rPr>
          <w:rFonts w:ascii="inherit" w:hAnsi="inherit"/>
          <w:sz w:val="17"/>
        </w:rPr>
        <w:t xml:space="preserve">, </w:t>
      </w:r>
      <w:r>
        <w:rPr>
          <w:rFonts w:ascii="inherit" w:hAnsi="inherit"/>
          <w:strike w:val="false"/>
          <w:dstrike w:val="false"/>
          <w:color w:val="000000"/>
          <w:sz w:val="17"/>
          <w:u w:val="none"/>
          <w:effect w:val="none"/>
        </w:rPr>
        <w:t>81%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80%</w:t>
      </w:r>
      <w:r>
        <w:rPr>
          <w:rFonts w:ascii="inherit" w:hAnsi="inherit"/>
          <w:sz w:val="17"/>
        </w:rPr>
        <w:t>, respectively, of our pawn loans were redeemed in full or were renewed or extended.</w:t>
      </w:r>
    </w:p>
    <w:p>
      <w:pPr>
        <w:pStyle w:val="TextBody"/>
        <w:spacing w:lineRule="auto" w:line="288" w:before="0" w:after="0"/>
        <w:jc w:val="left"/>
        <w:rPr>
          <w:rFonts w:ascii="inherit" w:hAnsi="inherit"/>
          <w:sz w:val="17"/>
        </w:rPr>
      </w:pPr>
      <w:r>
        <w:rPr>
          <w:rFonts w:ascii="inherit" w:hAnsi="inherit"/>
          <w:sz w:val="17"/>
        </w:rPr>
        <w:t xml:space="preserve">Collateral for our pawn loans consists of tangible personal property, generally jewelry, consumer electronics, tools, sporting goods and musical instruments. Approximately 60% of our pawn loan collateral is jewelry, and the vast majority of that is gold jewelry. We do not evaluate the creditworthiness of a pawn customer, but rely on the estimated resale value of the collateral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the perceived probability of the loan’s redemption. The sources of information we use to determine the resale value of collateral include our computerized valuation software, gold values, Internet retail and auction sites, catalogs, newspaper advertisements and previous sales of similar merchandise. We generally lend from 25% to 65% of the collateral’s estimated resale value depending on an evaluation of these factors, and up to 80% based on scrap value. </w:t>
      </w:r>
    </w:p>
    <w:p>
      <w:pPr>
        <w:pStyle w:val="TextBody"/>
        <w:spacing w:lineRule="auto" w:line="288" w:before="0" w:after="0"/>
        <w:jc w:val="left"/>
        <w:rPr>
          <w:rFonts w:ascii="inherit" w:hAnsi="inherit"/>
          <w:sz w:val="17"/>
        </w:rPr>
      </w:pPr>
      <w:r>
        <w:rPr>
          <w:rFonts w:ascii="inherit" w:hAnsi="inherit"/>
          <w:sz w:val="17"/>
        </w:rPr>
        <w:t>The collateral is held through the duration of the loan, which the customer may renew or extend by paying accrued pawn service charges (in the case of a renewal) or pawn service charges for the extension period (in the case of an extension). Through our lending guidelines, we maintain an annual redemption rate (the percentage of loans made that are repaid, renewed or extended) between 79% and 82%. If a customer does not repay, renew or extend a loan, the collateral is forfeited to us and becomes inventory available for sale. We do not record loan losses or charge-offs of pawn loans because the principal amount of an unpaid loan becomes the inventory carrying cost of the forfeited collateral. We provide an inventory valuation allowance to ensure that this forfeited collateral is valued at the lower of cost or market.</w:t>
      </w:r>
    </w:p>
    <w:p>
      <w:pPr>
        <w:pStyle w:val="TextBody"/>
        <w:spacing w:lineRule="auto" w:line="288" w:before="0" w:after="0"/>
        <w:jc w:val="left"/>
        <w:rPr>
          <w:sz w:val="17"/>
        </w:rPr>
      </w:pPr>
      <w:r>
        <w:rPr>
          <w:rFonts w:ascii="inherit" w:hAnsi="inherit"/>
          <w:sz w:val="17"/>
        </w:rPr>
        <w:t xml:space="preserve">The table below shows the dollar amount of our pawn loan activity for fiscal </w:t>
      </w:r>
      <w:r>
        <w:rPr>
          <w:rFonts w:ascii="inherit" w:hAnsi="inherit"/>
          <w:strike w:val="false"/>
          <w:dstrike w:val="false"/>
          <w:color w:val="000000"/>
          <w:sz w:val="17"/>
          <w:u w:val="none"/>
          <w:effect w:val="none"/>
        </w:rPr>
        <w:t>2012</w:t>
      </w:r>
      <w:r>
        <w:rPr>
          <w:rFonts w:ascii="inherit" w:hAnsi="inherit"/>
          <w:sz w:val="17"/>
        </w:rPr>
        <w:t xml:space="preserve">,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rFonts w:ascii="inherit" w:hAnsi="inherit"/>
          <w:sz w:val="17"/>
        </w:rPr>
        <w:t>:</w:t>
      </w:r>
    </w:p>
    <w:tbl>
      <w:tblPr>
        <w:tblW w:w="10205" w:type="dxa"/>
        <w:jc w:val="left"/>
        <w:tblInd w:w="0" w:type="dxa"/>
        <w:tblCellMar>
          <w:top w:w="0" w:type="dxa"/>
          <w:left w:w="0" w:type="dxa"/>
          <w:bottom w:w="0" w:type="dxa"/>
          <w:right w:w="0" w:type="dxa"/>
        </w:tblCellMar>
      </w:tblPr>
      <w:tblGrid>
        <w:gridCol w:w="6305"/>
        <w:gridCol w:w="125"/>
        <w:gridCol w:w="1001"/>
        <w:gridCol w:w="121"/>
        <w:gridCol w:w="115"/>
        <w:gridCol w:w="125"/>
        <w:gridCol w:w="962"/>
        <w:gridCol w:w="121"/>
        <w:gridCol w:w="115"/>
        <w:gridCol w:w="125"/>
        <w:gridCol w:w="962"/>
        <w:gridCol w:w="12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3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05" w:type="dxa"/>
            <w:tcBorders/>
            <w:shd w:fill="auto" w:val="clear"/>
            <w:vAlign w:val="center"/>
          </w:tcPr>
          <w:p>
            <w:pPr>
              <w:pStyle w:val="TableContents"/>
              <w:spacing w:before="0" w:after="0"/>
              <w:ind w:left="0" w:right="0" w:firstLine="30"/>
              <w:jc w:val="left"/>
              <w:rPr/>
            </w:pPr>
            <w:r>
              <w:rPr/>
              <w:t> </w:t>
            </w:r>
          </w:p>
        </w:tc>
        <w:tc>
          <w:tcPr>
            <w:tcW w:w="390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305" w:type="dxa"/>
            <w:tcBorders/>
            <w:shd w:fill="auto" w:val="clear"/>
            <w:vAlign w:val="center"/>
          </w:tcPr>
          <w:p>
            <w:pPr>
              <w:pStyle w:val="TableContents"/>
              <w:spacing w:before="0" w:after="0"/>
              <w:ind w:left="0" w:right="0" w:firstLine="30"/>
              <w:jc w:val="left"/>
              <w:rPr/>
            </w:pPr>
            <w:r>
              <w:rPr/>
              <w:t> </w:t>
            </w:r>
          </w:p>
        </w:tc>
        <w:tc>
          <w:tcPr>
            <w:tcW w:w="124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5" w:type="dxa"/>
            <w:tcBorders/>
            <w:shd w:fill="auto" w:val="clear"/>
            <w:vAlign w:val="center"/>
          </w:tcPr>
          <w:p>
            <w:pPr>
              <w:pStyle w:val="TableContents"/>
              <w:spacing w:before="0" w:after="0"/>
              <w:ind w:left="0" w:right="0" w:firstLine="30"/>
              <w:rPr/>
            </w:pPr>
            <w:r>
              <w:rPr/>
              <w:t> </w:t>
            </w:r>
          </w:p>
        </w:tc>
        <w:tc>
          <w:tcPr>
            <w:tcW w:w="120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15" w:type="dxa"/>
            <w:tcBorders/>
            <w:shd w:fill="auto" w:val="clear"/>
            <w:vAlign w:val="center"/>
          </w:tcPr>
          <w:p>
            <w:pPr>
              <w:pStyle w:val="TableContents"/>
              <w:spacing w:before="0" w:after="0"/>
              <w:ind w:left="0" w:right="0" w:firstLine="30"/>
              <w:rPr/>
            </w:pPr>
            <w:r>
              <w:rPr/>
              <w:t> </w:t>
            </w:r>
          </w:p>
        </w:tc>
        <w:tc>
          <w:tcPr>
            <w:tcW w:w="121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6305" w:type="dxa"/>
            <w:tcBorders/>
            <w:shd w:fill="auto" w:val="clear"/>
            <w:vAlign w:val="center"/>
          </w:tcPr>
          <w:p>
            <w:pPr>
              <w:pStyle w:val="TableContents"/>
              <w:spacing w:before="0" w:after="0"/>
              <w:ind w:left="0" w:right="0" w:firstLine="30"/>
              <w:jc w:val="left"/>
              <w:rPr/>
            </w:pPr>
            <w:r>
              <w:rPr/>
              <w:t> </w:t>
            </w:r>
          </w:p>
        </w:tc>
        <w:tc>
          <w:tcPr>
            <w:tcW w:w="390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6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1" w:type="dxa"/>
            <w:tcBorders/>
            <w:shd w:fill="CCEEFF" w:val="clear"/>
            <w:vAlign w:val="center"/>
          </w:tcPr>
          <w:p>
            <w:pPr>
              <w:pStyle w:val="TableContents"/>
              <w:spacing w:before="0" w:after="0"/>
              <w:jc w:val="right"/>
              <w:rPr>
                <w:rFonts w:ascii="inherit" w:hAnsi="inherit"/>
                <w:sz w:val="17"/>
              </w:rPr>
            </w:pPr>
            <w:r>
              <w:rPr>
                <w:rFonts w:ascii="inherit" w:hAnsi="inherit"/>
                <w:sz w:val="17"/>
              </w:rPr>
              <w:t>572.0</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shd w:fill="CCEEFF" w:val="clear"/>
            <w:vAlign w:val="center"/>
          </w:tcPr>
          <w:p>
            <w:pPr>
              <w:pStyle w:val="TableContents"/>
              <w:spacing w:before="0" w:after="0"/>
              <w:jc w:val="right"/>
              <w:rPr>
                <w:rFonts w:ascii="inherit" w:hAnsi="inherit"/>
                <w:sz w:val="17"/>
              </w:rPr>
            </w:pPr>
            <w:r>
              <w:rPr>
                <w:rFonts w:ascii="inherit" w:hAnsi="inherit"/>
                <w:sz w:val="17"/>
              </w:rPr>
              <w:t>505.2</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shd w:fill="CCEEFF" w:val="clear"/>
            <w:vAlign w:val="center"/>
          </w:tcPr>
          <w:p>
            <w:pPr>
              <w:pStyle w:val="TableContents"/>
              <w:spacing w:before="0" w:after="0"/>
              <w:jc w:val="right"/>
              <w:rPr>
                <w:rFonts w:ascii="inherit" w:hAnsi="inherit"/>
                <w:sz w:val="17"/>
              </w:rPr>
            </w:pPr>
            <w:r>
              <w:rPr>
                <w:rFonts w:ascii="inherit" w:hAnsi="inherit"/>
                <w:sz w:val="17"/>
              </w:rPr>
              <w:t>416.4</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(318.9</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(273.5</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forfeited</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(245.6</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(215.3</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(177.8</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acquired in business acquisitions</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due to foreign currency exchange fluctuations</w:t>
            </w:r>
          </w:p>
        </w:tc>
        <w:tc>
          <w:tcPr>
            <w:tcW w:w="11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1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(0.9</w:t>
            </w:r>
          </w:p>
        </w:tc>
        <w:tc>
          <w:tcPr>
            <w:tcW w:w="1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0.4</w:t>
            </w:r>
          </w:p>
        </w:tc>
        <w:tc>
          <w:tcPr>
            <w:tcW w:w="12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increase in pawn loans outstanding at the end of the year</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12.3</w:t>
            </w:r>
          </w:p>
        </w:tc>
        <w:tc>
          <w:tcPr>
            <w:tcW w:w="12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24.1</w:t>
            </w:r>
          </w:p>
        </w:tc>
        <w:tc>
          <w:tcPr>
            <w:tcW w:w="12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19.5</w:t>
            </w:r>
          </w:p>
        </w:tc>
        <w:tc>
          <w:tcPr>
            <w:tcW w:w="12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renewed</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1" w:type="dxa"/>
            <w:tcBorders/>
            <w:shd w:fill="CCEEFF" w:val="clear"/>
            <w:vAlign w:val="center"/>
          </w:tcPr>
          <w:p>
            <w:pPr>
              <w:pStyle w:val="TableContents"/>
              <w:spacing w:before="0" w:after="0"/>
              <w:jc w:val="right"/>
              <w:rPr>
                <w:rFonts w:ascii="inherit" w:hAnsi="inherit"/>
                <w:sz w:val="17"/>
              </w:rPr>
            </w:pPr>
            <w:r>
              <w:rPr>
                <w:rFonts w:ascii="inherit" w:hAnsi="inherit"/>
                <w:sz w:val="17"/>
              </w:rPr>
              <w:t>221.6</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shd w:fill="CCEEFF" w:val="clear"/>
            <w:vAlign w:val="center"/>
          </w:tcPr>
          <w:p>
            <w:pPr>
              <w:pStyle w:val="TableContents"/>
              <w:spacing w:before="0" w:after="0"/>
              <w:jc w:val="right"/>
              <w:rPr>
                <w:rFonts w:ascii="inherit" w:hAnsi="inherit"/>
                <w:sz w:val="17"/>
              </w:rPr>
            </w:pPr>
            <w:r>
              <w:rPr>
                <w:rFonts w:ascii="inherit" w:hAnsi="inherit"/>
                <w:sz w:val="17"/>
              </w:rPr>
              <w:t>173.4</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shd w:fill="CCEEFF" w:val="clear"/>
            <w:vAlign w:val="center"/>
          </w:tcPr>
          <w:p>
            <w:pPr>
              <w:pStyle w:val="TableContents"/>
              <w:spacing w:before="0" w:after="0"/>
              <w:jc w:val="right"/>
              <w:rPr>
                <w:rFonts w:ascii="inherit" w:hAnsi="inherit"/>
                <w:sz w:val="17"/>
              </w:rPr>
            </w:pPr>
            <w:r>
              <w:rPr>
                <w:rFonts w:ascii="inherit" w:hAnsi="inherit"/>
                <w:sz w:val="17"/>
              </w:rPr>
              <w:t>124.8</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extended</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1" w:type="dxa"/>
            <w:tcBorders/>
            <w:shd w:fill="auto" w:val="clear"/>
            <w:vAlign w:val="center"/>
          </w:tcPr>
          <w:p>
            <w:pPr>
              <w:pStyle w:val="TableContents"/>
              <w:spacing w:before="0" w:after="0"/>
              <w:jc w:val="right"/>
              <w:rPr>
                <w:rFonts w:ascii="inherit" w:hAnsi="inherit"/>
                <w:sz w:val="17"/>
              </w:rPr>
            </w:pPr>
            <w:r>
              <w:rPr>
                <w:rFonts w:ascii="inherit" w:hAnsi="inherit"/>
                <w:sz w:val="17"/>
              </w:rPr>
              <w:t>1,234.2</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shd w:fill="auto" w:val="clear"/>
            <w:vAlign w:val="center"/>
          </w:tcPr>
          <w:p>
            <w:pPr>
              <w:pStyle w:val="TableContents"/>
              <w:spacing w:before="0" w:after="0"/>
              <w:jc w:val="right"/>
              <w:rPr>
                <w:rFonts w:ascii="inherit" w:hAnsi="inherit"/>
                <w:sz w:val="17"/>
              </w:rPr>
            </w:pPr>
            <w:r>
              <w:rPr>
                <w:rFonts w:ascii="inherit" w:hAnsi="inherit"/>
                <w:sz w:val="17"/>
              </w:rPr>
              <w:t>979.6</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shd w:fill="auto" w:val="clear"/>
            <w:vAlign w:val="center"/>
          </w:tcPr>
          <w:p>
            <w:pPr>
              <w:pStyle w:val="TableContents"/>
              <w:spacing w:before="0" w:after="0"/>
              <w:jc w:val="right"/>
              <w:rPr>
                <w:rFonts w:ascii="inherit" w:hAnsi="inherit"/>
                <w:sz w:val="17"/>
              </w:rPr>
            </w:pPr>
            <w:r>
              <w:rPr>
                <w:rFonts w:ascii="inherit" w:hAnsi="inherit"/>
                <w:sz w:val="17"/>
              </w:rPr>
              <w:t>805.3</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redemption rate of pawn loans and the gross profit realized on the sale of forfeited collateral are dependent on the loan value of customer merchandise. Jewelry can be appraised based on weight, gold content, style and value of gemstones. Other items pawned typically consist of consumer electronics, tools, sporting goods and musical instruments. These are evaluated based on recent sales experience and the selling price of similar new merchandise, adjusted for age, wear and obsolescence.</w:t>
      </w:r>
    </w:p>
    <w:p>
      <w:pPr>
        <w:pStyle w:val="TextBody"/>
        <w:spacing w:lineRule="auto" w:line="288" w:before="0" w:after="0"/>
        <w:jc w:val="left"/>
        <w:rPr>
          <w:rFonts w:ascii="inherit" w:hAnsi="inherit"/>
          <w:sz w:val="17"/>
        </w:rPr>
      </w:pPr>
      <w:r>
        <w:rPr>
          <w:rFonts w:ascii="inherit" w:hAnsi="inherit"/>
          <w:sz w:val="17"/>
        </w:rPr>
        <w:t>At the time a pawn loan is made, the customer is given a pawn ticket, which shows the name and address of the pawn store and the customer, the customer’s identification information, the date of the loan, a detailed description of the pledged goods, the amount financed, the pawn service charge, the maturity date of the loan, the total amount that must be paid to redeem the loan and the annual percentage rate.</w:t>
      </w:r>
    </w:p>
    <w:p>
      <w:pPr>
        <w:pStyle w:val="TextBody"/>
        <w:spacing w:lineRule="auto" w:line="288" w:before="0" w:after="0"/>
        <w:jc w:val="left"/>
        <w:rPr>
          <w:sz w:val="17"/>
        </w:rPr>
      </w:pPr>
      <w:r>
        <w:rPr>
          <w:rFonts w:ascii="inherit" w:hAnsi="inherit"/>
          <w:sz w:val="17"/>
        </w:rPr>
        <w:t xml:space="preserve">In our pawn stores and buy/sell stores, we acquire inventory for retail sales through pawn loan forfeitures and through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During fiscal </w:t>
      </w:r>
      <w:r>
        <w:rPr>
          <w:rFonts w:ascii="inherit" w:hAnsi="inherit"/>
          <w:strike w:val="false"/>
          <w:dstrike w:val="false"/>
          <w:color w:val="000000"/>
          <w:sz w:val="17"/>
          <w:u w:val="none"/>
          <w:effect w:val="none"/>
        </w:rPr>
        <w:t>2012</w:t>
      </w:r>
      <w:r>
        <w:rPr>
          <w:rFonts w:ascii="inherit" w:hAnsi="inherit"/>
          <w:sz w:val="17"/>
        </w:rPr>
        <w:t xml:space="preserve">,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rFonts w:ascii="inherit" w:hAnsi="inherit"/>
          <w:sz w:val="17"/>
        </w:rPr>
        <w:t xml:space="preserve">, we realized gross margins on sales of </w:t>
      </w:r>
      <w:r>
        <w:rPr>
          <w:rFonts w:ascii="inherit" w:hAnsi="inherit"/>
          <w:strike w:val="false"/>
          <w:dstrike w:val="false"/>
          <w:color w:val="000000"/>
          <w:sz w:val="17"/>
          <w:u w:val="none"/>
          <w:effect w:val="none"/>
        </w:rPr>
        <w:t>43%</w:t>
      </w:r>
      <w:r>
        <w:rPr>
          <w:rFonts w:ascii="inherit" w:hAnsi="inherit"/>
          <w:sz w:val="17"/>
        </w:rPr>
        <w:t xml:space="preserve">, </w:t>
      </w:r>
      <w:r>
        <w:rPr>
          <w:rFonts w:ascii="inherit" w:hAnsi="inherit"/>
          <w:strike w:val="false"/>
          <w:dstrike w:val="false"/>
          <w:color w:val="000000"/>
          <w:sz w:val="17"/>
          <w:u w:val="none"/>
          <w:effect w:val="none"/>
        </w:rPr>
        <w:t>43%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42%</w:t>
      </w:r>
      <w:r>
        <w:rPr>
          <w:rFonts w:ascii="inherit" w:hAnsi="inherit"/>
          <w:sz w:val="17"/>
        </w:rPr>
        <w:t>, respectively.</w:t>
      </w:r>
    </w:p>
    <w:p>
      <w:pPr>
        <w:pStyle w:val="TextBody"/>
        <w:spacing w:lineRule="auto" w:line="288" w:before="0" w:after="0"/>
        <w:jc w:val="left"/>
        <w:rPr>
          <w:rFonts w:ascii="inherit" w:hAnsi="inherit"/>
          <w:sz w:val="17"/>
        </w:rPr>
      </w:pPr>
      <w:r>
        <w:rPr>
          <w:rFonts w:ascii="inherit" w:hAnsi="inherit"/>
          <w:sz w:val="17"/>
        </w:rPr>
        <w:t>During the three most recent fiscal years, sources of inventory additions were:</w:t>
      </w:r>
    </w:p>
    <w:tbl>
      <w:tblPr>
        <w:tblW w:w="10205" w:type="dxa"/>
        <w:jc w:val="left"/>
        <w:tblInd w:w="0" w:type="dxa"/>
        <w:tblCellMar>
          <w:top w:w="0" w:type="dxa"/>
          <w:left w:w="0" w:type="dxa"/>
          <w:bottom w:w="0" w:type="dxa"/>
          <w:right w:w="0" w:type="dxa"/>
        </w:tblCellMar>
      </w:tblPr>
      <w:tblGrid>
        <w:gridCol w:w="6041"/>
        <w:gridCol w:w="1057"/>
        <w:gridCol w:w="228"/>
        <w:gridCol w:w="147"/>
        <w:gridCol w:w="1057"/>
        <w:gridCol w:w="228"/>
        <w:gridCol w:w="147"/>
        <w:gridCol w:w="1057"/>
        <w:gridCol w:w="243"/>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041"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41" w:type="dxa"/>
            <w:tcBorders/>
            <w:shd w:fill="auto" w:val="clear"/>
            <w:vAlign w:val="center"/>
          </w:tcPr>
          <w:p>
            <w:pPr>
              <w:pStyle w:val="TableContents"/>
              <w:spacing w:before="0" w:after="0"/>
              <w:ind w:left="0" w:right="0" w:firstLine="30"/>
              <w:jc w:val="left"/>
              <w:rPr/>
            </w:pPr>
            <w:r>
              <w:rPr/>
              <w:t> </w:t>
            </w:r>
          </w:p>
        </w:tc>
        <w:tc>
          <w:tcPr>
            <w:tcW w:w="4164"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41" w:type="dxa"/>
            <w:tcBorders/>
            <w:shd w:fill="auto" w:val="clear"/>
            <w:vAlign w:val="center"/>
          </w:tcPr>
          <w:p>
            <w:pPr>
              <w:pStyle w:val="TableContents"/>
              <w:spacing w:before="0" w:after="0"/>
              <w:ind w:left="0" w:right="0" w:firstLine="30"/>
              <w:jc w:val="left"/>
              <w:rPr/>
            </w:pPr>
            <w:r>
              <w:rPr/>
              <w:t> </w:t>
            </w:r>
          </w:p>
        </w:tc>
        <w:tc>
          <w:tcPr>
            <w:tcW w:w="128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7" w:type="dxa"/>
            <w:tcBorders/>
            <w:shd w:fill="auto" w:val="clear"/>
            <w:vAlign w:val="center"/>
          </w:tcPr>
          <w:p>
            <w:pPr>
              <w:pStyle w:val="TableContents"/>
              <w:spacing w:before="0" w:after="0"/>
              <w:ind w:left="0" w:right="0" w:firstLine="30"/>
              <w:rPr/>
            </w:pPr>
            <w:r>
              <w:rPr/>
              <w:t> </w:t>
            </w:r>
          </w:p>
        </w:tc>
        <w:tc>
          <w:tcPr>
            <w:tcW w:w="128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7" w:type="dxa"/>
            <w:tcBorders/>
            <w:shd w:fill="auto" w:val="clear"/>
            <w:vAlign w:val="center"/>
          </w:tcPr>
          <w:p>
            <w:pPr>
              <w:pStyle w:val="TableContents"/>
              <w:spacing w:before="0" w:after="0"/>
              <w:ind w:left="0" w:right="0" w:firstLine="30"/>
              <w:rPr/>
            </w:pPr>
            <w:r>
              <w:rPr/>
              <w:t> </w:t>
            </w:r>
          </w:p>
        </w:tc>
        <w:tc>
          <w:tcPr>
            <w:tcW w:w="130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6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Forfeited pawn loan collateral</w:t>
            </w:r>
          </w:p>
        </w:tc>
        <w:tc>
          <w:tcPr>
            <w:tcW w:w="105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72</w:t>
            </w:r>
          </w:p>
        </w:tc>
        <w:tc>
          <w:tcPr>
            <w:tcW w:w="22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05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68</w:t>
            </w:r>
          </w:p>
        </w:tc>
        <w:tc>
          <w:tcPr>
            <w:tcW w:w="22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05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69</w:t>
            </w:r>
          </w:p>
        </w:tc>
        <w:tc>
          <w:tcPr>
            <w:tcW w:w="24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Purchases from customers</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Acquired in business acquisitions</w:t>
            </w:r>
          </w:p>
        </w:tc>
        <w:tc>
          <w:tcPr>
            <w:tcW w:w="1057"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057"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057"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4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Total</w:t>
            </w:r>
          </w:p>
        </w:tc>
        <w:tc>
          <w:tcPr>
            <w:tcW w:w="10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2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0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2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0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2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sz w:val="17"/>
        </w:rPr>
      </w:pPr>
      <w:r>
        <w:rPr>
          <w:rFonts w:ascii="inherit" w:hAnsi="inherit"/>
          <w:sz w:val="17"/>
        </w:rPr>
        <w:t xml:space="preserve">For fiscal </w:t>
      </w:r>
      <w:r>
        <w:rPr>
          <w:rFonts w:ascii="inherit" w:hAnsi="inherit"/>
          <w:strike w:val="false"/>
          <w:dstrike w:val="false"/>
          <w:color w:val="000000"/>
          <w:sz w:val="17"/>
          <w:u w:val="none"/>
          <w:effect w:val="none"/>
        </w:rPr>
        <w:t>2012</w:t>
      </w:r>
      <w:r>
        <w:rPr>
          <w:rFonts w:ascii="inherit" w:hAnsi="inherit"/>
          <w:sz w:val="17"/>
        </w:rPr>
        <w:t xml:space="preserve">,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rFonts w:ascii="inherit" w:hAnsi="inherit"/>
          <w:sz w:val="17"/>
        </w:rPr>
        <w:t xml:space="preserve">, retail activities and jewelry scrapping (sales of precious metals and gemstones to refiners and gemstone wholesalers) accounted for approximately 55%, </w:t>
      </w:r>
      <w:r>
        <w:rPr>
          <w:rFonts w:ascii="inherit" w:hAnsi="inherit"/>
          <w:strike w:val="false"/>
          <w:dstrike w:val="false"/>
          <w:color w:val="000000"/>
          <w:sz w:val="17"/>
          <w:u w:val="none"/>
          <w:effect w:val="none"/>
        </w:rPr>
        <w:t>58%</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56%</w:t>
      </w:r>
      <w:r>
        <w:rPr>
          <w:rFonts w:ascii="inherit" w:hAnsi="inherit"/>
          <w:sz w:val="17"/>
        </w:rPr>
        <w:t>, respectively, of our total revenues, or 35%, 37%</w:t>
      </w:r>
      <w:r>
        <w:rPr>
          <w:sz w:val="17"/>
        </w:rPr>
        <w:t xml:space="preserve"> </w:t>
      </w:r>
      <w:r>
        <w:rPr>
          <w:rFonts w:ascii="inherit" w:hAnsi="inherit"/>
          <w:sz w:val="17"/>
        </w:rPr>
        <w:t xml:space="preserve">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36%, respectively, of net revenues, after deducting the cost of goods sold. As a significant portion of our inventory and sales involve gold jewelry, our results can be heavily influenced by the market price of gold. </w:t>
      </w:r>
    </w:p>
    <w:p>
      <w:pPr>
        <w:pStyle w:val="TextBody"/>
        <w:spacing w:lineRule="auto" w:line="288" w:before="0" w:after="0"/>
        <w:jc w:val="left"/>
        <w:rPr>
          <w:rFonts w:ascii="inherit" w:hAnsi="inherit"/>
          <w:sz w:val="17"/>
        </w:rPr>
      </w:pPr>
      <w:r>
        <w:rPr>
          <w:rFonts w:ascii="inherit" w:hAnsi="inherit"/>
          <w:sz w:val="17"/>
        </w:rPr>
        <w:t>Customers may purchase an extended return plan (called a “product protection plan”) that allows them to return or exchange certain general (non-jewelry) merchandise sold through our retail pawn operations within three to six months of purchase. We recognize the fees for this service as revenue ratably over the three to six month period.</w:t>
      </w:r>
    </w:p>
    <w:p>
      <w:pPr>
        <w:pStyle w:val="TextBody"/>
        <w:spacing w:lineRule="auto" w:line="288" w:before="0" w:after="0"/>
        <w:jc w:val="left"/>
        <w:rPr>
          <w:rFonts w:ascii="inherit" w:hAnsi="inherit"/>
          <w:sz w:val="17"/>
        </w:rPr>
      </w:pPr>
      <w:r>
        <w:rPr>
          <w:rFonts w:ascii="inherit" w:hAnsi="inherit"/>
          <w:sz w:val="17"/>
        </w:rPr>
        <w:t xml:space="preserve">We also offer a jewelry VIP package, which guarantees customers a minimum future pawn loan amount on the item sold, allows them full credit if they trade in the item to purchase a more expensive piece of jewelry, and provides minor repair service on the item sold. These fees are recognized on sale. </w:t>
      </w:r>
    </w:p>
    <w:p>
      <w:pPr>
        <w:pStyle w:val="TextBody"/>
        <w:spacing w:lineRule="auto" w:line="288" w:before="0" w:after="0"/>
        <w:jc w:val="left"/>
        <w:rPr>
          <w:sz w:val="17"/>
        </w:rPr>
      </w:pPr>
      <w:r>
        <w:rPr>
          <w:rFonts w:ascii="inherit" w:hAnsi="inherit"/>
          <w:sz w:val="17"/>
        </w:rPr>
        <w:t xml:space="preserve">Customers may also purchase an item on layaway by paying a minimum layaway deposit of typically 10% to 20%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As of </w:t>
      </w:r>
      <w:r>
        <w:rPr>
          <w:rFonts w:ascii="inherit" w:hAnsi="inherit"/>
          <w:strike w:val="false"/>
          <w:dstrike w:val="false"/>
          <w:color w:val="000000"/>
          <w:sz w:val="17"/>
          <w:u w:val="none"/>
          <w:effect w:val="none"/>
        </w:rPr>
        <w:t>September 30, 2012</w:t>
      </w:r>
      <w:r>
        <w:rPr>
          <w:rFonts w:ascii="inherit" w:hAnsi="inherit"/>
          <w:sz w:val="17"/>
        </w:rPr>
        <w:t xml:space="preserve">, we held </w:t>
      </w:r>
      <w:r>
        <w:rPr>
          <w:rFonts w:ascii="inherit" w:hAnsi="inherit"/>
          <w:strike w:val="false"/>
          <w:dstrike w:val="false"/>
          <w:color w:val="000000"/>
          <w:sz w:val="17"/>
          <w:u w:val="none"/>
          <w:effect w:val="none"/>
        </w:rPr>
        <w:t>$7.2 million</w:t>
      </w:r>
      <w:r>
        <w:rPr>
          <w:sz w:val="17"/>
        </w:rPr>
        <w:t xml:space="preserve"> </w:t>
      </w:r>
      <w:r>
        <w:rPr>
          <w:rFonts w:ascii="inherit" w:hAnsi="inherit"/>
          <w:sz w:val="17"/>
        </w:rPr>
        <w:t>in customer layaway deposits. We record product protection, jewelry VIP and layaway fees as sales revenue, as they are incidental to sales of merchandise.</w:t>
      </w:r>
    </w:p>
    <w:p>
      <w:pPr>
        <w:pStyle w:val="TextBody"/>
        <w:spacing w:lineRule="auto" w:line="288" w:before="0" w:after="0"/>
        <w:jc w:val="left"/>
        <w:rPr>
          <w:sz w:val="17"/>
        </w:rPr>
      </w:pPr>
      <w:r>
        <w:rPr>
          <w:rFonts w:ascii="inherit" w:hAnsi="inherit"/>
          <w:sz w:val="17"/>
        </w:rPr>
        <w:t xml:space="preserve">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w:t>
      </w:r>
      <w:r>
        <w:rPr>
          <w:rFonts w:ascii="inherit" w:hAnsi="inherit"/>
          <w:strike w:val="false"/>
          <w:dstrike w:val="false"/>
          <w:color w:val="000000"/>
          <w:sz w:val="17"/>
          <w:u w:val="none"/>
          <w:effect w:val="none"/>
        </w:rPr>
        <w:t>4.9%</w:t>
      </w:r>
      <w:r>
        <w:rPr>
          <w:sz w:val="17"/>
        </w:rPr>
        <w:t xml:space="preserve"> </w:t>
      </w:r>
      <w:r>
        <w:rPr>
          <w:rFonts w:ascii="inherit" w:hAnsi="inherit"/>
          <w:sz w:val="17"/>
        </w:rPr>
        <w:t xml:space="preserve">of gross inventory at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compared to </w:t>
      </w:r>
      <w:r>
        <w:rPr>
          <w:rFonts w:ascii="inherit" w:hAnsi="inherit"/>
          <w:strike w:val="false"/>
          <w:dstrike w:val="false"/>
          <w:color w:val="000000"/>
          <w:sz w:val="17"/>
          <w:u w:val="none"/>
          <w:effect w:val="none"/>
        </w:rPr>
        <w:t>9.5%</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2011</w:t>
      </w:r>
      <w:r>
        <w:rPr>
          <w:rFonts w:ascii="inherit" w:hAnsi="inherit"/>
          <w:sz w:val="17"/>
        </w:rPr>
        <w:t xml:space="preserve">. The lower valuation allowance is reflective of periodic analyses conducted to value the inventory based on aging, profitability, sell-through rates and shrink in each classification, including jewelry and general merchandise. </w:t>
      </w:r>
    </w:p>
    <w:p>
      <w:pPr>
        <w:pStyle w:val="TextBody"/>
        <w:spacing w:lineRule="auto" w:line="288" w:before="0" w:after="0"/>
        <w:jc w:val="left"/>
        <w:rPr>
          <w:rFonts w:ascii="inherit" w:hAnsi="inherit"/>
          <w:b/>
          <w:sz w:val="17"/>
        </w:rPr>
      </w:pPr>
      <w:bookmarkStart w:id="23" w:name="s31E1FA68ABBC1DDCB5DA0F13C958D057"/>
      <w:bookmarkEnd w:id="23"/>
      <w:r>
        <w:rPr>
          <w:rFonts w:ascii="inherit" w:hAnsi="inherit"/>
          <w:b/>
          <w:sz w:val="17"/>
        </w:rPr>
        <w:t>Financial Services</w:t>
      </w:r>
    </w:p>
    <w:p>
      <w:pPr>
        <w:pStyle w:val="TextBody"/>
        <w:spacing w:lineRule="auto" w:line="288" w:before="0" w:after="0"/>
        <w:jc w:val="left"/>
        <w:rPr>
          <w:rFonts w:ascii="inherit" w:hAnsi="inherit"/>
          <w:sz w:val="17"/>
        </w:rPr>
      </w:pPr>
      <w:r>
        <w:rPr>
          <w:rFonts w:ascii="inherit" w:hAnsi="inherit"/>
          <w:sz w:val="17"/>
        </w:rPr>
        <w:t>We also offer a variety of financial services to customers who have limited access to other sources of credit. Many customers find our financial services a more attractive alternative than borrowing from friends or family or incurring insufficient funds fees, overdraft protection fees, utility reconnect fees and other charges imposed when they have insufficient cash to meet their needs. By utilizing our financial services, customers can exercise greater control of their personal finances without damaging the relationships they have with their merchants, service providers and family members.</w:t>
      </w:r>
    </w:p>
    <w:p>
      <w:pPr>
        <w:pStyle w:val="TextBody"/>
        <w:spacing w:lineRule="auto" w:line="288" w:before="0" w:after="0"/>
        <w:jc w:val="left"/>
        <w:rPr>
          <w:rFonts w:ascii="inherit" w:hAnsi="inherit"/>
          <w:sz w:val="17"/>
        </w:rPr>
      </w:pPr>
      <w:r>
        <w:rPr>
          <w:rFonts w:ascii="inherit" w:hAnsi="inherit"/>
          <w:sz w:val="17"/>
        </w:rPr>
        <w:t>The specific financial services offered varies by location, but generally include some or all of the following:</w:t>
      </w:r>
    </w:p>
    <w:p>
      <w:pPr>
        <w:pStyle w:val="TextBody"/>
        <w:spacing w:lineRule="auto" w:line="288" w:before="0" w:after="0"/>
        <w:ind w:left="0" w:right="0" w:firstLine="360"/>
        <w:rPr>
          <w:sz w:val="17"/>
        </w:rPr>
      </w:pPr>
      <w:r>
        <w:rPr>
          <w:rFonts w:ascii="inherit" w:hAnsi="inherit"/>
          <w:i/>
          <w:sz w:val="17"/>
        </w:rPr>
        <w:t>Unsecured consumer loans</w:t>
      </w:r>
      <w:r>
        <w:rPr>
          <w:sz w:val="17"/>
        </w:rPr>
        <w:t xml:space="preserve"> — </w:t>
      </w:r>
      <w:r>
        <w:rPr>
          <w:rFonts w:ascii="inherit" w:hAnsi="inherit"/>
          <w:sz w:val="17"/>
        </w:rPr>
        <w:t>We offer a variety of unsecured consumer loans, including single-payment loans, multiple-payment loans, lines of credit and payroll withholding loans:</w:t>
      </w:r>
    </w:p>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Single-payment loans — Single-payment loans are short-term loans (generally less than 30 days and averaging about 16 days) with due dates corresponding to the customer’s next payday. Principal amounts of single-payment unsecured loans can be up to $1,500, but average approximately $440. In the U.S. we typically charge a fee of 15% to 22% of the loan amount for a 7 to 23-day period. Online in the United Kingdom, we charge a fixed fee of 30% of the loan amount for up to 30 days.</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Multiple-payment loans — Multiple-payment loans typically carry a term of four to seven months, with a series of equal installment payments due monthly, semi-monthly or on the customer’s paydays. Total interest and fees on these loans vary in accordance with state law and loan terms, but over the entire loan term, total approximately 45% to 130% of the original principal amount of the loan. Principal amounts range from $100 to $3,000, but average approximately $550.</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Line of credit — Revolving lines of credit operate similarly to a typical credit card. Customers may borrow as needed, may fully repay borrowed amounts at any point and are billed at regular intervals with certain minimum principal and fee payment requirements due in each billing cycle. Billing cycle due dates range from two weeks to a month and generally correspond with the customer’s paydays. Customers may borrow up to their approved credit line, and may re-borrow any repaid amounts. We provide lines of credit ranging from $100 to $700 and typically charge an annual fee of $30 per account and a monthly fee approximating 52% of the amount borrowed.</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Payroll withholding loans — At Crediamigo, we offer unsecured consumer loans to employees of various employers (typically, government agencies) with whom we have master payroll withholding lending agreements. Principal amounts of the loans average $1,200, with terms averaging 31 months. The loans typically have annual yields of approximately 27%.</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360"/>
        <w:rPr>
          <w:sz w:val="17"/>
        </w:rPr>
      </w:pPr>
      <w:r>
        <w:rPr>
          <w:rFonts w:ascii="inherit" w:hAnsi="inherit"/>
          <w:i/>
          <w:sz w:val="17"/>
        </w:rPr>
        <w:t>Secured consumer loans</w:t>
      </w:r>
      <w:r>
        <w:rPr>
          <w:sz w:val="17"/>
        </w:rPr>
        <w:t xml:space="preserve"> — </w:t>
      </w:r>
      <w:r>
        <w:rPr>
          <w:rFonts w:ascii="inherit" w:hAnsi="inherit"/>
          <w:sz w:val="17"/>
        </w:rPr>
        <w:t>We offer three principal types of secured consumer loans:</w:t>
      </w:r>
    </w:p>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Single-payment auto title loans — Single-payment auto title loans are 30-day loans secured by the titles to customers’ automobiles. Loan principal amounts range from $100 to $10,000, but average about $835. Loan amounts are established based on customers’ income levels, an inspection of the automobile and title and reference to market values of used automobiles. We earn a fee of 12.5% to 25% of auto title loan amounts. </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Multi-payment auto title loans — In Texas, we assist customers in obtaining multiple-payment auto title loans from unaffiliated lenders. Multiple-payment auto title loans carry a term of up to five months, with a series of equal installment payments due monthly, semi-monthly or on the customer’s paydays and with each installment payment we earn a fee of 11% to 35% of the initial loan amount. </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Auto title line of credit —The terms and fee structure of auto title lines of credit are similar to those of unsecured lines of credit described above, except that they are secured by the titles to customers’ automobiles. We provide lines of credit ranging from $100 to $8,000 and typically charge an initial lien fee per account and a monthly fee approximating 25% of the amount borrowed.</w:t>
            </w:r>
          </w:p>
        </w:tc>
      </w:tr>
    </w:tbl>
    <w:p>
      <w:pPr>
        <w:pStyle w:val="TextBody"/>
        <w:spacing w:lineRule="auto" w:line="288" w:before="0" w:after="0"/>
        <w:ind w:left="0" w:right="0" w:firstLine="360"/>
        <w:jc w:val="left"/>
        <w:rPr>
          <w:sz w:val="17"/>
        </w:rPr>
      </w:pPr>
      <w:r>
        <w:rPr>
          <w:rFonts w:ascii="inherit" w:hAnsi="inherit"/>
          <w:i/>
          <w:sz w:val="17"/>
        </w:rPr>
        <w:t xml:space="preserve">Debit Cards </w:t>
      </w:r>
      <w:r>
        <w:rPr>
          <w:sz w:val="17"/>
        </w:rPr>
        <w:t xml:space="preserve">— </w:t>
      </w:r>
      <w:r>
        <w:rPr>
          <w:rFonts w:ascii="inherit" w:hAnsi="inherit"/>
          <w:sz w:val="17"/>
        </w:rPr>
        <w:t xml:space="preserve">In many of our stores and online, customers may obtain general-purpose, branded reloadable debit cards. The cards are issued by a bank, and we receive a portion of the fees charged for activity on the cards. </w:t>
      </w:r>
    </w:p>
    <w:p>
      <w:pPr>
        <w:pStyle w:val="TextBody"/>
        <w:spacing w:lineRule="auto" w:line="288" w:before="0" w:after="0"/>
        <w:jc w:val="left"/>
        <w:rPr>
          <w:rFonts w:ascii="inherit" w:hAnsi="inherit"/>
          <w:sz w:val="17"/>
        </w:rPr>
      </w:pPr>
      <w:r>
        <w:rPr>
          <w:rFonts w:ascii="inherit" w:hAnsi="inherit"/>
          <w:sz w:val="17"/>
        </w:rPr>
        <w:t xml:space="preserve">In our Texas stores, we do not offer consumer loans themselves, but offer fee-based credit services to customers seeking loans. In these locations, we act as a credit services organization (or “CSO”) on behalf of customers in accordance with applicable state and local laws, and offer advice and assistance to customers in obtaining loans from unaffiliated lenders. Our services include arranging consumer loans with independent third-party lenders, assisting in the preparation of loan applications and loan documents and accepting loan payments for the lenders. We do not make, fund or participate in the consumer loans made by the lenders, but we assist customers in obtaining credit and enhance their creditworthiness by issuing letters of credit to guarantee customers’ payment obligations to the independent third-party lenders. For credit services in connection with arranging a single-payment loan (average loan amount of about $505), our fee is approximately 22% of the loan amount. For credit services in connection with arranging an unsecured multiple-payment loan (average loan amount of about $2,105), our fee is 11% of the initial loan amount with each semi-monthly or bi-weekly installment payment. Low dollar installment loan principal amounts range from $100 to $1,500, but average about $705. With each semi-monthly or bi-weekly installment payment, we earn a fee of 13% to 14% of the initial loan amount. For credit services in connection with arranging single-payment auto title loans (average loan amount of about $860), the fee is up to 30% of the loan amount. In fiscal 2012, we began assisting customers in obtaining longer-term multiple-payment auto title loans from unaffiliated lenders. Multiple-payment auto title loans typically carry terms of two to five months with up to ten equal installments. Multiple-payment auto title loan principal amounts range from $150 to $10,000, but average about $1,000; and, with each installment payment, we earn a fee of 11% to 35% of the initial loan amount. </w:t>
      </w:r>
    </w:p>
    <w:p>
      <w:pPr>
        <w:pStyle w:val="TextBody"/>
        <w:spacing w:lineRule="auto" w:line="288" w:before="0" w:after="0"/>
        <w:jc w:val="left"/>
        <w:rPr>
          <w:rFonts w:ascii="inherit" w:hAnsi="inherit"/>
          <w:sz w:val="17"/>
        </w:rPr>
      </w:pPr>
      <w:r>
        <w:rPr>
          <w:rFonts w:ascii="inherit" w:hAnsi="inherit"/>
          <w:sz w:val="17"/>
        </w:rPr>
        <w:t>Single-payment consumer loans are considered defaulted if they are not repaid or renewed by the maturity date. Outstanding amounts on unsecured lines of credit are considered defaulted if customers do not timely make one required scheduled payment. Multiple-payment loans are considered defaulted if the customer has failed to make two consecutive installment payments. Although defaulted loans may be collected later, we charge the loan principal to bad debt upon default, leaving only active loans in the reported balance. Subsequent collections of principal are recorded as a reduction of bad debt at the time of collection. Accrued service charges related to defaulted loans are deducted from service charge revenue upon loan default, and increase service charge revenue upon subsequent collection. We provide for a valuation allowance on both the principal and service charges receivable based on recent default and collection experience. Our consumer loan balance represents the principal amount of all active (non-defaulted) loans, net of this valuation allowance.</w:t>
      </w:r>
    </w:p>
    <w:p>
      <w:pPr>
        <w:pStyle w:val="TextBody"/>
        <w:spacing w:lineRule="auto" w:line="288" w:before="0" w:after="0"/>
        <w:jc w:val="left"/>
        <w:rPr>
          <w:rFonts w:ascii="inherit" w:hAnsi="inherit"/>
          <w:sz w:val="17"/>
        </w:rPr>
      </w:pPr>
      <w:r>
        <w:rPr>
          <w:rFonts w:ascii="inherit" w:hAnsi="inherit"/>
          <w:sz w:val="17"/>
        </w:rPr>
        <w:t>If a credit service customer defaults on a loan, we pay the lender the principal and accrued interest due under the loan and an insufficient funds fee or late fee and charge those amounts to bad debt expense. We then attempt to collect those amounts from the customer. Subsequent recoveries are recorded as a reduction of bad debt at the time of collection. We also record as bad debt expense an accrual of expected losses for principal, interest and insufficient fund fees and late fees we expect to pay the lenders on default of the lenders’ current loans. This estimate is based on recent default and collection experience and the amount of loans the lenders have outstanding.</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The table below shows the dollar amount of our consumer loan activity for the three most recent fiscal years. For purposes of this table, consumer loan balances include the principal portion of loans (net of valuation allowance) recorded on our balance sheet and the principal portion of active brokered loans outstanding from unaffiliated lenders, which is not included on our balance sheet. </w:t>
      </w:r>
    </w:p>
    <w:tbl>
      <w:tblPr>
        <w:tblW w:w="10205" w:type="dxa"/>
        <w:jc w:val="left"/>
        <w:tblInd w:w="0" w:type="dxa"/>
        <w:tblCellMar>
          <w:top w:w="0" w:type="dxa"/>
          <w:left w:w="0" w:type="dxa"/>
          <w:bottom w:w="0" w:type="dxa"/>
          <w:right w:w="0" w:type="dxa"/>
        </w:tblCellMar>
      </w:tblPr>
      <w:tblGrid>
        <w:gridCol w:w="5214"/>
        <w:gridCol w:w="179"/>
        <w:gridCol w:w="1023"/>
        <w:gridCol w:w="165"/>
        <w:gridCol w:w="146"/>
        <w:gridCol w:w="179"/>
        <w:gridCol w:w="1023"/>
        <w:gridCol w:w="165"/>
        <w:gridCol w:w="146"/>
        <w:gridCol w:w="179"/>
        <w:gridCol w:w="1023"/>
        <w:gridCol w:w="763"/>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21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14" w:type="dxa"/>
            <w:tcBorders/>
            <w:shd w:fill="auto" w:val="clear"/>
            <w:vAlign w:val="center"/>
          </w:tcPr>
          <w:p>
            <w:pPr>
              <w:pStyle w:val="TableContents"/>
              <w:spacing w:before="0" w:after="0"/>
              <w:ind w:left="0" w:right="0" w:firstLine="30"/>
              <w:jc w:val="left"/>
              <w:rPr/>
            </w:pPr>
            <w:r>
              <w:rPr/>
              <w:t> </w:t>
            </w:r>
          </w:p>
        </w:tc>
        <w:tc>
          <w:tcPr>
            <w:tcW w:w="499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214" w:type="dxa"/>
            <w:tcBorders/>
            <w:shd w:fill="auto" w:val="clear"/>
            <w:vAlign w:val="center"/>
          </w:tcPr>
          <w:p>
            <w:pPr>
              <w:pStyle w:val="TableContents"/>
              <w:spacing w:before="0" w:after="0"/>
              <w:ind w:left="0" w:right="0" w:firstLine="30"/>
              <w:jc w:val="left"/>
              <w:rPr/>
            </w:pPr>
            <w:r>
              <w:rPr/>
              <w:t> </w:t>
            </w:r>
          </w:p>
        </w:tc>
        <w:tc>
          <w:tcPr>
            <w:tcW w:w="136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6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96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214" w:type="dxa"/>
            <w:tcBorders/>
            <w:shd w:fill="auto" w:val="clear"/>
            <w:vAlign w:val="center"/>
          </w:tcPr>
          <w:p>
            <w:pPr>
              <w:pStyle w:val="TableContents"/>
              <w:spacing w:before="0" w:after="0"/>
              <w:ind w:left="0" w:right="0" w:firstLine="30"/>
              <w:jc w:val="left"/>
              <w:rPr/>
            </w:pPr>
            <w:r>
              <w:rPr/>
              <w:t> </w:t>
            </w:r>
          </w:p>
        </w:tc>
        <w:tc>
          <w:tcPr>
            <w:tcW w:w="499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5214" w:type="dxa"/>
            <w:tcBorders/>
            <w:shd w:fill="CCEEFF" w:val="clear"/>
            <w:vAlign w:val="center"/>
          </w:tcPr>
          <w:p>
            <w:pPr>
              <w:pStyle w:val="TableContents"/>
              <w:spacing w:before="0" w:after="0"/>
              <w:ind w:left="0" w:right="0" w:firstLine="30"/>
              <w:rPr>
                <w:rFonts w:ascii="inherit" w:hAnsi="inherit"/>
                <w:b/>
                <w:i/>
                <w:sz w:val="17"/>
              </w:rPr>
            </w:pPr>
            <w:r>
              <w:rPr>
                <w:rFonts w:ascii="inherit" w:hAnsi="inherit"/>
                <w:b/>
                <w:i/>
                <w:sz w:val="17"/>
              </w:rPr>
              <w:t>Combined consumer loans:</w:t>
            </w:r>
          </w:p>
        </w:tc>
        <w:tc>
          <w:tcPr>
            <w:tcW w:w="1367" w:type="dxa"/>
            <w:gridSpan w:val="3"/>
            <w:tcBorders/>
            <w:shd w:fill="CCEEFF" w:val="clear"/>
            <w:vAlign w:val="center"/>
          </w:tcPr>
          <w:p>
            <w:pPr>
              <w:pStyle w:val="TableContents"/>
              <w:spacing w:before="0" w:after="0"/>
              <w:ind w:left="0" w:right="0" w:firstLine="30"/>
              <w:jc w:val="left"/>
              <w:rPr/>
            </w:pPr>
            <w:r>
              <w:rPr/>
              <w:t> </w:t>
            </w:r>
          </w:p>
        </w:tc>
        <w:tc>
          <w:tcPr>
            <w:tcW w:w="146"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jc w:val="left"/>
              <w:rPr/>
            </w:pPr>
            <w:r>
              <w:rPr/>
              <w:t> </w:t>
            </w:r>
          </w:p>
        </w:tc>
        <w:tc>
          <w:tcPr>
            <w:tcW w:w="146"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ind w:left="0" w:right="0" w:firstLine="420"/>
              <w:jc w:val="left"/>
              <w:rPr/>
            </w:pPr>
            <w:r>
              <w:rPr/>
              <w:t> </w:t>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auto" w:val="clear"/>
            <w:vAlign w:val="center"/>
          </w:tcPr>
          <w:p>
            <w:pPr>
              <w:pStyle w:val="TableContents"/>
              <w:spacing w:before="0" w:after="0"/>
              <w:jc w:val="right"/>
              <w:rPr>
                <w:rFonts w:ascii="inherit" w:hAnsi="inherit"/>
                <w:sz w:val="17"/>
              </w:rPr>
            </w:pPr>
            <w:r>
              <w:rPr>
                <w:rFonts w:ascii="inherit" w:hAnsi="inherit"/>
                <w:sz w:val="17"/>
              </w:rPr>
              <w:t>366.4</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auto" w:val="clear"/>
            <w:vAlign w:val="center"/>
          </w:tcPr>
          <w:p>
            <w:pPr>
              <w:pStyle w:val="TableContents"/>
              <w:spacing w:before="0" w:after="0"/>
              <w:jc w:val="right"/>
              <w:rPr>
                <w:rFonts w:ascii="inherit" w:hAnsi="inherit"/>
                <w:sz w:val="17"/>
              </w:rPr>
            </w:pPr>
            <w:r>
              <w:rPr>
                <w:rFonts w:ascii="inherit" w:hAnsi="inherit"/>
                <w:sz w:val="17"/>
              </w:rPr>
              <w:t>277.2</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auto" w:val="clear"/>
            <w:vAlign w:val="center"/>
          </w:tcPr>
          <w:p>
            <w:pPr>
              <w:pStyle w:val="TableContents"/>
              <w:spacing w:before="0" w:after="0"/>
              <w:jc w:val="right"/>
              <w:rPr>
                <w:rFonts w:ascii="inherit" w:hAnsi="inherit"/>
                <w:sz w:val="17"/>
              </w:rPr>
            </w:pPr>
            <w:r>
              <w:rPr>
                <w:rFonts w:ascii="inherit" w:hAnsi="inherit"/>
                <w:sz w:val="17"/>
              </w:rPr>
              <w:t>259.1</w:t>
            </w:r>
          </w:p>
        </w:tc>
        <w:tc>
          <w:tcPr>
            <w:tcW w:w="76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(215.4</w:t>
            </w:r>
          </w:p>
        </w:tc>
        <w:tc>
          <w:tcPr>
            <w:tcW w:w="76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forfeited, net of collections on bad debt</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(42.4</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(38.1</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(35.2</w:t>
            </w:r>
          </w:p>
        </w:tc>
        <w:tc>
          <w:tcPr>
            <w:tcW w:w="76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acquired in business acquisition</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68.7</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76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due to foreign currency exchange fluctuations</w:t>
            </w:r>
          </w:p>
        </w:tc>
        <w:tc>
          <w:tcPr>
            <w:tcW w:w="12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0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increase (decrease) in consumer loans outstanding at the end of the year</w:t>
            </w:r>
          </w:p>
        </w:tc>
        <w:tc>
          <w:tcPr>
            <w:tcW w:w="17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80.0</w:t>
            </w:r>
          </w:p>
        </w:tc>
        <w:tc>
          <w:tcPr>
            <w:tcW w:w="16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w:t>
            </w:r>
          </w:p>
        </w:tc>
        <w:tc>
          <w:tcPr>
            <w:tcW w:w="16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7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w:t>
            </w:r>
          </w:p>
        </w:tc>
        <w:tc>
          <w:tcPr>
            <w:tcW w:w="76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965" w:type="dxa"/>
            <w:gridSpan w:val="3"/>
            <w:tcBorders/>
            <w:shd w:fill="auto" w:val="clear"/>
            <w:vAlign w:val="center"/>
          </w:tcPr>
          <w:p>
            <w:pPr>
              <w:pStyle w:val="TableContents"/>
              <w:spacing w:before="0" w:after="0"/>
              <w:ind w:left="0" w:right="0" w:firstLine="180"/>
              <w:rPr/>
            </w:pPr>
            <w:r>
              <w:rPr/>
              <w:t> </w:t>
            </w:r>
          </w:p>
        </w:tc>
      </w:tr>
      <w:tr>
        <w:trPr/>
        <w:tc>
          <w:tcPr>
            <w:tcW w:w="5214" w:type="dxa"/>
            <w:tcBorders/>
            <w:shd w:fill="CCEEFF" w:val="clear"/>
            <w:vAlign w:val="center"/>
          </w:tcPr>
          <w:p>
            <w:pPr>
              <w:pStyle w:val="TableContents"/>
              <w:spacing w:before="0" w:after="0"/>
              <w:ind w:left="0" w:right="0" w:firstLine="30"/>
              <w:jc w:val="left"/>
              <w:rPr>
                <w:rFonts w:ascii="inherit" w:hAnsi="inherit"/>
                <w:b/>
                <w:i/>
                <w:sz w:val="17"/>
              </w:rPr>
            </w:pPr>
            <w:r>
              <w:rPr>
                <w:rFonts w:ascii="inherit" w:hAnsi="inherit"/>
                <w:b/>
                <w:i/>
                <w:sz w:val="17"/>
              </w:rPr>
              <w:t>Consumer loans made by unaffiliated lenders (credit services only):</w:t>
            </w:r>
          </w:p>
        </w:tc>
        <w:tc>
          <w:tcPr>
            <w:tcW w:w="1367" w:type="dxa"/>
            <w:gridSpan w:val="3"/>
            <w:tcBorders/>
            <w:shd w:fill="CCEEFF" w:val="clear"/>
            <w:vAlign w:val="center"/>
          </w:tcPr>
          <w:p>
            <w:pPr>
              <w:pStyle w:val="TableContents"/>
              <w:spacing w:before="0" w:after="0"/>
              <w:ind w:left="0" w:right="0" w:firstLine="30"/>
              <w:jc w:val="left"/>
              <w:rPr/>
            </w:pPr>
            <w:r>
              <w:rPr/>
              <w:t> </w:t>
            </w:r>
          </w:p>
        </w:tc>
        <w:tc>
          <w:tcPr>
            <w:tcW w:w="146"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ind w:left="0" w:right="0" w:firstLine="660"/>
              <w:rPr/>
            </w:pPr>
            <w:r>
              <w:rPr/>
              <w:t> </w:t>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auto" w:val="clear"/>
            <w:vAlign w:val="center"/>
          </w:tcPr>
          <w:p>
            <w:pPr>
              <w:pStyle w:val="TableContents"/>
              <w:spacing w:before="0" w:after="0"/>
              <w:jc w:val="right"/>
              <w:rPr>
                <w:rFonts w:ascii="inherit" w:hAnsi="inherit"/>
                <w:sz w:val="17"/>
              </w:rPr>
            </w:pPr>
            <w:r>
              <w:rPr>
                <w:rFonts w:ascii="inherit" w:hAnsi="inherit"/>
                <w:sz w:val="17"/>
              </w:rPr>
              <w:t>135.6</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auto" w:val="clear"/>
            <w:vAlign w:val="center"/>
          </w:tcPr>
          <w:p>
            <w:pPr>
              <w:pStyle w:val="TableContents"/>
              <w:spacing w:before="0" w:after="0"/>
              <w:jc w:val="right"/>
              <w:rPr>
                <w:rFonts w:ascii="inherit" w:hAnsi="inherit"/>
                <w:sz w:val="17"/>
              </w:rPr>
            </w:pPr>
            <w:r>
              <w:rPr>
                <w:rFonts w:ascii="inherit" w:hAnsi="inherit"/>
                <w:sz w:val="17"/>
              </w:rPr>
              <w:t>130.0</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auto" w:val="clear"/>
            <w:vAlign w:val="center"/>
          </w:tcPr>
          <w:p>
            <w:pPr>
              <w:pStyle w:val="TableContents"/>
              <w:spacing w:before="0" w:after="0"/>
              <w:jc w:val="right"/>
              <w:rPr>
                <w:rFonts w:ascii="inherit" w:hAnsi="inherit"/>
                <w:sz w:val="17"/>
              </w:rPr>
            </w:pPr>
            <w:r>
              <w:rPr>
                <w:rFonts w:ascii="inherit" w:hAnsi="inherit"/>
                <w:sz w:val="17"/>
              </w:rPr>
              <w:t>130.0</w:t>
            </w:r>
          </w:p>
        </w:tc>
        <w:tc>
          <w:tcPr>
            <w:tcW w:w="763"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(112.5</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(101.8</w:t>
            </w:r>
          </w:p>
        </w:tc>
        <w:tc>
          <w:tcPr>
            <w:tcW w:w="763"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forfeited, net of collections on bad debt</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(24.6</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(23.6</w:t>
            </w:r>
          </w:p>
        </w:tc>
        <w:tc>
          <w:tcPr>
            <w:tcW w:w="763"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acquired in business acquisition</w:t>
            </w:r>
          </w:p>
        </w:tc>
        <w:tc>
          <w:tcPr>
            <w:tcW w:w="1202"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increase (decrease) in consumer loans outstanding at the end of the year</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w:t>
            </w:r>
          </w:p>
        </w:tc>
        <w:tc>
          <w:tcPr>
            <w:tcW w:w="76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4"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ind w:left="0" w:right="0" w:firstLine="180"/>
              <w:rPr/>
            </w:pPr>
            <w:r>
              <w:rPr/>
              <w:t> </w:t>
            </w:r>
          </w:p>
        </w:tc>
      </w:tr>
      <w:tr>
        <w:trPr/>
        <w:tc>
          <w:tcPr>
            <w:tcW w:w="5214"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Consumer loans made by us:</w:t>
            </w:r>
          </w:p>
        </w:tc>
        <w:tc>
          <w:tcPr>
            <w:tcW w:w="1367" w:type="dxa"/>
            <w:gridSpan w:val="3"/>
            <w:tcBorders/>
            <w:shd w:fill="auto" w:val="clear"/>
            <w:vAlign w:val="center"/>
          </w:tcPr>
          <w:p>
            <w:pPr>
              <w:pStyle w:val="TableContents"/>
              <w:spacing w:before="0" w:after="0"/>
              <w:ind w:left="0" w:right="0" w:firstLine="30"/>
              <w:jc w:val="left"/>
              <w:rPr/>
            </w:pPr>
            <w:r>
              <w:rPr/>
              <w:t> </w:t>
            </w:r>
          </w:p>
        </w:tc>
        <w:tc>
          <w:tcPr>
            <w:tcW w:w="146"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965" w:type="dxa"/>
            <w:gridSpan w:val="3"/>
            <w:tcBorders/>
            <w:shd w:fill="auto" w:val="clear"/>
            <w:vAlign w:val="center"/>
          </w:tcPr>
          <w:p>
            <w:pPr>
              <w:pStyle w:val="TableContents"/>
              <w:spacing w:before="0" w:after="0"/>
              <w:ind w:left="0" w:right="0" w:firstLine="660"/>
              <w:rPr/>
            </w:pPr>
            <w:r>
              <w:rPr/>
              <w:t> </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230.8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147.2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129.1</w:t>
            </w:r>
          </w:p>
        </w:tc>
        <w:tc>
          <w:tcPr>
            <w:tcW w:w="763"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(131.4</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(113.6</w:t>
            </w:r>
          </w:p>
        </w:tc>
        <w:tc>
          <w:tcPr>
            <w:tcW w:w="763"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forfeited, net of collections on bad debt</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w:t>
            </w:r>
          </w:p>
        </w:tc>
        <w:tc>
          <w:tcPr>
            <w:tcW w:w="763"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acquired in business acquisition</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68.7</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763"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due to foreign currency exchange fluctuations</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63"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increase (decrease) in consumer loans outstanding at the end of the year</w:t>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81.5</w:t>
            </w:r>
          </w:p>
        </w:tc>
        <w:tc>
          <w:tcPr>
            <w:tcW w:w="16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0.7</w:t>
            </w:r>
          </w:p>
        </w:tc>
        <w:tc>
          <w:tcPr>
            <w:tcW w:w="16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w:t>
            </w:r>
          </w:p>
        </w:tc>
        <w:tc>
          <w:tcPr>
            <w:tcW w:w="76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4"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t>The profitability of unsecured consumer loans is highly dependent on our ability to manage the default rate and collect defaulted loan principal, interest and insufficient fund fees. In determining whether to lend or provide credit services, we perform a review of customer information, such as making a credit reporting agency inquiry, evaluating and verifying income sources and levels, verifying employment and verifying a telephone number where the customers may be contacted.</w:t>
      </w:r>
    </w:p>
    <w:p>
      <w:pPr>
        <w:pStyle w:val="TextBody"/>
        <w:spacing w:lineRule="auto" w:line="288" w:before="0" w:after="0"/>
        <w:jc w:val="left"/>
        <w:rPr>
          <w:rFonts w:ascii="inherit" w:hAnsi="inherit"/>
          <w:sz w:val="17"/>
        </w:rPr>
      </w:pPr>
      <w:r>
        <w:rPr>
          <w:rFonts w:ascii="inherit" w:hAnsi="inherit"/>
          <w:sz w:val="17"/>
        </w:rPr>
        <w:t>Auto title loans are secured by the titles to customers’ automobiles. Lending decisions and loan amounts are determined on the basis of customers’ income levels, an inspection of the automobile and title and reference to market values of used automobiles. Through charges to bad debt expense, we provide a bad debt allowance on the current and delinquent balances of auto title loans and auto title lines of credit, and increase the allowance as the loans age or in response to other potential indicators of loss. Auction proceeds from repossessed automobiles are recorded as an offset to bad debt.</w:t>
      </w:r>
    </w:p>
    <w:p>
      <w:pPr>
        <w:pStyle w:val="TextBody"/>
        <w:spacing w:lineRule="auto" w:line="288" w:before="0" w:after="0"/>
        <w:jc w:val="left"/>
        <w:rPr>
          <w:rFonts w:ascii="inherit" w:hAnsi="inherit"/>
          <w:sz w:val="17"/>
        </w:rPr>
      </w:pPr>
      <w:r>
        <w:rPr>
          <w:rFonts w:ascii="inherit" w:hAnsi="inherit"/>
          <w:sz w:val="17"/>
        </w:rPr>
        <w:t>At the time a consumer loan is made, a loan agreement and credit services agreement, when applicable, are given to the customer. It presents the name and address of the lender, the customer and the credit services company when applicable, the customer’s identification information, the date of the loan, the amount financed, the interest or service charges due on maturity, the maturity date of the loan, the total amount that must be paid and the annual percentage rate. At the time a line of credit is granted, customers receive a similar agreement specifying the terms of the credit line, fees and annual percentage rate and repayment terms.</w:t>
      </w:r>
    </w:p>
    <w:p>
      <w:pPr>
        <w:pStyle w:val="TextBody"/>
        <w:spacing w:lineRule="auto" w:line="288" w:before="0" w:after="0"/>
        <w:jc w:val="left"/>
        <w:rPr>
          <w:rFonts w:ascii="inherit" w:hAnsi="inherit"/>
          <w:b/>
          <w:sz w:val="17"/>
        </w:rPr>
      </w:pPr>
      <w:bookmarkStart w:id="24" w:name="s19CCD01FC9F3390B63AC0F13F4998753"/>
      <w:bookmarkEnd w:id="24"/>
      <w:r>
        <w:rPr>
          <w:rFonts w:ascii="inherit" w:hAnsi="inherit"/>
          <w:b/>
          <w:sz w:val="17"/>
        </w:rPr>
        <w:t>Seasonality</w:t>
      </w:r>
    </w:p>
    <w:p>
      <w:pPr>
        <w:pStyle w:val="TextBody"/>
        <w:spacing w:lineRule="auto" w:line="288" w:before="0" w:after="0"/>
        <w:jc w:val="left"/>
        <w:rPr>
          <w:rFonts w:ascii="inherit" w:hAnsi="inherit"/>
          <w:sz w:val="17"/>
        </w:rPr>
      </w:pPr>
      <w:r>
        <w:rPr>
          <w:rFonts w:ascii="inherit" w:hAnsi="inherit"/>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pStyle w:val="TextBody"/>
        <w:spacing w:lineRule="auto" w:line="288" w:before="0" w:after="0"/>
        <w:jc w:val="left"/>
        <w:rPr>
          <w:rFonts w:ascii="inherit" w:hAnsi="inherit"/>
          <w:sz w:val="17"/>
        </w:rPr>
      </w:pPr>
      <w:r>
        <w:rPr>
          <w:rFonts w:ascii="inherit" w:hAnsi="inherit"/>
          <w:sz w:val="17"/>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pStyle w:val="TextBody"/>
        <w:spacing w:lineRule="auto" w:line="288" w:before="0" w:after="0"/>
        <w:jc w:val="left"/>
        <w:rPr>
          <w:rFonts w:ascii="inherit" w:hAnsi="inherit"/>
          <w:sz w:val="17"/>
        </w:rPr>
      </w:pPr>
      <w:r>
        <w:rPr>
          <w:rFonts w:ascii="inherit" w:hAnsi="inherit"/>
          <w:sz w:val="17"/>
        </w:rPr>
        <w:t xml:space="preserve">The payroll withholding lending business is less impacted by seasonality, with the exception of the summer months when new loan originations tend to moderate. </w:t>
      </w:r>
    </w:p>
    <w:p>
      <w:pPr>
        <w:pStyle w:val="TextBody"/>
        <w:spacing w:lineRule="auto" w:line="288" w:before="0" w:after="0"/>
        <w:jc w:val="left"/>
        <w:rPr>
          <w:rFonts w:ascii="inherit" w:hAnsi="inherit"/>
          <w:sz w:val="17"/>
        </w:rPr>
      </w:pPr>
      <w:r>
        <w:rPr>
          <w:rFonts w:ascii="inherit" w:hAnsi="inherit"/>
          <w:sz w:val="17"/>
        </w:rPr>
        <w:t xml:space="preserve">The net effect of these factors is that net revenues and net income typically are strongest in the fourth fiscal quarter and weakest in the third fiscal quarter. </w:t>
      </w:r>
    </w:p>
    <w:p>
      <w:pPr>
        <w:pStyle w:val="TextBody"/>
        <w:spacing w:lineRule="auto" w:line="288" w:before="0" w:after="0"/>
        <w:jc w:val="left"/>
        <w:rPr>
          <w:rFonts w:ascii="inherit" w:hAnsi="inherit"/>
          <w:b/>
          <w:sz w:val="17"/>
        </w:rPr>
      </w:pPr>
      <w:bookmarkStart w:id="25" w:name="s1613B4BA74FEF56926810F13F4B93E2B"/>
      <w:bookmarkEnd w:id="25"/>
      <w:r>
        <w:rPr>
          <w:rFonts w:ascii="inherit" w:hAnsi="inherit"/>
          <w:b/>
          <w:sz w:val="17"/>
        </w:rPr>
        <w:t>Operations</w:t>
      </w:r>
    </w:p>
    <w:p>
      <w:pPr>
        <w:pStyle w:val="TextBody"/>
        <w:spacing w:lineRule="auto" w:line="288" w:before="0" w:after="0"/>
        <w:jc w:val="left"/>
        <w:rPr>
          <w:rFonts w:ascii="inherit" w:hAnsi="inherit"/>
          <w:sz w:val="17"/>
        </w:rPr>
      </w:pPr>
      <w:r>
        <w:rPr>
          <w:rFonts w:ascii="inherit" w:hAnsi="inherit"/>
          <w:sz w:val="17"/>
        </w:rPr>
        <w:t>A typical company pawn store employs approximately six full-time team members, consisting of a store manager, an assistant manager and four pawnbrokers. Each store manager is responsible for ensuring that the store is run in accordance with our policies, procedures and operating guidelines, and reports to an area manager. Area managers are responsible for the performance of all stores within their area and report to one of our regional directors. Managers and regional directors receive incentive compensation based on their performance in comparison to an operating budget. Our U.S. pawnbrokers are also eligible to receive incentive compensation based on the store’s performance and their individual productivity performance. The incentive compensation for our pawn employees typically ranges between 5% to 30% of their total compensation.</w:t>
      </w:r>
    </w:p>
    <w:p>
      <w:pPr>
        <w:pStyle w:val="TextBody"/>
        <w:spacing w:lineRule="auto" w:line="288" w:before="0" w:after="0"/>
        <w:jc w:val="left"/>
        <w:rPr>
          <w:rFonts w:ascii="inherit" w:hAnsi="inherit"/>
          <w:sz w:val="17"/>
        </w:rPr>
      </w:pPr>
      <w:r>
        <w:rPr>
          <w:rFonts w:ascii="inherit" w:hAnsi="inherit"/>
          <w:sz w:val="17"/>
        </w:rPr>
        <w:t>Financial services stores typically employ two to three team members per location, consisting of a store manager and one or two customer service representatives. Each store manager is responsible for ensuring that the store is run in accordance with our policies, procedures and operating guidelines, and reports to an area manager, who is responsible for the stores within a specific operating area and reports to a regional director. Managers and regional directors receive incentive compensation based on their performance in comparison to an operating budget.</w:t>
      </w:r>
    </w:p>
    <w:p>
      <w:pPr>
        <w:pStyle w:val="TextBody"/>
        <w:spacing w:lineRule="auto" w:line="288" w:before="0" w:after="0"/>
        <w:jc w:val="left"/>
        <w:rPr>
          <w:rFonts w:ascii="inherit" w:hAnsi="inherit"/>
          <w:sz w:val="17"/>
        </w:rPr>
      </w:pPr>
      <w:r>
        <w:rPr>
          <w:rFonts w:ascii="inherit" w:hAnsi="inherit"/>
          <w:sz w:val="17"/>
        </w:rPr>
        <w:t>In the majority of our financial services stores, store employees attempt to collect defaulted consumer loans in the first 30 days after default. After the initial 30 days, our centralized collection center assumes collection responsibility for these loans. The centralized collection center also collects defaulted consumer loans for all other locations from the date of default. After attempting to collect for approximately 90 days, we generally sell the remaining defaulted consumer loans to a third party or refer them to an outside collection agency for a contingency fee.</w:t>
      </w:r>
    </w:p>
    <w:p>
      <w:pPr>
        <w:pStyle w:val="TextBody"/>
        <w:spacing w:lineRule="auto" w:line="288" w:before="0" w:after="0"/>
        <w:jc w:val="left"/>
        <w:rPr>
          <w:rFonts w:ascii="inherit" w:hAnsi="inherit"/>
          <w:sz w:val="17"/>
        </w:rPr>
      </w:pPr>
      <w:r>
        <w:rPr>
          <w:rFonts w:ascii="inherit" w:hAnsi="inherit"/>
          <w:sz w:val="17"/>
        </w:rPr>
        <w:t>Our payroll withholding lending business in Mexico operates using a network of low-cost branch offices dedicated to making loans to employees of government agencies and other employers with whom Crediamigo has processing and withholding agreements in place. A centralized corporate office provides the lending approval function, processing of loans and repayments, collections, sales support and other administrative functions. Each branch location is headed by a sales manager and, depending upon size of the region, may have between eight and fifteen sales professionals reporting through the branch. Sales professionals are commission-based, with earnings tied to loans originated. All loan requests are approved or declined through the centralized credit process. Crediamigo also utilizes a network of brokers to augment the sales force.</w:t>
      </w:r>
    </w:p>
    <w:p>
      <w:pPr>
        <w:pStyle w:val="TextBody"/>
        <w:spacing w:lineRule="auto" w:line="288" w:before="0" w:after="0"/>
        <w:jc w:val="left"/>
        <w:rPr>
          <w:rFonts w:ascii="inherit" w:hAnsi="inherit"/>
          <w:sz w:val="17"/>
        </w:rPr>
      </w:pPr>
      <w:r>
        <w:rPr>
          <w:rFonts w:ascii="inherit" w:hAnsi="inherit"/>
          <w:sz w:val="17"/>
        </w:rPr>
        <w:t>We have an internally developed store level point of sale system that automates the recording of pawn, merchandise purchase and sale transactions. We also have a separate loan management computer system specifically designed to handle consumer loan transactions. We have redundant backup systems in the event of a system failure or natural disaster. Financial data from stores owned by our wholly-owned subsidiaries is processed at the corporate office each day and the preceding day’s data are available for management review via our internal network. For stores and operations owned by majority-owned subsidiaries, weekly financial data is provided to the corporate office. Our communications network provides information access between the stores and the corporate office.</w:t>
      </w:r>
    </w:p>
    <w:p>
      <w:pPr>
        <w:pStyle w:val="TextBody"/>
        <w:spacing w:lineRule="auto" w:line="288" w:before="0" w:after="0"/>
        <w:jc w:val="left"/>
        <w:rPr>
          <w:rFonts w:ascii="inherit" w:hAnsi="inherit"/>
          <w:sz w:val="17"/>
        </w:rPr>
      </w:pPr>
      <w:r>
        <w:rPr>
          <w:rFonts w:ascii="inherit" w:hAnsi="inherit"/>
          <w:sz w:val="17"/>
        </w:rPr>
        <w:t>Our internal audit staff monitors the perpetual inventory system, lending practices, regulatory compliance and compliance with our policies and procedures. Each location is typically audited several times annually, adjusted based on estimated risk.</w:t>
      </w:r>
    </w:p>
    <w:p>
      <w:pPr>
        <w:pStyle w:val="TextBody"/>
        <w:spacing w:lineRule="auto" w:line="288" w:before="0" w:after="0"/>
        <w:jc w:val="left"/>
        <w:rPr>
          <w:sz w:val="17"/>
        </w:rPr>
      </w:pPr>
      <w:r>
        <w:rPr>
          <w:rFonts w:ascii="inherit" w:hAnsi="inherit"/>
          <w:sz w:val="17"/>
        </w:rPr>
        <w:t xml:space="preserve">As of </w:t>
      </w:r>
      <w:r>
        <w:rPr>
          <w:rFonts w:ascii="inherit" w:hAnsi="inherit"/>
          <w:strike w:val="false"/>
          <w:dstrike w:val="false"/>
          <w:color w:val="000000"/>
          <w:sz w:val="17"/>
          <w:u w:val="none"/>
          <w:effect w:val="none"/>
        </w:rPr>
        <w:t>September 30, 2012</w:t>
      </w:r>
      <w:r>
        <w:rPr>
          <w:rFonts w:ascii="inherit" w:hAnsi="inherit"/>
          <w:sz w:val="17"/>
        </w:rPr>
        <w:t>, we employed approximately 7,200 team members. We believe that our success is dependent upon our team members’ ability to provide prompt and courteous customer service and to execute our operating procedures and standards. We seek to hire people who will become long-term, career team members. To achieve our long-range personnel goals, we offer a structured career development program for all of our field team members. This program includes computer-</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based training, formal structured classroom training and supervised on-the-job training. All store team members, including managers, must meet certain competency criteria prior to hire or promotion and participate in on-going training classes and formal instructional programs. Our career development program develops and advances our employees and provides training for the efficient integration of experienced managers and team members from outside the company.</w:t>
      </w:r>
    </w:p>
    <w:p>
      <w:pPr>
        <w:pStyle w:val="TextBody"/>
        <w:spacing w:lineRule="auto" w:line="288" w:before="0" w:after="0"/>
        <w:jc w:val="left"/>
        <w:rPr>
          <w:rFonts w:ascii="inherit" w:hAnsi="inherit"/>
          <w:b/>
          <w:sz w:val="17"/>
        </w:rPr>
      </w:pPr>
      <w:bookmarkStart w:id="26" w:name="sB9C90E31841BE8856CA30F13F4EC35C2"/>
      <w:bookmarkEnd w:id="26"/>
      <w:r>
        <w:rPr>
          <w:rFonts w:ascii="inherit" w:hAnsi="inherit"/>
          <w:b/>
          <w:sz w:val="17"/>
        </w:rPr>
        <w:t>Trademarks and Trade Names</w:t>
      </w:r>
    </w:p>
    <w:p>
      <w:pPr>
        <w:pStyle w:val="TextBody"/>
        <w:spacing w:lineRule="auto" w:line="288" w:before="0" w:after="0"/>
        <w:jc w:val="left"/>
        <w:rPr>
          <w:rFonts w:ascii="inherit" w:hAnsi="inherit"/>
          <w:sz w:val="17"/>
        </w:rPr>
      </w:pPr>
      <w:r>
        <w:rPr>
          <w:rFonts w:ascii="inherit" w:hAnsi="inherit"/>
          <w:sz w:val="17"/>
        </w:rPr>
        <w:t xml:space="preserve">We operate our U.S. pawn stores principally under the names “EZPAWN” or “Value Pawn” and the Mexico pawn stores under the names “EMPEÑO FÁCIL” and “EMPEÑE SU ORO AL INSTANTE.” Our U.S. financial services stores operate under a variety of names, including “EZMONEY Payday Loans,” “EZ Loan Services,” “EZ Payday Advance” and “EZPAWN Payday Loans,” and our CSO stores operate under the name “EZMONEY Loan Services.” Our financial services and buy/sell stores in Canada operate under the names “CASHMAX” or “Cash Converters.” In Mexico, we offer payroll withholding loans under the name "Crediamigo." In the U.K. we offer consumer loans online under the name "Cash Genie." We have registered with the United States Patent and Trademark Office the names EZPAWN, EZMONEY and EZCORP, among others. We hold a trademark in Mexico for the name “EMPEÑO FÁCIL” and are the master franchisee in Canada for the “Cash Converters” brand. </w:t>
      </w:r>
    </w:p>
    <w:p>
      <w:pPr>
        <w:pStyle w:val="TextBody"/>
        <w:spacing w:lineRule="auto" w:line="288" w:before="0" w:after="0"/>
        <w:jc w:val="left"/>
        <w:rPr>
          <w:rFonts w:ascii="inherit" w:hAnsi="inherit"/>
          <w:b/>
          <w:sz w:val="17"/>
        </w:rPr>
      </w:pPr>
      <w:bookmarkStart w:id="27" w:name="s8BCE3C7292C465BA3DF70F13F51085F7"/>
      <w:bookmarkEnd w:id="27"/>
      <w:r>
        <w:rPr>
          <w:rFonts w:ascii="inherit" w:hAnsi="inherit"/>
          <w:b/>
          <w:sz w:val="17"/>
        </w:rPr>
        <w:t>Growth and Expansion</w:t>
      </w:r>
    </w:p>
    <w:p>
      <w:pPr>
        <w:pStyle w:val="TextBody"/>
        <w:spacing w:lineRule="auto" w:line="288" w:before="0" w:after="0"/>
        <w:jc w:val="left"/>
        <w:rPr>
          <w:rFonts w:ascii="inherit" w:hAnsi="inherit"/>
          <w:sz w:val="17"/>
        </w:rPr>
      </w:pPr>
      <w:r>
        <w:rPr>
          <w:rFonts w:ascii="inherit" w:hAnsi="inherit"/>
          <w:sz w:val="17"/>
        </w:rPr>
        <w:t>We plan to expand the number of locations we operate through opening de novo locations and through acquisitions. We believe that in the near term the largest growth opportunities are with de novo stores in Mexico and the U.S., pawn store acquisitions in the U.S. and online lending, both in the U.S. and internationally. We continually evaluate and test new products and formats, which may result in expansion opportunities or strategic investments.</w:t>
      </w:r>
    </w:p>
    <w:p>
      <w:pPr>
        <w:pStyle w:val="TextBody"/>
        <w:spacing w:lineRule="auto" w:line="288" w:before="0" w:after="0"/>
        <w:rPr>
          <w:sz w:val="17"/>
        </w:rPr>
      </w:pPr>
      <w:r>
        <w:rPr>
          <w:rFonts w:ascii="inherit" w:hAnsi="inherit"/>
          <w:sz w:val="17"/>
        </w:rPr>
        <w:t xml:space="preserve">In fiscal 2012, we acquired 28 pawn stores in the San Antonio metropolitan area, Florida, Minnesota and Georgia; 8 buy/sell stores in Virginia, Pennsylvania and Canada; and 15 financial services stores in Hawaii and Texas. The aggregate consideration for these stores was approximately $76.9 million, net of cash acquired. During fiscal 2012, we also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interest in Crediamigo, a specialty consumer finance company headquartered in Mexico City, for total consideration of $</w:t>
      </w:r>
      <w:r>
        <w:rPr>
          <w:rFonts w:ascii="inherit" w:hAnsi="inherit"/>
          <w:strike w:val="false"/>
          <w:dstrike w:val="false"/>
          <w:color w:val="000000"/>
          <w:sz w:val="17"/>
          <w:u w:val="none"/>
          <w:effect w:val="none"/>
        </w:rPr>
        <w:t>60.1 million</w:t>
      </w:r>
      <w:r>
        <w:rPr>
          <w:rFonts w:ascii="inherit" w:hAnsi="inherit"/>
          <w:sz w:val="17"/>
        </w:rPr>
        <w:t xml:space="preserve">, net of cash acquired; and a 72% interest in Ariste Holding Limited and its affiliates, which provides online loans in the U.K under the name "Cash Genie," for total consideration of $32.4 million, net of cash acquired. The results of all acquired stores and businesses have been consolidated with our results since their acquisition. These acquisitions were part of our continuing strategy to enhance and diversify our earnings. During fiscal 2012, we also opened 10 pawn and four financial services stores in the U.S., 54 pawn stores in Mexico, three buy/sell and financial services stores in Canada and two financial services stores in Mexico. </w:t>
      </w:r>
    </w:p>
    <w:p>
      <w:pPr>
        <w:pStyle w:val="TextBody"/>
        <w:spacing w:lineRule="auto" w:line="288" w:before="0" w:after="0"/>
        <w:rPr>
          <w:rFonts w:ascii="inherit" w:hAnsi="inherit"/>
          <w:sz w:val="17"/>
        </w:rPr>
      </w:pPr>
      <w:r>
        <w:rPr>
          <w:rFonts w:ascii="inherit" w:hAnsi="inherit"/>
          <w:sz w:val="17"/>
        </w:rPr>
        <w:t xml:space="preserve">In fiscal 2013, we plan to open 25 to 30 pawn stores in the U.S., 70 to 80 pawn stores in Mexico and 65 to 75 financial services stores in the U.S. (most of which will follow our store-within-a-store format). </w:t>
      </w:r>
    </w:p>
    <w:p>
      <w:pPr>
        <w:pStyle w:val="TextBody"/>
        <w:spacing w:lineRule="auto" w:line="288" w:before="0" w:after="0"/>
        <w:jc w:val="left"/>
        <w:rPr>
          <w:sz w:val="17"/>
        </w:rPr>
      </w:pPr>
      <w:r>
        <w:rPr>
          <w:rFonts w:ascii="inherit" w:hAnsi="inherit"/>
          <w:sz w:val="17"/>
        </w:rPr>
        <w:t xml:space="preserve">The cost of opening new de novo stores varies based on the size, type and location of stores opened. During fiscal </w:t>
      </w:r>
      <w:r>
        <w:rPr>
          <w:rFonts w:ascii="inherit" w:hAnsi="inherit"/>
          <w:strike w:val="false"/>
          <w:dstrike w:val="false"/>
          <w:color w:val="000000"/>
          <w:sz w:val="17"/>
          <w:u w:val="none"/>
          <w:effect w:val="none"/>
        </w:rPr>
        <w:t>2012</w:t>
      </w:r>
      <w:r>
        <w:rPr>
          <w:rFonts w:ascii="inherit" w:hAnsi="inherit"/>
          <w:sz w:val="17"/>
        </w:rPr>
        <w:t>, we opened 10 de novo U.S. pawn stores, each requiring an average property and equipment investment of approximately $380,000. The three de novo Canadian buy/sell and financial services stores required an average property and equipment investment of approximately $80,000, while the 52 de novo pawn stores in Mexico required an average property and equipment investment of approximately $120,000.</w:t>
      </w:r>
    </w:p>
    <w:p>
      <w:pPr>
        <w:pStyle w:val="TextBody"/>
        <w:spacing w:lineRule="auto" w:line="288" w:before="0" w:after="0"/>
        <w:jc w:val="left"/>
        <w:rPr>
          <w:rFonts w:ascii="inherit" w:hAnsi="inherit"/>
          <w:sz w:val="17"/>
        </w:rPr>
      </w:pPr>
      <w:r>
        <w:rPr>
          <w:rFonts w:ascii="inherit" w:hAnsi="inherit"/>
          <w:sz w:val="17"/>
        </w:rPr>
        <w:t>Our ability to add new stores is dependent on several variables, such as the availability of acceptable sites or acquisition candidates, the regulatory environment, local zoning ordinances, access to capital and the availability of qualified personnel.</w:t>
      </w:r>
    </w:p>
    <w:p>
      <w:pPr>
        <w:pStyle w:val="TextBody"/>
        <w:spacing w:lineRule="auto" w:line="288" w:before="0" w:after="0"/>
        <w:jc w:val="left"/>
        <w:rPr>
          <w:rFonts w:ascii="inherit" w:hAnsi="inherit"/>
          <w:b/>
          <w:sz w:val="17"/>
        </w:rPr>
      </w:pPr>
      <w:bookmarkStart w:id="28" w:name="s1542324868334DC79C4B0F13F542FF3F"/>
      <w:bookmarkEnd w:id="28"/>
      <w:r>
        <w:rPr>
          <w:rFonts w:ascii="inherit" w:hAnsi="inherit"/>
          <w:b/>
          <w:sz w:val="17"/>
        </w:rPr>
        <w:t>Competition</w:t>
      </w:r>
    </w:p>
    <w:p>
      <w:pPr>
        <w:pStyle w:val="TextBody"/>
        <w:spacing w:lineRule="auto" w:line="288" w:before="0" w:after="0"/>
        <w:jc w:val="left"/>
        <w:rPr>
          <w:rFonts w:ascii="inherit" w:hAnsi="inherit"/>
          <w:sz w:val="17"/>
        </w:rPr>
      </w:pPr>
      <w:r>
        <w:rPr>
          <w:rFonts w:ascii="inherit" w:hAnsi="inherit"/>
          <w:sz w:val="17"/>
        </w:rPr>
        <w:t>We encounter significant competition in connection with all of our activities. These competitive conditions may adversely affect our revenues, profitability and ability to expand. In our lending businesses, we compete with other pawn stores, payday lenders, credit service organizations, banks, credit unions and other financial institutions, such as consumer finance companies. Other lenders may lend money on an unsecured basis, at interest rates that may be lower than our service charges, and on other terms that may be more favorable than ours or through other market channels, such as online, which some customers may prefer. We believe that the primary elements of competition are the quality of customer service and relationship management, convenience, store location, a customer friendly environment and the ability to loan competitive amounts at competitive rates. In addition, we believe the ability to compete effectively will be based increasingly on strong general management, regional focus, automated management information systems, access to capital, superior customer service and the ability to offer certain services online.</w:t>
      </w:r>
    </w:p>
    <w:p>
      <w:pPr>
        <w:pStyle w:val="TextBody"/>
        <w:spacing w:lineRule="auto" w:line="288" w:before="0" w:after="0"/>
        <w:jc w:val="left"/>
        <w:rPr>
          <w:rFonts w:ascii="inherit" w:hAnsi="inherit"/>
          <w:sz w:val="17"/>
        </w:rPr>
      </w:pPr>
      <w:r>
        <w:rPr>
          <w:rFonts w:ascii="inherit" w:hAnsi="inherit"/>
          <w:sz w:val="17"/>
        </w:rPr>
        <w:t xml:space="preserve">Our competitors for merchandise sales include numerous retail and wholesale stores, including jewelry stores, discount retail stores, consumer electronics stores, other pawn stores, other resale stores, electronic commerce retailers and auction sites.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Competitive factors in our retail operations include the ability to provide the customer with a variety of merchandise at an exceptional value and convenience.</w:t>
      </w:r>
    </w:p>
    <w:p>
      <w:pPr>
        <w:pStyle w:val="TextBody"/>
        <w:spacing w:lineRule="auto" w:line="288" w:before="0" w:after="0"/>
        <w:jc w:val="left"/>
        <w:rPr>
          <w:rFonts w:ascii="inherit" w:hAnsi="inherit"/>
          <w:sz w:val="17"/>
        </w:rPr>
      </w:pPr>
      <w:r>
        <w:rPr>
          <w:rFonts w:ascii="inherit" w:hAnsi="inherit"/>
          <w:sz w:val="17"/>
        </w:rPr>
        <w:t>In offering general purpose, reloadable debit cards, our competitors include other specialty financial service providers, banks and credit unions, as well as specialists in offering debit cards. Competitive factors in our debit card operations include offering competitive, comprehensive services at competitive rates.</w:t>
      </w:r>
    </w:p>
    <w:p>
      <w:pPr>
        <w:pStyle w:val="TextBody"/>
        <w:spacing w:lineRule="auto" w:line="288" w:before="0" w:after="0"/>
        <w:jc w:val="left"/>
        <w:rPr>
          <w:sz w:val="17"/>
        </w:rPr>
      </w:pPr>
      <w:r>
        <w:rPr>
          <w:rFonts w:ascii="inherit" w:hAnsi="inherit"/>
          <w:sz w:val="17"/>
        </w:rPr>
        <w:t xml:space="preserve">The pawn industry in the United States is large and highly fragmented. The industry consists of approximately 13,000 pawn stores owned primarily by independent operators who own one to three locations, and we consider the industry relatively mature. We are the second largest operator of pawn stores in the United States, with 470 locations at </w:t>
      </w:r>
      <w:r>
        <w:rPr>
          <w:rFonts w:ascii="inherit" w:hAnsi="inherit"/>
          <w:strike w:val="false"/>
          <w:dstrike w:val="false"/>
          <w:color w:val="000000"/>
          <w:sz w:val="17"/>
          <w:u w:val="none"/>
          <w:effect w:val="none"/>
        </w:rPr>
        <w:t>September 30, 2012</w:t>
      </w:r>
      <w:r>
        <w:rPr>
          <w:rFonts w:ascii="inherit" w:hAnsi="inherit"/>
          <w:sz w:val="17"/>
        </w:rPr>
        <w:t>. The three largest pawn store operators account for approximately ten percent of the total estimated pawn stores in the United States.</w:t>
      </w:r>
    </w:p>
    <w:p>
      <w:pPr>
        <w:pStyle w:val="TextBody"/>
        <w:spacing w:lineRule="auto" w:line="288" w:before="0" w:after="0"/>
        <w:jc w:val="left"/>
        <w:rPr>
          <w:rFonts w:ascii="inherit" w:hAnsi="inherit"/>
          <w:sz w:val="17"/>
        </w:rPr>
      </w:pPr>
      <w:r>
        <w:rPr>
          <w:rFonts w:ascii="inherit" w:hAnsi="inherit"/>
          <w:sz w:val="17"/>
        </w:rPr>
        <w:t>The pawn industry in Mexico is also fragmented, but less so than in the United States. The industry consists of approximately 5,000 pawn stores owned by independent operators and chains, including some not-for-profit organizations. The pawn industry, particularly full-line stores offering general merchandise and jewelry loans and resale, remains in more of an expansion stage in Mexico than in the United States. The market for gold-only pawn stores is mature.</w:t>
      </w:r>
    </w:p>
    <w:p>
      <w:pPr>
        <w:pStyle w:val="TextBody"/>
        <w:spacing w:lineRule="auto" w:line="288" w:before="0" w:after="0"/>
        <w:jc w:val="left"/>
        <w:rPr>
          <w:rFonts w:ascii="inherit" w:hAnsi="inherit"/>
          <w:sz w:val="17"/>
        </w:rPr>
      </w:pPr>
      <w:r>
        <w:rPr>
          <w:rFonts w:ascii="inherit" w:hAnsi="inherit"/>
          <w:sz w:val="17"/>
        </w:rPr>
        <w:t xml:space="preserve">The unsecured payroll lending industry in Mexico is less developed than other Latin American countries. Payroll lending in Mexico is generally marketed to public sector employees, who on average earn more and rotate less frequently than their private sector peers. Additionally, government entities tend to be more stable and on average have more employees than private companies. It is estimated that less than 15% of the market potential is being serviced. Crediamigo is the third largest vertically integrated payroll lender in Mexico with 45 branch offices located in 24 of the 32 states in the country. </w:t>
      </w:r>
    </w:p>
    <w:p>
      <w:pPr>
        <w:pStyle w:val="TextBody"/>
        <w:spacing w:lineRule="auto" w:line="288" w:before="0" w:after="0"/>
        <w:jc w:val="left"/>
        <w:rPr>
          <w:rFonts w:ascii="inherit" w:hAnsi="inherit"/>
          <w:sz w:val="17"/>
        </w:rPr>
      </w:pPr>
      <w:r>
        <w:rPr>
          <w:rFonts w:ascii="inherit" w:hAnsi="inherit"/>
          <w:sz w:val="17"/>
        </w:rPr>
        <w:t>The specialty financial services industry in the United States is mature and is larger and more concentrated than the pawn industry. The industry consists of a number of online lenders and approximately 20,000 locations that are either mono-line stores offering only short-term consumer loans or other businesses offering short-term consumer loans in addition to other products and services, such as check cashing stores, automobile title loan stores, pawn stores and stores offering reloadable debit cards. The ten largest short-term consumer loan companies, including us, operate approximately 45% of the total number of physical locations, and online competition has increased in recent years. Recently, several national and regional banks have begun offering cash advance products with similar characteristics and rate structures to our short-term consumer loans.</w:t>
      </w:r>
    </w:p>
    <w:p>
      <w:pPr>
        <w:pStyle w:val="TextBody"/>
        <w:spacing w:lineRule="auto" w:line="288" w:before="0" w:after="0"/>
        <w:jc w:val="left"/>
        <w:rPr>
          <w:rFonts w:ascii="inherit" w:hAnsi="inherit"/>
          <w:sz w:val="17"/>
        </w:rPr>
      </w:pPr>
      <w:r>
        <w:rPr>
          <w:rFonts w:ascii="inherit" w:hAnsi="inherit"/>
          <w:sz w:val="17"/>
        </w:rPr>
        <w:t>The specialty financial services industry in Canada remains in a growth stage. The industry consists of approximately 1,500 locations that are either mono-line stores offering only short-term consumer loans or other businesses offering short-term consumer loans in addition to other products and services, such as check cashing stores, pawn stores and stores offering reloadable debit cards or bank accounts. The Canadian short-term consumer loan industry is highly concentrated, with the three largest companies operating approximately 74% of the total number of locations.</w:t>
      </w:r>
    </w:p>
    <w:p>
      <w:pPr>
        <w:pStyle w:val="TextBody"/>
        <w:spacing w:lineRule="auto" w:line="288" w:before="0" w:after="0"/>
        <w:jc w:val="left"/>
        <w:rPr>
          <w:rFonts w:ascii="inherit" w:hAnsi="inherit"/>
          <w:sz w:val="17"/>
        </w:rPr>
      </w:pPr>
      <w:r>
        <w:rPr>
          <w:rFonts w:ascii="inherit" w:hAnsi="inherit"/>
          <w:sz w:val="17"/>
        </w:rPr>
        <w:t>The U.K. online lending market receives approximately 2 million applications per month, with 25% of that traffic coming from mobile phones. The online lending market is competitive, and website traffic is generated through mainstream and online media. There are over 100 online lenders within the U.K., with Cash Genie ranking in the top five.</w:t>
      </w:r>
    </w:p>
    <w:p>
      <w:pPr>
        <w:pStyle w:val="TextBody"/>
        <w:spacing w:lineRule="auto" w:line="288" w:before="0" w:after="0"/>
        <w:jc w:val="left"/>
        <w:rPr>
          <w:rFonts w:ascii="inherit" w:hAnsi="inherit"/>
          <w:b/>
          <w:sz w:val="17"/>
        </w:rPr>
      </w:pPr>
      <w:bookmarkStart w:id="29" w:name="s68C8EC3F262AA92628C40F13F561E2C0"/>
      <w:bookmarkEnd w:id="29"/>
      <w:r>
        <w:rPr>
          <w:rFonts w:ascii="inherit" w:hAnsi="inherit"/>
          <w:b/>
          <w:sz w:val="17"/>
        </w:rPr>
        <w:t>Strategic Investments</w:t>
      </w:r>
    </w:p>
    <w:p>
      <w:pPr>
        <w:pStyle w:val="TextBody"/>
        <w:spacing w:lineRule="auto" w:line="288" w:before="0" w:after="0"/>
        <w:jc w:val="left"/>
        <w:rPr>
          <w:sz w:val="17"/>
        </w:rPr>
      </w:pPr>
      <w:r>
        <w:rPr>
          <w:rFonts w:ascii="inherit" w:hAnsi="inherit"/>
          <w:i/>
          <w:sz w:val="17"/>
        </w:rPr>
        <w:t>Albemarle &amp; Bond</w:t>
      </w:r>
      <w:r>
        <w:rPr>
          <w:sz w:val="17"/>
        </w:rPr>
        <w:t xml:space="preserve"> — </w:t>
      </w: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we held almost 30% of the outstanding shares of Albemarle &amp; Bond Holdings PLC, a publicly-traded company headquartered in Reading, United Kingdom. At June 30, 2012, the latest date at which Albemarle &amp; Bond has publicly reported results, Albemarle &amp; Bond operated approximately 230 locations in the United Kingdom that offer pawn loans, payday loans, installment loans, check cashing and retail jewelry. For its fiscal year ended </w:t>
      </w:r>
      <w:r>
        <w:rPr>
          <w:rFonts w:ascii="inherit" w:hAnsi="inherit"/>
          <w:strike w:val="false"/>
          <w:dstrike w:val="false"/>
          <w:color w:val="000000"/>
          <w:sz w:val="17"/>
          <w:u w:val="none"/>
          <w:effect w:val="none"/>
        </w:rPr>
        <w:t>June 30, 2012</w:t>
      </w:r>
      <w:r>
        <w:rPr>
          <w:rFonts w:ascii="inherit" w:hAnsi="inherit"/>
          <w:sz w:val="17"/>
        </w:rPr>
        <w:t xml:space="preserve">, Albemarle &amp; Bond's gross revenues increased 16% to £117.7 million ($186.5 million), its net income increased 2% to approximately £15.7 million ($24.8 million), and its diluted earnings per share increased 2% to £0.2819 ($0.4466). Albemarle &amp; Bond's stock is traded on the Alternative Investment Market of the London Stock Exchange. We are its largest single shareholder and currently hold three of the nine seats on Albemarle &amp; Bond’s board of directors. We account for our investment in Albemarle &amp; Bond under the equity method. In fiscal </w:t>
      </w:r>
      <w:r>
        <w:rPr>
          <w:rFonts w:ascii="inherit" w:hAnsi="inherit"/>
          <w:strike w:val="false"/>
          <w:dstrike w:val="false"/>
          <w:color w:val="000000"/>
          <w:sz w:val="17"/>
          <w:u w:val="none"/>
          <w:effect w:val="none"/>
        </w:rPr>
        <w:t>2012</w:t>
      </w:r>
      <w:r>
        <w:rPr>
          <w:rFonts w:ascii="inherit" w:hAnsi="inherit"/>
          <w:sz w:val="17"/>
        </w:rPr>
        <w:t xml:space="preserve">, our interest in Albemarle &amp; Bond’s income was $7.5 million and we received dividends of $3.4 million. Based on the closing price and exchange rates on </w:t>
      </w:r>
      <w:r>
        <w:rPr>
          <w:rFonts w:ascii="inherit" w:hAnsi="inherit"/>
          <w:strike w:val="false"/>
          <w:dstrike w:val="false"/>
          <w:color w:val="000000"/>
          <w:sz w:val="17"/>
          <w:u w:val="none"/>
          <w:effect w:val="none"/>
        </w:rPr>
        <w:t>September 30, 2012</w:t>
      </w:r>
      <w:r>
        <w:rPr>
          <w:rFonts w:ascii="inherit" w:hAnsi="inherit"/>
          <w:sz w:val="17"/>
        </w:rPr>
        <w:t xml:space="preserve">, the market value of our investment in Albemarle &amp; Bond was approximately </w:t>
      </w:r>
      <w:r>
        <w:rPr>
          <w:rFonts w:ascii="inherit" w:hAnsi="inherit"/>
          <w:strike w:val="false"/>
          <w:dstrike w:val="false"/>
          <w:color w:val="000000"/>
          <w:sz w:val="17"/>
          <w:u w:val="none"/>
          <w:effect w:val="none"/>
        </w:rPr>
        <w:t>$65.1 million</w:t>
      </w:r>
      <w:r>
        <w:rPr>
          <w:sz w:val="17"/>
        </w:rPr>
        <w:t xml:space="preserve"> </w:t>
      </w:r>
      <w:r>
        <w:rPr>
          <w:rFonts w:ascii="inherit" w:hAnsi="inherit"/>
          <w:sz w:val="17"/>
        </w:rPr>
        <w:t xml:space="preserve">compared to its book value of </w:t>
      </w:r>
      <w:r>
        <w:rPr>
          <w:rFonts w:ascii="inherit" w:hAnsi="inherit"/>
          <w:strike w:val="false"/>
          <w:dstrike w:val="false"/>
          <w:color w:val="000000"/>
          <w:sz w:val="17"/>
          <w:u w:val="none"/>
          <w:effect w:val="none"/>
        </w:rPr>
        <w:t>$51.8 million</w:t>
      </w:r>
      <w:r>
        <w:rPr>
          <w:rFonts w:ascii="inherit" w:hAnsi="inherit"/>
          <w:sz w:val="17"/>
        </w:rPr>
        <w:t>.</w:t>
      </w:r>
    </w:p>
    <w:p>
      <w:pPr>
        <w:pStyle w:val="TextBody"/>
        <w:spacing w:lineRule="auto" w:line="288" w:before="0" w:after="0"/>
        <w:jc w:val="left"/>
        <w:rPr>
          <w:sz w:val="17"/>
        </w:rPr>
      </w:pPr>
      <w:r>
        <w:rPr>
          <w:rFonts w:ascii="inherit" w:hAnsi="inherit"/>
          <w:i/>
          <w:sz w:val="17"/>
        </w:rPr>
        <w:t>Cash Converters International</w:t>
      </w:r>
      <w:r>
        <w:rPr>
          <w:sz w:val="17"/>
        </w:rPr>
        <w:t xml:space="preserve"> — </w:t>
      </w: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we owned approximately 33% of the total ordinary shares of Cash Converters International Limited, a publicly-traded company headquartered in Perth, Australia. We acquired the shares between November 2009 and May 2010 for approximately $57.8 million. As its largest single shareholder and, pursuant to a shareholder agreement, we hold two of the five seats on Cash Converters’ board of directors. Cash Converters franchises and operates a worldwide network of approximately 700 specialty financial services and retail stores that provide pawn loans, short-term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unsecured loans and other consumer finance products, and buy and sell second-hand goods. Cash Converters has significant store concentrations in Australia and the United Kingdom. In the short-term, we expect Cash Converters will continue buying back franchised locations and converting them into company operated stores as well as increasing its portfolio of short-term consumer loans in Australia and the U.K. </w:t>
      </w:r>
    </w:p>
    <w:p>
      <w:pPr>
        <w:pStyle w:val="TextBody"/>
        <w:spacing w:lineRule="auto" w:line="288" w:before="0" w:after="0"/>
        <w:jc w:val="left"/>
        <w:rPr>
          <w:rFonts w:ascii="inherit" w:hAnsi="inherit"/>
          <w:sz w:val="17"/>
        </w:rPr>
      </w:pPr>
      <w:r>
        <w:rPr>
          <w:rFonts w:ascii="inherit" w:hAnsi="inherit"/>
          <w:sz w:val="17"/>
        </w:rPr>
        <w:t>The Consumer Credit and Corporations Legislation Amendment (Enhancements) Bill 2011 was passed by the Australian Parliament in August 2012. This new law, which will go into effect on July 1, 2013, imposes certain limitations and restrictions on short-term consumer loans in Australia, including interest limitations and restrictions on extensions and refinancings. These limitations and restrictions, however, are more favorable to the industry than previous proposals, and the passage of these rules should stabilize the Australian regulatory environment related to short-term consumer loans for the foreseeable future.</w:t>
      </w:r>
    </w:p>
    <w:p>
      <w:pPr>
        <w:pStyle w:val="TextBody"/>
        <w:spacing w:lineRule="auto" w:line="288" w:before="0" w:after="0"/>
        <w:jc w:val="left"/>
        <w:rPr>
          <w:sz w:val="17"/>
        </w:rPr>
      </w:pPr>
      <w:r>
        <w:rPr>
          <w:rFonts w:ascii="inherit" w:hAnsi="inherit"/>
          <w:sz w:val="17"/>
        </w:rPr>
        <w:t xml:space="preserve">For its fiscal year ended </w:t>
      </w:r>
      <w:r>
        <w:rPr>
          <w:rFonts w:ascii="inherit" w:hAnsi="inherit"/>
          <w:strike w:val="false"/>
          <w:dstrike w:val="false"/>
          <w:color w:val="000000"/>
          <w:sz w:val="17"/>
          <w:u w:val="none"/>
          <w:effect w:val="none"/>
        </w:rPr>
        <w:t>June 30, 2012</w:t>
      </w:r>
      <w:r>
        <w:rPr>
          <w:rFonts w:ascii="inherit" w:hAnsi="inherit"/>
          <w:sz w:val="17"/>
        </w:rPr>
        <w:t xml:space="preserve">, Cash Converters’ gross revenue improved 26% to AUS $234.4 million (U.S. $241.9 million), net income improved 6% to AUS $29.4 million (U.S. $30.4 million) and diluted earnings per share increased 6% to AUS $0.0763 (U.S. $0.0790). For the year, Cash Converters declared dividends of AUS $0.0350 (U.S. $0.0361) per share. We account for our investment in Cash Converters under the equity method. In fiscal </w:t>
      </w:r>
      <w:r>
        <w:rPr>
          <w:rFonts w:ascii="inherit" w:hAnsi="inherit"/>
          <w:strike w:val="false"/>
          <w:dstrike w:val="false"/>
          <w:color w:val="000000"/>
          <w:sz w:val="17"/>
          <w:u w:val="none"/>
          <w:effect w:val="none"/>
        </w:rPr>
        <w:t>2012</w:t>
      </w:r>
      <w:r>
        <w:rPr>
          <w:rFonts w:ascii="inherit" w:hAnsi="inherit"/>
          <w:sz w:val="17"/>
        </w:rPr>
        <w:t xml:space="preserve">, our interest in Cash Converters’ income was $9.9 million and we recorded dividends of $4.4 million. Based on the closing price and exchange rates on </w:t>
      </w:r>
      <w:r>
        <w:rPr>
          <w:rFonts w:ascii="inherit" w:hAnsi="inherit"/>
          <w:strike w:val="false"/>
          <w:dstrike w:val="false"/>
          <w:color w:val="000000"/>
          <w:sz w:val="17"/>
          <w:u w:val="none"/>
          <w:effect w:val="none"/>
        </w:rPr>
        <w:t>September 30, 2012</w:t>
      </w:r>
      <w:r>
        <w:rPr>
          <w:rFonts w:ascii="inherit" w:hAnsi="inherit"/>
          <w:sz w:val="17"/>
        </w:rPr>
        <w:t xml:space="preserve">, the market value of our investment in Cash Converters was approximately </w:t>
      </w:r>
      <w:r>
        <w:rPr>
          <w:rFonts w:ascii="inherit" w:hAnsi="inherit"/>
          <w:strike w:val="false"/>
          <w:dstrike w:val="false"/>
          <w:color w:val="000000"/>
          <w:sz w:val="17"/>
          <w:u w:val="none"/>
          <w:effect w:val="none"/>
        </w:rPr>
        <w:t>$100.7 million</w:t>
      </w:r>
      <w:r>
        <w:rPr>
          <w:sz w:val="17"/>
        </w:rPr>
        <w:t xml:space="preserve"> </w:t>
      </w:r>
      <w:r>
        <w:rPr>
          <w:rFonts w:ascii="inherit" w:hAnsi="inherit"/>
          <w:sz w:val="17"/>
        </w:rPr>
        <w:t xml:space="preserve">compared to its book value of </w:t>
      </w:r>
      <w:r>
        <w:rPr>
          <w:rFonts w:ascii="inherit" w:hAnsi="inherit"/>
          <w:strike w:val="false"/>
          <w:dstrike w:val="false"/>
          <w:color w:val="000000"/>
          <w:sz w:val="17"/>
          <w:u w:val="none"/>
          <w:effect w:val="none"/>
        </w:rPr>
        <w:t>$74.3 million</w:t>
      </w:r>
      <w:r>
        <w:rPr>
          <w:sz w:val="17"/>
        </w:rPr>
        <w:t xml:space="preserve"> </w:t>
      </w:r>
    </w:p>
    <w:p>
      <w:pPr>
        <w:pStyle w:val="TextBody"/>
        <w:spacing w:lineRule="auto" w:line="288" w:before="0" w:after="0"/>
        <w:jc w:val="left"/>
        <w:rPr>
          <w:rFonts w:ascii="inherit" w:hAnsi="inherit"/>
          <w:b/>
          <w:sz w:val="17"/>
        </w:rPr>
      </w:pPr>
      <w:bookmarkStart w:id="30" w:name="sDBF79CBDB05A0CF1A50B0F13F593109F"/>
      <w:bookmarkEnd w:id="30"/>
      <w:r>
        <w:rPr>
          <w:rFonts w:ascii="inherit" w:hAnsi="inherit"/>
          <w:b/>
          <w:sz w:val="17"/>
        </w:rPr>
        <w:t>Regulation</w:t>
      </w:r>
    </w:p>
    <w:p>
      <w:pPr>
        <w:pStyle w:val="TextBody"/>
        <w:spacing w:lineRule="auto" w:line="288" w:before="0" w:after="0"/>
        <w:jc w:val="left"/>
        <w:rPr>
          <w:rFonts w:ascii="inherit" w:hAnsi="inherit"/>
          <w:sz w:val="17"/>
        </w:rPr>
      </w:pPr>
      <w:r>
        <w:rPr>
          <w:rFonts w:ascii="inherit" w:hAnsi="inherit"/>
          <w:sz w:val="17"/>
        </w:rPr>
        <w:t>Our operations are subject to extensive regulation under various federal, state and local laws and regulations, and we believe that we conduct our business in material compliance with all of these rules. The following is a general description of significant regulations affecting our business. For a geographic breakdown of our operating locations, see “Part I — Item 2 — Properties.”</w:t>
      </w:r>
    </w:p>
    <w:p>
      <w:pPr>
        <w:pStyle w:val="TextBody"/>
        <w:spacing w:lineRule="auto" w:line="288" w:before="0" w:after="0"/>
        <w:jc w:val="left"/>
        <w:rPr>
          <w:rFonts w:ascii="inherit" w:hAnsi="inherit"/>
          <w:i/>
          <w:sz w:val="17"/>
        </w:rPr>
      </w:pPr>
      <w:r>
        <w:rPr>
          <w:rFonts w:ascii="inherit" w:hAnsi="inherit"/>
          <w:i/>
          <w:sz w:val="17"/>
        </w:rPr>
        <w:t>Pawn and Retail Regulations</w:t>
      </w:r>
    </w:p>
    <w:p>
      <w:pPr>
        <w:pStyle w:val="TextBody"/>
        <w:spacing w:lineRule="auto" w:line="288" w:before="0" w:after="0"/>
        <w:jc w:val="left"/>
        <w:rPr>
          <w:rFonts w:ascii="inherit" w:hAnsi="inherit"/>
          <w:sz w:val="17"/>
        </w:rPr>
      </w:pPr>
      <w:r>
        <w:rPr>
          <w:rFonts w:ascii="inherit" w:hAnsi="inherit"/>
          <w:sz w:val="17"/>
        </w:rPr>
        <w:t>Our pawn stores are regulated by the states in which they are located and, in some cases, by individual municipalities or other local 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service charges and interest rates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interest, fees, total payments and annual percentage rate related to each pawn loan transaction. Additional federal regulations applicable to our pawn lending business are described in “Other Federal Regulations” below.</w:t>
      </w:r>
    </w:p>
    <w:p>
      <w:pPr>
        <w:pStyle w:val="TextBody"/>
        <w:spacing w:lineRule="auto" w:line="288" w:before="0" w:after="0"/>
        <w:jc w:val="left"/>
        <w:rPr>
          <w:rFonts w:ascii="inherit" w:hAnsi="inherit"/>
          <w:sz w:val="17"/>
        </w:rPr>
      </w:pPr>
      <w:r>
        <w:rPr>
          <w:rFonts w:ascii="inherit" w:hAnsi="inherit"/>
          <w:sz w:val="17"/>
        </w:rPr>
        <w:t>Most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Historically, we have not experienced a material number of claims of this nature.</w:t>
      </w:r>
    </w:p>
    <w:p>
      <w:pPr>
        <w:pStyle w:val="TextBody"/>
        <w:spacing w:lineRule="auto" w:line="288" w:before="0" w:after="0"/>
        <w:jc w:val="left"/>
        <w:rPr>
          <w:rFonts w:ascii="inherit" w:hAnsi="inherit"/>
          <w:sz w:val="17"/>
        </w:rPr>
      </w:pPr>
      <w:r>
        <w:rPr>
          <w:rFonts w:ascii="inherit" w:hAnsi="inherit"/>
          <w:sz w:val="17"/>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pStyle w:val="TextBody"/>
        <w:spacing w:lineRule="auto" w:line="288" w:before="0" w:after="0"/>
        <w:jc w:val="left"/>
        <w:rPr>
          <w:rFonts w:ascii="inherit" w:hAnsi="inherit"/>
          <w:sz w:val="17"/>
        </w:rPr>
      </w:pPr>
      <w:r>
        <w:rPr>
          <w:rFonts w:ascii="inherit" w:hAnsi="inherit"/>
          <w:sz w:val="17"/>
        </w:rPr>
        <w:t>Mexico regulates various aspects of the pawn industry at the federal, state and local level. Regulations issued by the federal consumer protection agency, Procuraduría Federal del Consumidor (PROFECO), govern the form of pawn loan contracts and consumer disclosures, but the regulations do not impose interest rate or service charge limitations on pawn loans. Pawn stores, like other businesses in Mexico, are also subject to a variety of regulations in such areas as tax compliance, customs, consumer protection and employment.</w:t>
      </w:r>
    </w:p>
    <w:p>
      <w:pPr>
        <w:pStyle w:val="TextBody"/>
        <w:spacing w:lineRule="auto" w:line="288" w:before="0" w:after="0"/>
        <w:jc w:val="left"/>
        <w:rPr>
          <w:rFonts w:ascii="inherit" w:hAnsi="inherit"/>
          <w:sz w:val="17"/>
        </w:rPr>
      </w:pPr>
      <w:r>
        <w:rPr>
          <w:rFonts w:ascii="inherit" w:hAnsi="inherit"/>
          <w:sz w:val="17"/>
        </w:rPr>
        <w:t xml:space="preserve">In Canada, and in Virginia and Pennsylvania in the U.S., we operate stores that buy and sell secondhand merchandise, as opposed to offering pawn loans. These stores are regulated by local municipalities or other local authorities. The applicable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ordinances vary from location to location and include licensing for secondhand dealing or precious metal purchasing, law enforcement reporting requirements, and the imposition of holding periods before a purchased item can be offered for resale. Failure to observe these regulations could result in a revocation or suspension of licenses, the imposition of fines, and other civil or criminal penalties. Our Canadian buy/sell stores also offer short-term consumer loans.</w:t>
      </w:r>
    </w:p>
    <w:p>
      <w:pPr>
        <w:pStyle w:val="TextBody"/>
        <w:spacing w:lineRule="auto" w:line="288" w:before="0" w:after="0"/>
        <w:jc w:val="left"/>
        <w:rPr>
          <w:rFonts w:ascii="inherit" w:hAnsi="inherit"/>
          <w:i/>
          <w:sz w:val="17"/>
        </w:rPr>
      </w:pPr>
      <w:r>
        <w:rPr>
          <w:rFonts w:ascii="inherit" w:hAnsi="inherit"/>
          <w:i/>
          <w:sz w:val="17"/>
        </w:rPr>
        <w:t>Short-Term Consumer Loan Regulations</w:t>
      </w:r>
    </w:p>
    <w:p>
      <w:pPr>
        <w:pStyle w:val="TextBody"/>
        <w:spacing w:lineRule="auto" w:line="288" w:before="0" w:after="0"/>
        <w:jc w:val="left"/>
        <w:rPr>
          <w:rFonts w:ascii="inherit" w:hAnsi="inherit"/>
          <w:sz w:val="17"/>
        </w:rPr>
      </w:pPr>
      <w:r>
        <w:rPr>
          <w:rFonts w:ascii="inherit" w:hAnsi="inherit"/>
          <w:sz w:val="17"/>
        </w:rPr>
        <w:t>Each state in which we offer short-term consumer loan products has specific laws and regulations dealing with the conduct of this business. These laws and regulations vary in scope, but generally require licensing of locations, establish loan terms, provide for consumer protections and disclosures and permit periodic regulatory examinations. In the case of single-payment loans, most applicable laws and regulations limit the amount of fees that may be charged, establish maximum loan amounts and duration, and restrict the customer’s ability to renew or extend the loan. Some states require reporting of customers’ loan activities to a state-wide database, and prohibit the making of loans to customers who have loans outstanding with other lenders. Some municipalities in which we operate also impose various rules and regulations, primarily related to zoning and licensing requirements, but in some cases, related to loan terms (such as maximum loan amounts, maximum number of renewals or extensions and mandatory principal paydowns). Failure to observe applicable legal requirements could result in a loss of license, the imposition of fines or customer refunds, and other civil or criminal penalties.</w:t>
      </w:r>
    </w:p>
    <w:p>
      <w:pPr>
        <w:pStyle w:val="TextBody"/>
        <w:spacing w:lineRule="auto" w:line="288" w:before="0" w:after="0"/>
        <w:jc w:val="left"/>
        <w:rPr>
          <w:rFonts w:ascii="inherit" w:hAnsi="inherit"/>
          <w:sz w:val="17"/>
        </w:rPr>
      </w:pPr>
      <w:r>
        <w:rPr>
          <w:rFonts w:ascii="inherit" w:hAnsi="inherit"/>
          <w:sz w:val="17"/>
        </w:rPr>
        <w:t>We must also comply with various federal requirements (including the Truth in Lending Act and Regulation Z) regarding the disclosure of interest, fees, total payments and annual percentage rate related to each loan transaction. With respect to our debt collection activities, we comply with the federal Fair Debt Collection Practices Act and similar state laws regulating debt collection practices. Additional federal regulations applicable to our short-term consumer loan business are described in “Other Federal Regulations” below.</w:t>
      </w:r>
    </w:p>
    <w:p>
      <w:pPr>
        <w:pStyle w:val="TextBody"/>
        <w:spacing w:lineRule="auto" w:line="288" w:before="0" w:after="0"/>
        <w:jc w:val="left"/>
        <w:rPr>
          <w:rFonts w:ascii="inherit" w:hAnsi="inherit"/>
          <w:sz w:val="17"/>
        </w:rPr>
      </w:pPr>
      <w:r>
        <w:rPr>
          <w:rFonts w:ascii="inherit" w:hAnsi="inherit"/>
          <w:sz w:val="17"/>
        </w:rPr>
        <w:t>In Texas, we do not make loans to customers, but rather offer fee-based credit services, including assistance in arranging loans with independent third-party lenders. As required by state law, we are registered as a Credit Services Organization (“CSO”) in order to provide such services and, pursuant to state laws effective January 1, 2012, are licensed as a Credit Access Business (“CAB”). The applicable CSO law requires us to provide each customer with an upfront disclosure statement describing, among other things, the services to be provided and the fees to be charged and, upon entering into a transaction, with a written contract fully describing the services provided. The law prohibits us from receiving compensation solely for referring a customer to a lender and also provides for other disclosure requirements, cancellation rights for customers and prohibitions on fraudulent or deceptive conduct. The law governing CABs requires us to provide conspicuous notices regarding fees and certain other disclosures and requires us to report certain information regarding customer transactions to the Office of the Consumer Credit Commissioner. Violations of these laws could subject us to criminal and civil liability. The independent lenders are not required to be licensed and are not regulated by any state agency so long as the interest rate charged on the loan does not exceed 10% per annum. The lenders are also permitted to charge late fees and insufficient funds fees. The lenders are subject to the federal regulations described below with regard to their lending activities. Certain cities in Texas, specifically, Austin, Dallas and San Antonio, have enacted municipal regulation of CAB products and the payday loans and auto title loans to which they provide access.</w:t>
      </w:r>
    </w:p>
    <w:p>
      <w:pPr>
        <w:pStyle w:val="TextBody"/>
        <w:spacing w:lineRule="auto" w:line="288" w:before="0" w:after="0"/>
        <w:jc w:val="left"/>
        <w:rPr>
          <w:rFonts w:ascii="inherit" w:hAnsi="inherit"/>
          <w:sz w:val="17"/>
        </w:rPr>
      </w:pPr>
      <w:r>
        <w:rPr>
          <w:rFonts w:ascii="inherit" w:hAnsi="inherit"/>
          <w:sz w:val="17"/>
        </w:rPr>
        <w:t>Legislators and regulators frequently scrutinize the legislative and regulatory environment for short-term lending, often proposing additional legislative and regulatory restrictions ranging from additional disclosure requirements to limits on rates and fees. In some cases, rate and fee limits would effectively prohibit certain short-term lending products, such as payday loans, because it would no longer be economically feasible for most lenders to offer such products.</w:t>
      </w:r>
    </w:p>
    <w:p>
      <w:pPr>
        <w:pStyle w:val="TextBody"/>
        <w:spacing w:lineRule="auto" w:line="288" w:before="0" w:after="0"/>
        <w:jc w:val="left"/>
        <w:rPr>
          <w:rFonts w:ascii="inherit" w:hAnsi="inherit"/>
          <w:sz w:val="17"/>
        </w:rPr>
      </w:pPr>
      <w:r>
        <w:rPr>
          <w:rFonts w:ascii="inherit" w:hAnsi="inherit"/>
          <w:sz w:val="17"/>
        </w:rPr>
        <w:t xml:space="preserve">The Dodd-Frank Wall Street Reform and Consumer Protection Act, enacted in July 2010, established the Consumer Financial Protection Bureau (the “CFPB”), which, with the appointment of a permanent director in January 2012, began exercising its supervisory and examination powers over companies that offer payday loans. The CFPB also may exercise regulatory authority over other products and services that we offer. Until such time as the CFPB examines our business or proposes rules and regulations that apply to our activities, it is not possible to accurately predict what affect the CFPB will have on our business. </w:t>
      </w:r>
    </w:p>
    <w:p>
      <w:pPr>
        <w:pStyle w:val="TextBody"/>
        <w:spacing w:lineRule="auto" w:line="288" w:before="0" w:after="0"/>
        <w:jc w:val="left"/>
        <w:rPr>
          <w:rFonts w:ascii="inherit" w:hAnsi="inherit"/>
          <w:sz w:val="17"/>
        </w:rPr>
      </w:pPr>
      <w:r>
        <w:rPr>
          <w:rFonts w:ascii="inherit" w:hAnsi="inherit"/>
          <w:sz w:val="17"/>
        </w:rPr>
        <w:t>There can be no assurance that legislative or regulatory efforts to eliminate or restrict the availability of certain short-term loan products, including payday loans and auto title loans, will not be successful, despite significant customer demand. To the extent such efforts are successful, our short-term consumer loan business could be adversely affected. See “Part I — Item 1A — Risk Factors.”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i/>
          <w:sz w:val="17"/>
        </w:rPr>
      </w:pPr>
      <w:r>
        <w:rPr>
          <w:rFonts w:ascii="inherit" w:hAnsi="inherit"/>
          <w:i/>
          <w:sz w:val="17"/>
        </w:rPr>
        <w:t>Other Federal Regulations</w:t>
      </w:r>
    </w:p>
    <w:p>
      <w:pPr>
        <w:pStyle w:val="TextBody"/>
        <w:spacing w:lineRule="auto" w:line="288" w:before="0" w:after="0"/>
        <w:jc w:val="left"/>
        <w:rPr>
          <w:rFonts w:ascii="inherit" w:hAnsi="inherit"/>
          <w:sz w:val="17"/>
        </w:rPr>
      </w:pPr>
      <w:r>
        <w:rPr>
          <w:rFonts w:ascii="inherit" w:hAnsi="inherit"/>
          <w:sz w:val="17"/>
        </w:rPr>
        <w:t>All of our lending activities, both pawn loans and short-term consumer loans, are subject to other state and federal statutes and regulations, including the following:</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In addition, the Federal Fair and Accurate Credit Transactions Act requires us to adopt written guidance and procedures for detecting, preventing and mitigating identity theft, and to adopt various policies and procedures (including employee training) that address the importance of protecting non-public personal information and aid in detecting and responding to suspicious activity or identify theft “red flags.”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federal Equal Credit Opportunity Act prohibits discrimination against any credit applicant on the basis of any protected category such as race, color, religion, national origin, sex, marital status or age. If we deny an application for credit, we are required to provide the applicant with a Notice of Adverse Action, informing the applicant of the action taken regarding the credit application, a statement of the prohibition on discrimination, the name and address of both the creditor and the federal agency that monitors compliance, and the applicant’s right to learn the specific reasons for the denial.</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are also subject to the Bank Secrecy Act and its underlying regulations, which require us to report and maintain records of certain high-dollar transactions. In addition, federal regulations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 Certain of our subsidiaries are registered with FinCen as money services businesses by virtue of the check cashing or money transmission services they provide.</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Federal law limits the annual percentage rate that may be charged on loans made to active duty military personnel and their immediate families at 36%. This 36% annual percentage rate cap applies to a variety of loan products, including signature loans, though it does not apply to pawn loans. We do not make signature loans to active duty military personnel or their immediate families because it is not economically feasible for us to do so at these rates.</w:t>
            </w:r>
          </w:p>
        </w:tc>
      </w:tr>
    </w:tbl>
    <w:p>
      <w:pPr>
        <w:pStyle w:val="TextBody"/>
        <w:spacing w:lineRule="auto" w:line="288" w:before="0" w:after="0"/>
        <w:jc w:val="left"/>
        <w:rPr>
          <w:rFonts w:ascii="inherit" w:hAnsi="inherit"/>
          <w:b/>
          <w:sz w:val="17"/>
        </w:rPr>
      </w:pPr>
      <w:bookmarkStart w:id="31" w:name="s0E9ABD3A5141786E84940F13F5B4C4A8"/>
      <w:bookmarkEnd w:id="31"/>
      <w:r>
        <w:rPr>
          <w:rFonts w:ascii="inherit" w:hAnsi="inherit"/>
          <w:b/>
          <w:sz w:val="17"/>
        </w:rPr>
        <w:t>Available Information</w:t>
      </w:r>
    </w:p>
    <w:p>
      <w:pPr>
        <w:pStyle w:val="TextBody"/>
        <w:spacing w:lineRule="auto" w:line="288" w:before="0" w:after="0"/>
        <w:jc w:val="left"/>
        <w:rPr>
          <w:rFonts w:ascii="inherit" w:hAnsi="inherit"/>
          <w:sz w:val="17"/>
        </w:rPr>
      </w:pPr>
      <w:r>
        <w:rPr>
          <w:rFonts w:ascii="inherit" w:hAnsi="inherit"/>
          <w:sz w:val="17"/>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w:t>
      </w:r>
    </w:p>
    <w:p>
      <w:pPr>
        <w:pStyle w:val="TextBody"/>
        <w:spacing w:lineRule="auto" w:line="288" w:before="0" w:after="0"/>
        <w:jc w:val="left"/>
        <w:rPr>
          <w:rFonts w:ascii="inherit" w:hAnsi="inherit"/>
          <w:b/>
          <w:sz w:val="17"/>
        </w:rPr>
      </w:pPr>
      <w:bookmarkStart w:id="32" w:name="s8EAD857AEB10CA1047D50F13CF7E79A7"/>
      <w:bookmarkEnd w:id="32"/>
      <w:r>
        <w:rPr>
          <w:rFonts w:ascii="inherit" w:hAnsi="inherit"/>
          <w:b/>
          <w:sz w:val="17"/>
        </w:rPr>
        <w:t>ITEM 2. PROPERTIES</w:t>
      </w:r>
    </w:p>
    <w:p>
      <w:pPr>
        <w:pStyle w:val="TextBody"/>
        <w:spacing w:lineRule="auto" w:line="288" w:before="0" w:after="0"/>
        <w:jc w:val="left"/>
        <w:rPr>
          <w:rFonts w:ascii="inherit" w:hAnsi="inherit"/>
          <w:sz w:val="17"/>
        </w:rPr>
      </w:pPr>
      <w:r>
        <w:rPr>
          <w:rFonts w:ascii="inherit" w:hAnsi="inherit"/>
          <w:sz w:val="17"/>
        </w:rPr>
        <w:t xml:space="preserve">Our typical pawn store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The typical pawn store has approximately 1,800 square feet of retail space and approximately 3,200 square feet dedicated to collateral storage. Approximately 25% of our pawn stores in Mexico are gold jewelry-only pawn stores with no retail activities, which typically occupy 500 to 1,000 square feet. Financial services stores are designed to resemble a bank interior. The typical financial services store is approximately 1,000 to 1,500 square feet and is located in a retail strip center. Some of our financial services stores adjoin a pawn location and occupy approximately 300 to 500 square feet, with a different entrance, signage, décor and staffing. From the customers’ perspective,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these are viewed as a separate business, but they are covered by the same lease agreement. We maintain property and general liability insurance for each of our stores. Our stores are open six or seven days a week.</w:t>
      </w:r>
    </w:p>
    <w:p>
      <w:pPr>
        <w:pStyle w:val="TextBody"/>
        <w:spacing w:lineRule="auto" w:line="288" w:before="0" w:after="0"/>
        <w:jc w:val="left"/>
        <w:rPr>
          <w:rFonts w:ascii="inherit" w:hAnsi="inherit"/>
          <w:sz w:val="17"/>
        </w:rPr>
      </w:pPr>
      <w:r>
        <w:rPr>
          <w:rFonts w:ascii="inherit" w:hAnsi="inherit"/>
          <w:sz w:val="17"/>
        </w:rPr>
        <w:t>We lease substantially all of our locations, and generally lease facilities for a term of three to ten years with one or more renewal options. Our existing leases expire on dates ranging between October 2012 and October 2027,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w:t>
      </w:r>
    </w:p>
    <w:p>
      <w:pPr>
        <w:pStyle w:val="TextBody"/>
        <w:spacing w:lineRule="auto" w:line="288" w:before="0" w:after="0"/>
        <w:jc w:val="left"/>
        <w:rPr>
          <w:sz w:val="17"/>
        </w:rPr>
      </w:pPr>
      <w:r>
        <w:rPr>
          <w:rFonts w:ascii="inherit" w:hAnsi="inherit"/>
          <w:sz w:val="17"/>
        </w:rPr>
        <w:t xml:space="preserve">Below is a summary of changes in the number of store locations during fiscal </w:t>
      </w:r>
      <w:r>
        <w:rPr>
          <w:rFonts w:ascii="inherit" w:hAnsi="inherit"/>
          <w:strike w:val="false"/>
          <w:dstrike w:val="false"/>
          <w:color w:val="000000"/>
          <w:sz w:val="17"/>
          <w:u w:val="none"/>
          <w:effect w:val="none"/>
        </w:rPr>
        <w:t>2012</w:t>
      </w:r>
      <w:r>
        <w:rPr>
          <w:rFonts w:ascii="inherit" w:hAnsi="inherit"/>
          <w:sz w:val="17"/>
        </w:rPr>
        <w:t xml:space="preserve">,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rFonts w:ascii="inherit" w:hAnsi="inherit"/>
          <w:sz w:val="17"/>
        </w:rPr>
        <w:t>:</w:t>
      </w:r>
    </w:p>
    <w:tbl>
      <w:tblPr>
        <w:tblW w:w="10205" w:type="dxa"/>
        <w:jc w:val="left"/>
        <w:tblInd w:w="0" w:type="dxa"/>
        <w:tblCellMar>
          <w:top w:w="0" w:type="dxa"/>
          <w:left w:w="0" w:type="dxa"/>
          <w:bottom w:w="0" w:type="dxa"/>
          <w:right w:w="0" w:type="dxa"/>
        </w:tblCellMar>
      </w:tblPr>
      <w:tblGrid>
        <w:gridCol w:w="5886"/>
        <w:gridCol w:w="1140"/>
        <w:gridCol w:w="160"/>
        <w:gridCol w:w="145"/>
        <w:gridCol w:w="1140"/>
        <w:gridCol w:w="160"/>
        <w:gridCol w:w="145"/>
        <w:gridCol w:w="1140"/>
        <w:gridCol w:w="289"/>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88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86" w:type="dxa"/>
            <w:tcBorders/>
            <w:shd w:fill="auto" w:val="clear"/>
            <w:vAlign w:val="center"/>
          </w:tcPr>
          <w:p>
            <w:pPr>
              <w:pStyle w:val="TableContents"/>
              <w:spacing w:before="0" w:after="0"/>
              <w:ind w:left="0" w:right="0" w:firstLine="30"/>
              <w:jc w:val="left"/>
              <w:rPr/>
            </w:pPr>
            <w:r>
              <w:rPr/>
              <w:t> </w:t>
            </w:r>
          </w:p>
        </w:tc>
        <w:tc>
          <w:tcPr>
            <w:tcW w:w="4319"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86" w:type="dxa"/>
            <w:tcBorders/>
            <w:shd w:fill="auto" w:val="clear"/>
            <w:vAlign w:val="center"/>
          </w:tcPr>
          <w:p>
            <w:pPr>
              <w:pStyle w:val="TableContents"/>
              <w:spacing w:before="0" w:after="0"/>
              <w:ind w:left="0" w:right="0" w:firstLine="30"/>
              <w:jc w:val="left"/>
              <w:rPr/>
            </w:pPr>
            <w:r>
              <w:rPr/>
              <w:t> </w:t>
            </w:r>
          </w:p>
        </w:tc>
        <w:tc>
          <w:tcPr>
            <w:tcW w:w="130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5" w:type="dxa"/>
            <w:tcBorders/>
            <w:shd w:fill="auto" w:val="clear"/>
            <w:vAlign w:val="center"/>
          </w:tcPr>
          <w:p>
            <w:pPr>
              <w:pStyle w:val="TableContents"/>
              <w:spacing w:before="0" w:after="0"/>
              <w:ind w:left="0" w:right="0" w:firstLine="30"/>
              <w:rPr/>
            </w:pPr>
            <w:r>
              <w:rPr/>
              <w:t> </w:t>
            </w:r>
          </w:p>
        </w:tc>
        <w:tc>
          <w:tcPr>
            <w:tcW w:w="130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5" w:type="dxa"/>
            <w:tcBorders/>
            <w:shd w:fill="auto" w:val="clear"/>
            <w:vAlign w:val="center"/>
          </w:tcPr>
          <w:p>
            <w:pPr>
              <w:pStyle w:val="TableContents"/>
              <w:spacing w:before="0" w:after="0"/>
              <w:ind w:left="0" w:right="0" w:firstLine="30"/>
              <w:rPr/>
            </w:pPr>
            <w:r>
              <w:rPr/>
              <w:t> </w:t>
            </w:r>
          </w:p>
        </w:tc>
        <w:tc>
          <w:tcPr>
            <w:tcW w:w="142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88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Stores in operation:</w:t>
            </w:r>
          </w:p>
        </w:tc>
        <w:tc>
          <w:tcPr>
            <w:tcW w:w="1300" w:type="dxa"/>
            <w:gridSpan w:val="2"/>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ind w:left="0" w:right="0" w:firstLine="30"/>
              <w:rPr/>
            </w:pPr>
            <w:r>
              <w:rPr/>
              <w:t> </w:t>
            </w:r>
          </w:p>
        </w:tc>
        <w:tc>
          <w:tcPr>
            <w:tcW w:w="1300" w:type="dxa"/>
            <w:gridSpan w:val="2"/>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ind w:left="0" w:right="0" w:firstLine="30"/>
              <w:rPr/>
            </w:pPr>
            <w:r>
              <w:rPr/>
              <w:t> </w:t>
            </w:r>
          </w:p>
        </w:tc>
        <w:tc>
          <w:tcPr>
            <w:tcW w:w="1429" w:type="dxa"/>
            <w:gridSpan w:val="2"/>
            <w:tcBorders>
              <w:top w:val="single" w:sz="2" w:space="0" w:color="000000"/>
            </w:tcBorders>
            <w:shd w:fill="CCEEFF" w:val="clear"/>
            <w:tcMar>
              <w:top w:w="30" w:type="dxa"/>
            </w:tcMar>
            <w:vAlign w:val="center"/>
          </w:tcPr>
          <w:p>
            <w:pPr>
              <w:pStyle w:val="TableContents"/>
              <w:spacing w:before="0" w:after="0"/>
              <w:ind w:left="0" w:right="0" w:firstLine="180"/>
              <w:rPr/>
            </w:pPr>
            <w:r>
              <w:rPr/>
              <w:t> </w:t>
            </w:r>
          </w:p>
        </w:tc>
      </w:tr>
      <w:tr>
        <w:trPr/>
        <w:tc>
          <w:tcPr>
            <w:tcW w:w="58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140" w:type="dxa"/>
            <w:tcBorders/>
            <w:shd w:fill="auto" w:val="clear"/>
            <w:vAlign w:val="center"/>
          </w:tcPr>
          <w:p>
            <w:pPr>
              <w:pStyle w:val="TableContents"/>
              <w:spacing w:before="0" w:after="0"/>
              <w:jc w:val="right"/>
              <w:rPr>
                <w:rFonts w:ascii="inherit" w:hAnsi="inherit"/>
                <w:sz w:val="17"/>
              </w:rPr>
            </w:pPr>
            <w:r>
              <w:rPr>
                <w:rFonts w:ascii="inherit" w:hAnsi="inherit"/>
                <w:sz w:val="17"/>
              </w:rPr>
              <w:t>1,111</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140" w:type="dxa"/>
            <w:tcBorders/>
            <w:shd w:fill="auto" w:val="clear"/>
            <w:vAlign w:val="center"/>
          </w:tcPr>
          <w:p>
            <w:pPr>
              <w:pStyle w:val="TableContents"/>
              <w:spacing w:before="0" w:after="0"/>
              <w:jc w:val="right"/>
              <w:rPr>
                <w:rFonts w:ascii="inherit" w:hAnsi="inherit"/>
                <w:sz w:val="17"/>
              </w:rPr>
            </w:pPr>
            <w:r>
              <w:rPr>
                <w:rFonts w:ascii="inherit" w:hAnsi="inherit"/>
                <w:sz w:val="17"/>
              </w:rPr>
              <w:t>1,006</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140" w:type="dxa"/>
            <w:tcBorders/>
            <w:shd w:fill="auto" w:val="clear"/>
            <w:vAlign w:val="center"/>
          </w:tcPr>
          <w:p>
            <w:pPr>
              <w:pStyle w:val="TableContents"/>
              <w:spacing w:before="0" w:after="0"/>
              <w:jc w:val="right"/>
              <w:rPr>
                <w:rFonts w:ascii="inherit" w:hAnsi="inherit"/>
                <w:sz w:val="17"/>
              </w:rPr>
            </w:pPr>
            <w:r>
              <w:rPr>
                <w:rFonts w:ascii="inherit" w:hAnsi="inherit"/>
                <w:sz w:val="17"/>
              </w:rPr>
              <w:t>910</w:t>
            </w:r>
          </w:p>
        </w:tc>
        <w:tc>
          <w:tcPr>
            <w:tcW w:w="28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140" w:type="dxa"/>
            <w:tcBorders/>
            <w:shd w:fill="CCEEFF" w:val="clear"/>
            <w:vAlign w:val="center"/>
          </w:tcPr>
          <w:p>
            <w:pPr>
              <w:pStyle w:val="TableContents"/>
              <w:spacing w:before="0" w:after="0"/>
              <w:jc w:val="right"/>
              <w:rPr>
                <w:rFonts w:ascii="inherit" w:hAnsi="inherit"/>
                <w:sz w:val="17"/>
              </w:rPr>
            </w:pPr>
            <w:r>
              <w:rPr>
                <w:rFonts w:ascii="inherit" w:hAnsi="inherit"/>
                <w:sz w:val="17"/>
              </w:rPr>
              <w:t>71</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140" w:type="dxa"/>
            <w:tcBorders/>
            <w:shd w:fill="CCEEFF" w:val="clear"/>
            <w:vAlign w:val="center"/>
          </w:tcPr>
          <w:p>
            <w:pPr>
              <w:pStyle w:val="TableContents"/>
              <w:spacing w:before="0" w:after="0"/>
              <w:jc w:val="right"/>
              <w:rPr>
                <w:rFonts w:ascii="inherit" w:hAnsi="inherit"/>
                <w:sz w:val="17"/>
              </w:rPr>
            </w:pPr>
            <w:r>
              <w:rPr>
                <w:rFonts w:ascii="inherit" w:hAnsi="inherit"/>
                <w:sz w:val="17"/>
              </w:rPr>
              <w:t>82</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140" w:type="dxa"/>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28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140" w:type="dxa"/>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140" w:type="dxa"/>
            <w:tcBorders/>
            <w:shd w:fill="auto" w:val="clear"/>
            <w:vAlign w:val="center"/>
          </w:tcPr>
          <w:p>
            <w:pPr>
              <w:pStyle w:val="TableContents"/>
              <w:spacing w:before="0" w:after="0"/>
              <w:jc w:val="right"/>
              <w:rPr>
                <w:rFonts w:ascii="inherit" w:hAnsi="inherit"/>
                <w:sz w:val="17"/>
              </w:rPr>
            </w:pPr>
            <w:r>
              <w:rPr>
                <w:rFonts w:ascii="inherit" w:hAnsi="inherit"/>
                <w:sz w:val="17"/>
              </w:rPr>
              <w:t>40</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140" w:type="dxa"/>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28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14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1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5" w:type="dxa"/>
            <w:tcBorders/>
            <w:shd w:fill="CCEEFF" w:val="clear"/>
            <w:vAlign w:val="center"/>
          </w:tcPr>
          <w:p>
            <w:pPr>
              <w:pStyle w:val="TableContents"/>
              <w:spacing w:before="0" w:after="0"/>
              <w:ind w:left="0" w:right="0" w:firstLine="30"/>
              <w:rPr/>
            </w:pPr>
            <w:r>
              <w:rPr/>
              <w:t> </w:t>
            </w:r>
          </w:p>
        </w:tc>
        <w:tc>
          <w:tcPr>
            <w:tcW w:w="114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w:t>
            </w:r>
          </w:p>
        </w:tc>
        <w:tc>
          <w:tcPr>
            <w:tcW w:w="1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5" w:type="dxa"/>
            <w:tcBorders/>
            <w:shd w:fill="CCEEFF" w:val="clear"/>
            <w:vAlign w:val="center"/>
          </w:tcPr>
          <w:p>
            <w:pPr>
              <w:pStyle w:val="TableContents"/>
              <w:spacing w:before="0" w:after="0"/>
              <w:ind w:left="0" w:right="0" w:firstLine="30"/>
              <w:rPr/>
            </w:pPr>
            <w:r>
              <w:rPr/>
              <w:t> </w:t>
            </w:r>
          </w:p>
        </w:tc>
        <w:tc>
          <w:tcPr>
            <w:tcW w:w="114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w:t>
            </w:r>
          </w:p>
        </w:tc>
        <w:tc>
          <w:tcPr>
            <w:tcW w:w="289" w:type="dxa"/>
            <w:tcBorders>
              <w:bottom w:val="single" w:sz="2" w:space="0" w:color="000000"/>
            </w:tcBorders>
            <w:shd w:fill="CCEEFF"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1,262</w:t>
            </w:r>
          </w:p>
        </w:tc>
        <w:tc>
          <w:tcPr>
            <w:tcW w:w="1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1,111</w:t>
            </w:r>
          </w:p>
        </w:tc>
        <w:tc>
          <w:tcPr>
            <w:tcW w:w="1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1,006</w:t>
            </w:r>
          </w:p>
        </w:tc>
        <w:tc>
          <w:tcPr>
            <w:tcW w:w="28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140"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102</w:t>
            </w:r>
          </w:p>
        </w:tc>
        <w:tc>
          <w:tcPr>
            <w:tcW w:w="160"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140"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94</w:t>
            </w:r>
          </w:p>
        </w:tc>
        <w:tc>
          <w:tcPr>
            <w:tcW w:w="160"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140"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w:t>
            </w:r>
          </w:p>
        </w:tc>
        <w:tc>
          <w:tcPr>
            <w:tcW w:w="289"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8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Stores in continuing operations</w:t>
            </w:r>
          </w:p>
        </w:tc>
        <w:tc>
          <w:tcPr>
            <w:tcW w:w="11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1,160</w:t>
            </w:r>
          </w:p>
        </w:tc>
        <w:tc>
          <w:tcPr>
            <w:tcW w:w="16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1,017</w:t>
            </w:r>
          </w:p>
        </w:tc>
        <w:tc>
          <w:tcPr>
            <w:tcW w:w="1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934</w:t>
            </w:r>
          </w:p>
        </w:tc>
        <w:tc>
          <w:tcPr>
            <w:tcW w:w="28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In </w:t>
      </w:r>
      <w:r>
        <w:rPr>
          <w:rFonts w:ascii="inherit" w:hAnsi="inherit"/>
          <w:strike w:val="false"/>
          <w:dstrike w:val="false"/>
          <w:color w:val="000000"/>
          <w:sz w:val="17"/>
          <w:u w:val="none"/>
          <w:effect w:val="none"/>
        </w:rPr>
        <w:t>2012</w:t>
      </w:r>
      <w:r>
        <w:rPr>
          <w:rFonts w:ascii="inherit" w:hAnsi="inherit"/>
          <w:sz w:val="17"/>
        </w:rPr>
        <w:t xml:space="preserve">, we opened 52 Empeño Fácil pawn stores in Mexico, two financial services locations in Mexico, ten U.S. pawn stores, four financial services stores in the U.S and three buy/sell and financial services stores in Canada. During fiscal 2012, we also acquired 45 financial services stores in Mexico as part of the Crediamigo acquisition, 28 pawn stores, seven buy/sell stores and 15 financial services stores in the U.S., as well as one buy/sell store in Canada. </w:t>
      </w:r>
    </w:p>
    <w:p>
      <w:pPr>
        <w:pStyle w:val="TextBody"/>
        <w:spacing w:lineRule="auto" w:line="288" w:before="0" w:after="0"/>
        <w:jc w:val="left"/>
        <w:rPr>
          <w:sz w:val="17"/>
        </w:rPr>
      </w:pPr>
      <w:r>
        <w:rPr>
          <w:rFonts w:ascii="inherit" w:hAnsi="inherit"/>
          <w:sz w:val="17"/>
        </w:rPr>
        <w:t xml:space="preserve">On an ongoing basis, we may close or consolidate under-performing store locations. In fiscal </w:t>
      </w:r>
      <w:r>
        <w:rPr>
          <w:rFonts w:ascii="inherit" w:hAnsi="inherit"/>
          <w:strike w:val="false"/>
          <w:dstrike w:val="false"/>
          <w:color w:val="000000"/>
          <w:sz w:val="17"/>
          <w:u w:val="none"/>
          <w:effect w:val="none"/>
        </w:rPr>
        <w:t>2012</w:t>
      </w:r>
      <w:r>
        <w:rPr>
          <w:rFonts w:ascii="inherit" w:hAnsi="inherit"/>
          <w:sz w:val="17"/>
        </w:rPr>
        <w:t xml:space="preserve">, we closed or consolidated 13 financial services stores in the U.S., one pawn store in the U.S. and two financial services stores in Mexico. In fiscal </w:t>
      </w:r>
      <w:r>
        <w:rPr>
          <w:rFonts w:ascii="inherit" w:hAnsi="inherit"/>
          <w:strike w:val="false"/>
          <w:dstrike w:val="false"/>
          <w:color w:val="000000"/>
          <w:sz w:val="17"/>
          <w:u w:val="none"/>
          <w:effect w:val="none"/>
        </w:rPr>
        <w:t>2011</w:t>
      </w:r>
      <w:r>
        <w:rPr>
          <w:rFonts w:ascii="inherit" w:hAnsi="inherit"/>
          <w:sz w:val="17"/>
        </w:rPr>
        <w:t xml:space="preserve">, we closed or consolidated 14 financial services stores in the U.S., one pawn store in the U.S., and two financial services stores in Canada. During the third quarter of fiscal 2013, our Board of Directors approved a plan to close 107 legacy stores (102 of which were in operation at </w:t>
      </w:r>
      <w:r>
        <w:rPr>
          <w:rFonts w:ascii="inherit" w:hAnsi="inherit"/>
          <w:strike w:val="false"/>
          <w:dstrike w:val="false"/>
          <w:color w:val="000000"/>
          <w:sz w:val="17"/>
          <w:u w:val="none"/>
          <w:effect w:val="none"/>
        </w:rPr>
        <w:t>September 30, 2012</w:t>
      </w:r>
      <w:r>
        <w:rPr>
          <w:rFonts w:ascii="inherit" w:hAnsi="inherit"/>
          <w:sz w:val="17"/>
        </w:rPr>
        <w:t>) in a variety of locations. These stores are generally older, smaller stores that do not fit our future growth profile (See Note 2, "Discontinued Operations," to our consolidated financial statements contained in “Part II — Item 8 — Financial Statements and Supplementary Data” for further details).</w:t>
      </w:r>
    </w:p>
    <w:p>
      <w:pPr>
        <w:pStyle w:val="TextBody"/>
        <w:spacing w:lineRule="auto" w:line="288" w:before="0" w:after="0"/>
        <w:jc w:val="left"/>
        <w:rPr>
          <w:sz w:val="17"/>
        </w:rPr>
      </w:pPr>
      <w:r>
        <w:rPr>
          <w:rFonts w:ascii="inherit" w:hAnsi="inherit"/>
          <w:sz w:val="17"/>
        </w:rPr>
        <w:t xml:space="preserve">Of our 442 U.S. financial services stores, 159 adjoin a pawn store, but they are covered by the same lease agreement. The lease agreements at approximately 94% of the remaining 283 free-standing U.S. financial services stores contain provisions that limit our exposure for additional rent at these stores to only a few months if laws were enacted that had a significant negative effect on our operations at these stores. If such laws were passed, the space currently utilized by stores adjoining pawn stores could be re-incorporated into the pawn operations. Following the passage of such laws in fiscal </w:t>
      </w:r>
      <w:r>
        <w:rPr>
          <w:rFonts w:ascii="inherit" w:hAnsi="inherit"/>
          <w:strike w:val="false"/>
          <w:dstrike w:val="false"/>
          <w:color w:val="000000"/>
          <w:sz w:val="17"/>
          <w:u w:val="none"/>
          <w:effect w:val="none"/>
        </w:rPr>
        <w:t>2011</w:t>
      </w:r>
      <w:r>
        <w:rPr>
          <w:rFonts w:ascii="inherit" w:hAnsi="inherit"/>
          <w:sz w:val="17"/>
        </w:rPr>
        <w:t>, we closed or consolidated 11 financial services stores in Colorado and Wisconsin, resulting in a total rent exposure of approximately $0.2 million.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following table presents the number of pawn and financial services store locations by state or province as of </w:t>
      </w:r>
      <w:r>
        <w:rPr>
          <w:rFonts w:ascii="inherit" w:hAnsi="inherit"/>
          <w:strike w:val="false"/>
          <w:dstrike w:val="false"/>
          <w:color w:val="000000"/>
          <w:sz w:val="17"/>
          <w:u w:val="none"/>
          <w:effect w:val="none"/>
        </w:rPr>
        <w:t>September 30, 2012</w:t>
      </w:r>
      <w:r>
        <w:rPr>
          <w:rFonts w:ascii="inherit" w:hAnsi="inherit"/>
          <w:sz w:val="17"/>
        </w:rPr>
        <w:t>:</w:t>
      </w:r>
    </w:p>
    <w:tbl>
      <w:tblPr>
        <w:tblW w:w="10205" w:type="dxa"/>
        <w:jc w:val="left"/>
        <w:tblInd w:w="0" w:type="dxa"/>
        <w:tblCellMar>
          <w:top w:w="0" w:type="dxa"/>
          <w:left w:w="0" w:type="dxa"/>
          <w:bottom w:w="0" w:type="dxa"/>
          <w:right w:w="0" w:type="dxa"/>
        </w:tblCellMar>
      </w:tblPr>
      <w:tblGrid>
        <w:gridCol w:w="5809"/>
        <w:gridCol w:w="1242"/>
        <w:gridCol w:w="126"/>
        <w:gridCol w:w="139"/>
        <w:gridCol w:w="1242"/>
        <w:gridCol w:w="126"/>
        <w:gridCol w:w="139"/>
        <w:gridCol w:w="1133"/>
        <w:gridCol w:w="249"/>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809"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09"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Pawn/Retail</w:t>
            </w:r>
          </w:p>
          <w:p>
            <w:pPr>
              <w:pStyle w:val="TableContents"/>
              <w:spacing w:before="0" w:after="0"/>
              <w:ind w:left="0" w:right="0" w:firstLine="30"/>
              <w:jc w:val="center"/>
              <w:rPr>
                <w:rFonts w:ascii="inherit" w:hAnsi="inherit"/>
                <w:b/>
                <w:sz w:val="13"/>
              </w:rPr>
            </w:pPr>
            <w:r>
              <w:rPr>
                <w:rFonts w:ascii="inherit" w:hAnsi="inherit"/>
                <w:b/>
                <w:sz w:val="13"/>
              </w:rPr>
              <w:t>Locations</w:t>
            </w:r>
          </w:p>
        </w:tc>
        <w:tc>
          <w:tcPr>
            <w:tcW w:w="139"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Financial Services</w:t>
            </w:r>
          </w:p>
          <w:p>
            <w:pPr>
              <w:pStyle w:val="TableContents"/>
              <w:spacing w:before="0" w:after="0"/>
              <w:ind w:left="0" w:right="0" w:firstLine="30"/>
              <w:jc w:val="center"/>
              <w:rPr>
                <w:rFonts w:ascii="inherit" w:hAnsi="inherit"/>
                <w:b/>
                <w:sz w:val="13"/>
              </w:rPr>
            </w:pPr>
            <w:r>
              <w:rPr>
                <w:rFonts w:ascii="inherit" w:hAnsi="inherit"/>
                <w:b/>
                <w:sz w:val="13"/>
              </w:rPr>
              <w:t>Locations</w:t>
            </w:r>
          </w:p>
        </w:tc>
        <w:tc>
          <w:tcPr>
            <w:tcW w:w="139" w:type="dxa"/>
            <w:tcBorders/>
            <w:shd w:fill="auto" w:val="clear"/>
            <w:vAlign w:val="center"/>
          </w:tcPr>
          <w:p>
            <w:pPr>
              <w:pStyle w:val="TableContents"/>
              <w:spacing w:before="0" w:after="0"/>
              <w:ind w:left="0" w:right="0" w:firstLine="30"/>
              <w:rPr/>
            </w:pPr>
            <w:r>
              <w:rPr/>
              <w:t> </w:t>
            </w:r>
          </w:p>
        </w:tc>
        <w:tc>
          <w:tcPr>
            <w:tcW w:w="138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Total</w:t>
            </w:r>
          </w:p>
          <w:p>
            <w:pPr>
              <w:pStyle w:val="TableContents"/>
              <w:spacing w:before="0" w:after="0"/>
              <w:ind w:left="0" w:right="0" w:firstLine="30"/>
              <w:jc w:val="center"/>
              <w:rPr>
                <w:rFonts w:ascii="inherit" w:hAnsi="inherit"/>
                <w:b/>
                <w:sz w:val="13"/>
              </w:rPr>
            </w:pPr>
            <w:r>
              <w:rPr>
                <w:rFonts w:ascii="inherit" w:hAnsi="inherit"/>
                <w:b/>
                <w:sz w:val="13"/>
              </w:rPr>
              <w:t>Locations</w:t>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United States:</w:t>
            </w:r>
          </w:p>
        </w:tc>
        <w:tc>
          <w:tcPr>
            <w:tcW w:w="1368" w:type="dxa"/>
            <w:gridSpan w:val="2"/>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382" w:type="dxa"/>
            <w:gridSpan w:val="2"/>
            <w:tcBorders/>
            <w:shd w:fill="CCEEFF" w:val="clear"/>
            <w:vAlign w:val="center"/>
          </w:tcPr>
          <w:p>
            <w:pPr>
              <w:pStyle w:val="TableContents"/>
              <w:spacing w:before="0" w:after="0"/>
              <w:ind w:left="0" w:right="0" w:firstLine="180"/>
              <w:jc w:val="left"/>
              <w:rPr/>
            </w:pPr>
            <w:r>
              <w:rPr/>
              <w:t> </w:t>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Texas</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201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288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489</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Florida</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96</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96</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Colorado</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38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64</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Wisconsin</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35</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38</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Oklahoma</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27</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Idaho</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20</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20</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Utah</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22</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Alabama</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7</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9</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16</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Nevada</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16</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Indiana</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16</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16</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Iowa</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11</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Kansas</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13</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Missouri</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13</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South Dakota</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7</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7</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Tennessee</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7</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Illinois</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21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21</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Georgia</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9</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9</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Hawaii</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11</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Louisiana</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Minnesota</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9</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9</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Mississippi</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Pennsylvania</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Virginia</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5</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Arkansas</w:t>
            </w:r>
          </w:p>
        </w:tc>
        <w:tc>
          <w:tcPr>
            <w:tcW w:w="124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United States Locations</w:t>
            </w:r>
          </w:p>
        </w:tc>
        <w:tc>
          <w:tcPr>
            <w:tcW w:w="124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477</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442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919</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Mexico:</w:t>
            </w:r>
          </w:p>
        </w:tc>
        <w:tc>
          <w:tcPr>
            <w:tcW w:w="1368" w:type="dxa"/>
            <w:gridSpan w:val="2"/>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382" w:type="dxa"/>
            <w:gridSpan w:val="2"/>
            <w:tcBorders/>
            <w:shd w:fill="CCEEFF" w:val="clear"/>
            <w:vAlign w:val="center"/>
          </w:tcPr>
          <w:p>
            <w:pPr>
              <w:pStyle w:val="TableContents"/>
              <w:spacing w:before="0" w:after="0"/>
              <w:ind w:left="0" w:right="0" w:firstLine="180"/>
              <w:jc w:val="left"/>
              <w:rPr/>
            </w:pPr>
            <w:r>
              <w:rPr/>
              <w:t> </w:t>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Guanajuato</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24</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Veracruz</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29</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30</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Jalisco</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18</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Puebla</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19</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20</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Mexico</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60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70</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Chihuahua</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Coahuila</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Durango</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Tamaulipas</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15</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Michoacán</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10</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13</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Morelos</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Nuevo León</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6</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7</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Querétaro</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6</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Oaxaca</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9</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10</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Aguascalientes</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5</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Guerrero</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4</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Tabasco</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San Luis Potosí</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4</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4</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Sinaloa</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Sonora</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Hidalgo</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4</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Tlaxcala</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4</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Quintana Roo</w:t>
            </w:r>
          </w:p>
        </w:tc>
        <w:tc>
          <w:tcPr>
            <w:tcW w:w="1242"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Baja California Sur</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Baja California</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Chiapas</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4</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6</w:t>
            </w:r>
          </w:p>
        </w:tc>
        <w:tc>
          <w:tcPr>
            <w:tcW w:w="24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Campeche</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6</w:t>
            </w:r>
          </w:p>
        </w:tc>
        <w:tc>
          <w:tcPr>
            <w:tcW w:w="2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Zacatecas</w:t>
            </w:r>
          </w:p>
        </w:tc>
        <w:tc>
          <w:tcPr>
            <w:tcW w:w="124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Mexico Locations</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230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shd w:fill="auto" w:val="clear"/>
            <w:vAlign w:val="center"/>
          </w:tcPr>
          <w:p>
            <w:pPr>
              <w:pStyle w:val="TableContents"/>
              <w:spacing w:before="0" w:after="0"/>
              <w:jc w:val="right"/>
              <w:rPr>
                <w:rFonts w:ascii="inherit" w:hAnsi="inherit"/>
                <w:sz w:val="15"/>
              </w:rPr>
            </w:pPr>
            <w:r>
              <w:rPr>
                <w:rFonts w:ascii="inherit" w:hAnsi="inherit"/>
                <w:sz w:val="15"/>
              </w:rPr>
              <w:t>45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shd w:fill="auto" w:val="clear"/>
            <w:vAlign w:val="center"/>
          </w:tcPr>
          <w:p>
            <w:pPr>
              <w:pStyle w:val="TableContents"/>
              <w:spacing w:before="0" w:after="0"/>
              <w:jc w:val="right"/>
              <w:rPr>
                <w:rFonts w:ascii="inherit" w:hAnsi="inherit"/>
                <w:sz w:val="15"/>
              </w:rPr>
            </w:pPr>
            <w:r>
              <w:rPr>
                <w:rFonts w:ascii="inherit" w:hAnsi="inherit"/>
                <w:sz w:val="15"/>
              </w:rPr>
              <w:t>275</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Canada:</w:t>
            </w:r>
          </w:p>
        </w:tc>
        <w:tc>
          <w:tcPr>
            <w:tcW w:w="1368" w:type="dxa"/>
            <w:gridSpan w:val="2"/>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382" w:type="dxa"/>
            <w:gridSpan w:val="2"/>
            <w:tcBorders/>
            <w:shd w:fill="CCEEFF" w:val="clear"/>
            <w:vAlign w:val="center"/>
          </w:tcPr>
          <w:p>
            <w:pPr>
              <w:pStyle w:val="TableContents"/>
              <w:spacing w:before="0" w:after="0"/>
              <w:ind w:left="0" w:right="0" w:firstLine="180"/>
              <w:jc w:val="left"/>
              <w:rPr/>
            </w:pPr>
            <w:r>
              <w:rPr/>
              <w:t> </w:t>
            </w:r>
          </w:p>
        </w:tc>
      </w:tr>
      <w:tr>
        <w:trPr/>
        <w:tc>
          <w:tcPr>
            <w:tcW w:w="5809"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Ontario (1)</w:t>
            </w:r>
          </w:p>
        </w:tc>
        <w:tc>
          <w:tcPr>
            <w:tcW w:w="124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68</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68</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Canada Locations</w:t>
            </w:r>
          </w:p>
        </w:tc>
        <w:tc>
          <w:tcPr>
            <w:tcW w:w="124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68</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shd w:fill="CCEEFF" w:val="clear"/>
            <w:vAlign w:val="center"/>
          </w:tcPr>
          <w:p>
            <w:pPr>
              <w:pStyle w:val="TableContents"/>
              <w:spacing w:before="0" w:after="0"/>
              <w:jc w:val="right"/>
              <w:rPr>
                <w:rFonts w:ascii="inherit" w:hAnsi="inherit"/>
                <w:sz w:val="15"/>
              </w:rPr>
            </w:pPr>
            <w:r>
              <w:rPr>
                <w:rFonts w:ascii="inherit" w:hAnsi="inherit"/>
                <w:sz w:val="15"/>
              </w:rPr>
              <w:t>68</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Company</w:t>
            </w:r>
          </w:p>
        </w:tc>
        <w:tc>
          <w:tcPr>
            <w:tcW w:w="12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707</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555</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1,262</w:t>
            </w:r>
          </w:p>
        </w:tc>
        <w:tc>
          <w:tcPr>
            <w:tcW w:w="24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9"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Discontinued operations</w:t>
            </w:r>
          </w:p>
        </w:tc>
        <w:tc>
          <w:tcPr>
            <w:tcW w:w="124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58</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4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44</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3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102</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9"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Stores in continuing operations at end of fiscal year</w:t>
            </w:r>
          </w:p>
        </w:tc>
        <w:tc>
          <w:tcPr>
            <w:tcW w:w="124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649</w:t>
            </w:r>
          </w:p>
        </w:tc>
        <w:tc>
          <w:tcPr>
            <w:tcW w:w="12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511</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1,160</w:t>
            </w:r>
          </w:p>
        </w:tc>
        <w:tc>
          <w:tcPr>
            <w:tcW w:w="24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t xml:space="preserve">(1) The Canada locations exclude 10 stores that are franchised by the company to third parties.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In addition to our store locations, we lease corporate office space in Austin, Texas (68,900 square feet), Dallas, Texas (5,900 square feet), Querétaro, Mexico (6,700 square feet), Mexico City, Mexico (4,500 square feet) and Ontario, Canada (4,200 square feet). Crediamigo leases corporate office space in Mexico City, Mexico (10,800 square feet) and Cash Genie leases corporate office space in Ipswich, United Kingdom (4,700 square feet).</w:t>
      </w:r>
    </w:p>
    <w:p>
      <w:pPr>
        <w:pStyle w:val="TextBody"/>
        <w:spacing w:lineRule="auto" w:line="288" w:before="0" w:after="0"/>
        <w:jc w:val="left"/>
        <w:rPr>
          <w:sz w:val="17"/>
        </w:rPr>
      </w:pPr>
      <w:r>
        <w:rPr>
          <w:rFonts w:ascii="inherit" w:hAnsi="inherit"/>
          <w:sz w:val="17"/>
        </w:rPr>
        <w:t xml:space="preserve">The following table presents store data by segment as of </w:t>
      </w:r>
      <w:r>
        <w:rPr>
          <w:rFonts w:ascii="inherit" w:hAnsi="inherit"/>
          <w:strike w:val="false"/>
          <w:dstrike w:val="false"/>
          <w:color w:val="000000"/>
          <w:sz w:val="17"/>
          <w:u w:val="none"/>
          <w:effect w:val="none"/>
        </w:rPr>
        <w:t>September 30, 2012</w:t>
      </w:r>
      <w:r>
        <w:rPr>
          <w:rFonts w:ascii="inherit" w:hAnsi="inherit"/>
          <w:sz w:val="17"/>
        </w:rPr>
        <w:t>:</w:t>
      </w:r>
    </w:p>
    <w:tbl>
      <w:tblPr>
        <w:tblW w:w="10205" w:type="dxa"/>
        <w:jc w:val="left"/>
        <w:tblInd w:w="0" w:type="dxa"/>
        <w:tblCellMar>
          <w:top w:w="0" w:type="dxa"/>
          <w:left w:w="0" w:type="dxa"/>
          <w:bottom w:w="0" w:type="dxa"/>
          <w:right w:w="0" w:type="dxa"/>
        </w:tblCellMar>
      </w:tblPr>
      <w:tblGrid>
        <w:gridCol w:w="4202"/>
        <w:gridCol w:w="935"/>
        <w:gridCol w:w="99"/>
        <w:gridCol w:w="113"/>
        <w:gridCol w:w="949"/>
        <w:gridCol w:w="101"/>
        <w:gridCol w:w="113"/>
        <w:gridCol w:w="1050"/>
        <w:gridCol w:w="118"/>
        <w:gridCol w:w="113"/>
        <w:gridCol w:w="1071"/>
        <w:gridCol w:w="103"/>
        <w:gridCol w:w="113"/>
        <w:gridCol w:w="992"/>
        <w:gridCol w:w="133"/>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420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02" w:type="dxa"/>
            <w:tcBorders/>
            <w:shd w:fill="auto" w:val="clear"/>
            <w:vAlign w:val="center"/>
          </w:tcPr>
          <w:p>
            <w:pPr>
              <w:pStyle w:val="TableContents"/>
              <w:spacing w:before="0" w:after="0"/>
              <w:ind w:left="0" w:right="0" w:firstLine="30"/>
              <w:jc w:val="left"/>
              <w:rPr/>
            </w:pPr>
            <w:r>
              <w:rPr/>
              <w:t> </w:t>
            </w:r>
          </w:p>
        </w:tc>
        <w:tc>
          <w:tcPr>
            <w:tcW w:w="476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13"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ind w:left="0" w:right="0" w:firstLine="30"/>
              <w:jc w:val="left"/>
              <w:rPr/>
            </w:pPr>
            <w:r>
              <w:rPr/>
              <w:t> </w:t>
            </w:r>
          </w:p>
        </w:tc>
      </w:tr>
      <w:tr>
        <w:trPr/>
        <w:tc>
          <w:tcPr>
            <w:tcW w:w="4202" w:type="dxa"/>
            <w:tcBorders/>
            <w:shd w:fill="auto" w:val="clear"/>
            <w:vAlign w:val="center"/>
          </w:tcPr>
          <w:p>
            <w:pPr>
              <w:pStyle w:val="TableContents"/>
              <w:spacing w:before="0" w:after="0"/>
              <w:ind w:left="0" w:right="0" w:firstLine="30"/>
              <w:jc w:val="left"/>
              <w:rPr/>
            </w:pPr>
            <w:r>
              <w:rPr/>
              <w:t> </w:t>
            </w:r>
          </w:p>
        </w:tc>
        <w:tc>
          <w:tcPr>
            <w:tcW w:w="1034"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U.S. &amp;</w:t>
            </w:r>
          </w:p>
        </w:tc>
        <w:tc>
          <w:tcPr>
            <w:tcW w:w="11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Latin </w:t>
            </w:r>
          </w:p>
        </w:tc>
        <w:tc>
          <w:tcPr>
            <w:tcW w:w="113" w:type="dxa"/>
            <w:tcBorders/>
            <w:shd w:fill="auto" w:val="clear"/>
            <w:vAlign w:val="center"/>
          </w:tcPr>
          <w:p>
            <w:pPr>
              <w:pStyle w:val="TableContents"/>
              <w:spacing w:before="0" w:after="0"/>
              <w:ind w:left="0" w:right="0" w:firstLine="30"/>
              <w:rPr/>
            </w:pPr>
            <w:r>
              <w:rPr/>
              <w:t> </w:t>
            </w:r>
          </w:p>
        </w:tc>
        <w:tc>
          <w:tcPr>
            <w:tcW w:w="1168"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Other </w:t>
            </w:r>
          </w:p>
        </w:tc>
        <w:tc>
          <w:tcPr>
            <w:tcW w:w="113" w:type="dxa"/>
            <w:tcBorders/>
            <w:shd w:fill="auto" w:val="clear"/>
            <w:vAlign w:val="center"/>
          </w:tcPr>
          <w:p>
            <w:pPr>
              <w:pStyle w:val="TableContents"/>
              <w:spacing w:before="0" w:after="0"/>
              <w:ind w:left="0" w:right="0" w:firstLine="30"/>
              <w:rPr/>
            </w:pPr>
            <w:r>
              <w:rPr/>
              <w:t> </w:t>
            </w:r>
          </w:p>
        </w:tc>
        <w:tc>
          <w:tcPr>
            <w:tcW w:w="1174" w:type="dxa"/>
            <w:gridSpan w:val="2"/>
            <w:tcBorders/>
            <w:shd w:fill="auto" w:val="clear"/>
            <w:vAlign w:val="center"/>
          </w:tcPr>
          <w:p>
            <w:pPr>
              <w:pStyle w:val="TableContents"/>
              <w:spacing w:before="0" w:after="0"/>
              <w:ind w:left="0" w:right="0" w:firstLine="30"/>
              <w:jc w:val="left"/>
              <w:rPr/>
            </w:pPr>
            <w:r>
              <w:rPr/>
              <w:t> </w:t>
            </w:r>
          </w:p>
        </w:tc>
        <w:tc>
          <w:tcPr>
            <w:tcW w:w="113"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ind w:left="0" w:right="0" w:firstLine="30"/>
              <w:jc w:val="left"/>
              <w:rPr/>
            </w:pPr>
            <w:r>
              <w:rPr/>
              <w:t> </w:t>
            </w:r>
          </w:p>
        </w:tc>
      </w:tr>
      <w:tr>
        <w:trPr/>
        <w:tc>
          <w:tcPr>
            <w:tcW w:w="4202" w:type="dxa"/>
            <w:tcBorders/>
            <w:shd w:fill="auto" w:val="clear"/>
            <w:vAlign w:val="center"/>
          </w:tcPr>
          <w:p>
            <w:pPr>
              <w:pStyle w:val="TableContents"/>
              <w:spacing w:before="0" w:after="0"/>
              <w:ind w:left="0" w:right="0" w:firstLine="30"/>
              <w:jc w:val="left"/>
              <w:rPr/>
            </w:pPr>
            <w:r>
              <w:rPr/>
              <w:t> </w:t>
            </w:r>
          </w:p>
        </w:tc>
        <w:tc>
          <w:tcPr>
            <w:tcW w:w="103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Canada</w:t>
            </w:r>
          </w:p>
        </w:tc>
        <w:tc>
          <w:tcPr>
            <w:tcW w:w="113"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America</w:t>
            </w:r>
          </w:p>
        </w:tc>
        <w:tc>
          <w:tcPr>
            <w:tcW w:w="113" w:type="dxa"/>
            <w:tcBorders/>
            <w:shd w:fill="auto" w:val="clear"/>
            <w:vAlign w:val="center"/>
          </w:tcPr>
          <w:p>
            <w:pPr>
              <w:pStyle w:val="TableContents"/>
              <w:spacing w:before="0" w:after="0"/>
              <w:ind w:left="0" w:right="0" w:firstLine="30"/>
              <w:rPr/>
            </w:pPr>
            <w:r>
              <w:rPr/>
              <w:t> </w:t>
            </w:r>
          </w:p>
        </w:tc>
        <w:tc>
          <w:tcPr>
            <w:tcW w:w="116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13" w:type="dxa"/>
            <w:tcBorders/>
            <w:shd w:fill="auto" w:val="clear"/>
            <w:vAlign w:val="center"/>
          </w:tcPr>
          <w:p>
            <w:pPr>
              <w:pStyle w:val="TableContents"/>
              <w:spacing w:before="0" w:after="0"/>
              <w:ind w:left="0" w:right="0" w:firstLine="30"/>
              <w:rPr/>
            </w:pPr>
            <w:r>
              <w:rPr/>
              <w:t> </w:t>
            </w:r>
          </w:p>
        </w:tc>
        <w:tc>
          <w:tcPr>
            <w:tcW w:w="117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13"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420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Pawn/retail stores</w:t>
            </w:r>
          </w:p>
        </w:tc>
        <w:tc>
          <w:tcPr>
            <w:tcW w:w="9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477</w:t>
            </w:r>
          </w:p>
        </w:tc>
        <w:tc>
          <w:tcPr>
            <w:tcW w:w="9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230</w:t>
            </w:r>
          </w:p>
        </w:tc>
        <w:tc>
          <w:tcPr>
            <w:tcW w:w="10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50"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1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7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707</w:t>
            </w:r>
          </w:p>
        </w:tc>
        <w:tc>
          <w:tcPr>
            <w:tcW w:w="10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92"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3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Financial services stores adjoining U.S. pawn stores</w:t>
            </w:r>
          </w:p>
        </w:tc>
        <w:tc>
          <w:tcPr>
            <w:tcW w:w="935" w:type="dxa"/>
            <w:tcBorders/>
            <w:shd w:fill="auto" w:val="clear"/>
            <w:vAlign w:val="center"/>
          </w:tcPr>
          <w:p>
            <w:pPr>
              <w:pStyle w:val="TableContents"/>
              <w:spacing w:before="0" w:after="0"/>
              <w:jc w:val="right"/>
              <w:rPr>
                <w:rFonts w:ascii="inherit" w:hAnsi="inherit"/>
                <w:sz w:val="17"/>
              </w:rPr>
            </w:pPr>
            <w:r>
              <w:rPr>
                <w:rFonts w:ascii="inherit" w:hAnsi="inherit"/>
                <w:sz w:val="17"/>
              </w:rPr>
              <w:t>159</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tcBorders/>
            <w:shd w:fill="auto" w:val="clear"/>
            <w:vAlign w:val="center"/>
          </w:tcPr>
          <w:p>
            <w:pPr>
              <w:pStyle w:val="TableContents"/>
              <w:spacing w:before="0" w:after="0"/>
              <w:jc w:val="right"/>
              <w:rPr/>
            </w:pPr>
            <w:r>
              <w:rPr/>
              <w:t>—</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50" w:type="dxa"/>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71" w:type="dxa"/>
            <w:tcBorders/>
            <w:shd w:fill="auto" w:val="clear"/>
            <w:vAlign w:val="center"/>
          </w:tcPr>
          <w:p>
            <w:pPr>
              <w:pStyle w:val="TableContents"/>
              <w:spacing w:before="0" w:after="0"/>
              <w:jc w:val="right"/>
              <w:rPr>
                <w:rFonts w:ascii="inherit" w:hAnsi="inherit"/>
                <w:sz w:val="17"/>
              </w:rPr>
            </w:pPr>
            <w:r>
              <w:rPr>
                <w:rFonts w:ascii="inherit" w:hAnsi="inherit"/>
                <w:sz w:val="17"/>
              </w:rPr>
              <w:t>159</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92" w:type="dxa"/>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services stores — free standing</w:t>
            </w:r>
          </w:p>
        </w:tc>
        <w:tc>
          <w:tcPr>
            <w:tcW w:w="93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351</w:t>
            </w:r>
          </w:p>
        </w:tc>
        <w:tc>
          <w:tcPr>
            <w:tcW w:w="9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10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7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396</w:t>
            </w:r>
          </w:p>
        </w:tc>
        <w:tc>
          <w:tcPr>
            <w:tcW w:w="10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9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2"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Total stores at end of period</w:t>
            </w:r>
          </w:p>
        </w:tc>
        <w:tc>
          <w:tcPr>
            <w:tcW w:w="93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987</w:t>
            </w:r>
          </w:p>
        </w:tc>
        <w:tc>
          <w:tcPr>
            <w:tcW w:w="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275</w:t>
            </w:r>
          </w:p>
        </w:tc>
        <w:tc>
          <w:tcPr>
            <w:tcW w:w="10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5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1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1,262</w:t>
            </w:r>
          </w:p>
        </w:tc>
        <w:tc>
          <w:tcPr>
            <w:tcW w:w="10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9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3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Discontinued operations</w:t>
            </w:r>
          </w:p>
        </w:tc>
        <w:tc>
          <w:tcPr>
            <w:tcW w:w="935"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99"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101"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7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102</w:t>
            </w:r>
          </w:p>
        </w:tc>
        <w:tc>
          <w:tcPr>
            <w:tcW w:w="10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9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2"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Stores in continuing operations at end of period</w:t>
            </w:r>
          </w:p>
        </w:tc>
        <w:tc>
          <w:tcPr>
            <w:tcW w:w="93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942</w:t>
            </w:r>
          </w:p>
        </w:tc>
        <w:tc>
          <w:tcPr>
            <w:tcW w:w="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218</w:t>
            </w:r>
          </w:p>
        </w:tc>
        <w:tc>
          <w:tcPr>
            <w:tcW w:w="10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1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1,160</w:t>
            </w:r>
          </w:p>
        </w:tc>
        <w:tc>
          <w:tcPr>
            <w:tcW w:w="10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149FCBE28F3900CCBC1E0F13F39FAE0B">
        <w:bookmarkStart w:id="33" w:name="s77C9617CB9759816EBAE0F13C8F347BE"/>
        <w:bookmarkEnd w:id="3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6. SELECTED FINANCIAL DATA</w:t>
      </w:r>
    </w:p>
    <w:p>
      <w:pPr>
        <w:pStyle w:val="TextBody"/>
        <w:spacing w:lineRule="auto" w:line="288" w:before="0" w:after="0"/>
        <w:jc w:val="left"/>
        <w:rPr>
          <w:rFonts w:ascii="inherit" w:hAnsi="inherit"/>
          <w:sz w:val="17"/>
        </w:rPr>
      </w:pPr>
      <w:r>
        <w:rPr>
          <w:rFonts w:ascii="inherit" w:hAnsi="inherit"/>
          <w:sz w:val="17"/>
        </w:rPr>
        <w:t xml:space="preserve">The following selected financial information should be read in conjunction with, and is qualified in its entirety by, the accompanying consolidated financial statements and related notes. </w:t>
      </w:r>
    </w:p>
    <w:p>
      <w:pPr>
        <w:pStyle w:val="TextBody"/>
        <w:spacing w:lineRule="auto" w:line="288" w:before="0" w:after="0"/>
        <w:jc w:val="left"/>
        <w:rPr>
          <w:sz w:val="17"/>
        </w:rPr>
      </w:pPr>
      <w:r>
        <w:rPr>
          <w:rFonts w:ascii="inherit" w:hAnsi="inherit"/>
          <w:sz w:val="17"/>
        </w:rPr>
        <w:t xml:space="preserve">During the third quarter of fiscal 2013, our Board of Directors approved a plan to close 107 legacy stores (102 of which were in operation at </w:t>
      </w:r>
      <w:r>
        <w:rPr>
          <w:rFonts w:ascii="inherit" w:hAnsi="inherit"/>
          <w:strike w:val="false"/>
          <w:dstrike w:val="false"/>
          <w:color w:val="000000"/>
          <w:sz w:val="17"/>
          <w:u w:val="none"/>
          <w:effect w:val="none"/>
        </w:rPr>
        <w:t>September 30, 2012</w:t>
      </w:r>
      <w:r>
        <w:rPr>
          <w:rFonts w:ascii="inherit" w:hAnsi="inherit"/>
          <w:sz w:val="17"/>
        </w:rPr>
        <w:t xml:space="preserve">) in a variety of locations. These stores are generally older, smaller stores that do not fit our future growth profile (See Note 2, "Discontinued Operations," to our consolidated financial statements contained in “Part II — Item 8 — Financial Statements and Supplementary Data” for further details). All periods presented have been reclassified to account for discontinued operations. </w:t>
      </w:r>
    </w:p>
    <w:tbl>
      <w:tblPr>
        <w:tblW w:w="10205" w:type="dxa"/>
        <w:jc w:val="left"/>
        <w:tblInd w:w="0" w:type="dxa"/>
        <w:tblCellMar>
          <w:top w:w="0" w:type="dxa"/>
          <w:left w:w="0" w:type="dxa"/>
          <w:bottom w:w="0" w:type="dxa"/>
          <w:right w:w="0" w:type="dxa"/>
        </w:tblCellMar>
      </w:tblPr>
      <w:tblGrid>
        <w:gridCol w:w="4205"/>
        <w:gridCol w:w="136"/>
        <w:gridCol w:w="857"/>
        <w:gridCol w:w="128"/>
        <w:gridCol w:w="117"/>
        <w:gridCol w:w="136"/>
        <w:gridCol w:w="857"/>
        <w:gridCol w:w="128"/>
        <w:gridCol w:w="117"/>
        <w:gridCol w:w="136"/>
        <w:gridCol w:w="857"/>
        <w:gridCol w:w="128"/>
        <w:gridCol w:w="117"/>
        <w:gridCol w:w="136"/>
        <w:gridCol w:w="857"/>
        <w:gridCol w:w="84"/>
        <w:gridCol w:w="117"/>
        <w:gridCol w:w="136"/>
        <w:gridCol w:w="857"/>
        <w:gridCol w:w="99"/>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420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05" w:type="dxa"/>
            <w:tcBorders/>
            <w:shd w:fill="auto" w:val="clear"/>
            <w:vAlign w:val="center"/>
          </w:tcPr>
          <w:p>
            <w:pPr>
              <w:pStyle w:val="TableContents"/>
              <w:spacing w:before="0" w:after="0"/>
              <w:ind w:left="0" w:right="0" w:firstLine="30"/>
              <w:jc w:val="left"/>
              <w:rPr/>
            </w:pPr>
            <w:r>
              <w:rPr/>
              <w:t> </w:t>
            </w:r>
          </w:p>
        </w:tc>
        <w:tc>
          <w:tcPr>
            <w:tcW w:w="600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4205" w:type="dxa"/>
            <w:tcBorders/>
            <w:shd w:fill="auto" w:val="clear"/>
            <w:vAlign w:val="center"/>
          </w:tcPr>
          <w:p>
            <w:pPr>
              <w:pStyle w:val="TableContents"/>
              <w:spacing w:before="0" w:after="0"/>
              <w:ind w:left="0" w:right="0" w:firstLine="30"/>
              <w:jc w:val="left"/>
              <w:rPr/>
            </w:pPr>
            <w:r>
              <w:rPr/>
              <w:t> </w:t>
            </w:r>
          </w:p>
        </w:tc>
        <w:tc>
          <w:tcPr>
            <w:tcW w:w="11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7"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17" w:type="dxa"/>
            <w:tcBorders/>
            <w:shd w:fill="auto" w:val="clear"/>
            <w:vAlign w:val="center"/>
          </w:tcPr>
          <w:p>
            <w:pPr>
              <w:pStyle w:val="TableContents"/>
              <w:spacing w:before="0" w:after="0"/>
              <w:ind w:left="0" w:right="0" w:firstLine="30"/>
              <w:rPr/>
            </w:pPr>
            <w:r>
              <w:rPr/>
              <w:t> </w:t>
            </w:r>
          </w:p>
        </w:tc>
        <w:tc>
          <w:tcPr>
            <w:tcW w:w="11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c>
          <w:tcPr>
            <w:tcW w:w="117" w:type="dxa"/>
            <w:tcBorders/>
            <w:shd w:fill="auto" w:val="clear"/>
            <w:vAlign w:val="center"/>
          </w:tcPr>
          <w:p>
            <w:pPr>
              <w:pStyle w:val="TableContents"/>
              <w:spacing w:before="0" w:after="0"/>
              <w:ind w:left="0" w:right="0" w:firstLine="30"/>
              <w:rPr/>
            </w:pPr>
            <w:r>
              <w:rPr/>
              <w:t> </w:t>
            </w:r>
          </w:p>
        </w:tc>
        <w:tc>
          <w:tcPr>
            <w:tcW w:w="10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2009</w:t>
            </w:r>
          </w:p>
        </w:tc>
        <w:tc>
          <w:tcPr>
            <w:tcW w:w="117" w:type="dxa"/>
            <w:tcBorders/>
            <w:shd w:fill="auto" w:val="clear"/>
            <w:vAlign w:val="center"/>
          </w:tcPr>
          <w:p>
            <w:pPr>
              <w:pStyle w:val="TableContents"/>
              <w:spacing w:before="0" w:after="0"/>
              <w:ind w:left="0" w:right="0" w:firstLine="30"/>
              <w:rPr/>
            </w:pPr>
            <w:r>
              <w:rPr/>
              <w:t> </w:t>
            </w:r>
          </w:p>
        </w:tc>
        <w:tc>
          <w:tcPr>
            <w:tcW w:w="10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2008</w:t>
            </w:r>
          </w:p>
        </w:tc>
      </w:tr>
      <w:tr>
        <w:trPr/>
        <w:tc>
          <w:tcPr>
            <w:tcW w:w="4205" w:type="dxa"/>
            <w:tcBorders/>
            <w:shd w:fill="auto" w:val="clear"/>
            <w:vAlign w:val="center"/>
          </w:tcPr>
          <w:p>
            <w:pPr>
              <w:pStyle w:val="TableContents"/>
              <w:spacing w:before="0" w:after="0"/>
              <w:ind w:left="0" w:right="0" w:firstLine="30"/>
              <w:jc w:val="left"/>
              <w:rPr/>
            </w:pPr>
            <w:r>
              <w:rPr/>
              <w:t> </w:t>
            </w:r>
          </w:p>
        </w:tc>
        <w:tc>
          <w:tcPr>
            <w:tcW w:w="6000"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and store figures)</w:t>
            </w:r>
          </w:p>
        </w:tc>
      </w:tr>
      <w:tr>
        <w:trPr/>
        <w:tc>
          <w:tcPr>
            <w:tcW w:w="420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Operating Data:</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077"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092" w:type="dxa"/>
            <w:gridSpan w:val="3"/>
            <w:tcBorders/>
            <w:shd w:fill="CCEEFF" w:val="clear"/>
            <w:vAlign w:val="center"/>
          </w:tcPr>
          <w:p>
            <w:pPr>
              <w:pStyle w:val="TableContents"/>
              <w:spacing w:before="0" w:after="0"/>
              <w:ind w:left="0" w:right="0" w:firstLine="30"/>
              <w:rPr/>
            </w:pPr>
            <w:r>
              <w:rPr/>
              <w:t> </w:t>
            </w:r>
          </w:p>
        </w:tc>
      </w:tr>
      <w:tr>
        <w:trPr/>
        <w:tc>
          <w:tcPr>
            <w:tcW w:w="4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3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auto" w:val="clear"/>
            <w:vAlign w:val="center"/>
          </w:tcPr>
          <w:p>
            <w:pPr>
              <w:pStyle w:val="TableContents"/>
              <w:spacing w:before="0" w:after="0"/>
              <w:jc w:val="right"/>
              <w:rPr>
                <w:rFonts w:ascii="inherit" w:hAnsi="inherit"/>
                <w:sz w:val="17"/>
              </w:rPr>
            </w:pPr>
            <w:r>
              <w:rPr>
                <w:rFonts w:ascii="inherit" w:hAnsi="inherit"/>
                <w:sz w:val="17"/>
              </w:rPr>
              <w:t>975,123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auto" w:val="clear"/>
            <w:vAlign w:val="center"/>
          </w:tcPr>
          <w:p>
            <w:pPr>
              <w:pStyle w:val="TableContents"/>
              <w:spacing w:before="0" w:after="0"/>
              <w:jc w:val="right"/>
              <w:rPr>
                <w:rFonts w:ascii="inherit" w:hAnsi="inherit"/>
                <w:sz w:val="17"/>
              </w:rPr>
            </w:pPr>
            <w:r>
              <w:rPr>
                <w:rFonts w:ascii="inherit" w:hAnsi="inherit"/>
                <w:sz w:val="17"/>
              </w:rPr>
              <w:t>852,798</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auto" w:val="clear"/>
            <w:vAlign w:val="center"/>
          </w:tcPr>
          <w:p>
            <w:pPr>
              <w:pStyle w:val="TableContents"/>
              <w:spacing w:before="0" w:after="0"/>
              <w:jc w:val="right"/>
              <w:rPr>
                <w:rFonts w:ascii="inherit" w:hAnsi="inherit"/>
                <w:sz w:val="17"/>
              </w:rPr>
            </w:pPr>
            <w:r>
              <w:rPr>
                <w:rFonts w:ascii="inherit" w:hAnsi="inherit"/>
                <w:sz w:val="17"/>
              </w:rPr>
              <w:t>725,168</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auto" w:val="clear"/>
            <w:vAlign w:val="center"/>
          </w:tcPr>
          <w:p>
            <w:pPr>
              <w:pStyle w:val="TableContents"/>
              <w:spacing w:before="0" w:after="0"/>
              <w:jc w:val="right"/>
              <w:rPr>
                <w:rFonts w:ascii="inherit" w:hAnsi="inherit"/>
                <w:sz w:val="17"/>
              </w:rPr>
            </w:pPr>
            <w:r>
              <w:rPr>
                <w:rFonts w:ascii="inherit" w:hAnsi="inherit"/>
                <w:sz w:val="17"/>
              </w:rPr>
              <w:t>592,928</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auto" w:val="clear"/>
            <w:vAlign w:val="center"/>
          </w:tcPr>
          <w:p>
            <w:pPr>
              <w:pStyle w:val="TableContents"/>
              <w:spacing w:before="0" w:after="0"/>
              <w:jc w:val="right"/>
              <w:rPr>
                <w:rFonts w:ascii="inherit" w:hAnsi="inherit"/>
                <w:sz w:val="17"/>
              </w:rPr>
            </w:pPr>
            <w:r>
              <w:rPr>
                <w:rFonts w:ascii="inherit" w:hAnsi="inherit"/>
                <w:sz w:val="17"/>
              </w:rPr>
              <w:t>452,476</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614,401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526,303</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443,255</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356,632</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277,189</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155,110</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123,717</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98,643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67,101</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51,225</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(loss) from discontinued operations, net of tax</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(4,533</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(1,558</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1,371</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1,204</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9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150,577</w:t>
            </w:r>
          </w:p>
        </w:tc>
        <w:tc>
          <w:tcPr>
            <w:tcW w:w="12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2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12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68,472</w:t>
            </w:r>
          </w:p>
        </w:tc>
        <w:tc>
          <w:tcPr>
            <w:tcW w:w="8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52,429</w:t>
            </w:r>
          </w:p>
        </w:tc>
        <w:tc>
          <w:tcPr>
            <w:tcW w:w="9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redeemable noncontrolling interest</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6,869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68,472</w:t>
            </w:r>
          </w:p>
        </w:tc>
        <w:tc>
          <w:tcPr>
            <w:tcW w:w="8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52,429</w:t>
            </w:r>
          </w:p>
        </w:tc>
        <w:tc>
          <w:tcPr>
            <w:tcW w:w="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077"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092" w:type="dxa"/>
            <w:gridSpan w:val="3"/>
            <w:tcBorders/>
            <w:shd w:fill="CCEEFF" w:val="clear"/>
            <w:vAlign w:val="center"/>
          </w:tcPr>
          <w:p>
            <w:pPr>
              <w:pStyle w:val="TableContents"/>
              <w:spacing w:before="0" w:after="0"/>
              <w:ind w:left="0" w:right="0" w:firstLine="30"/>
              <w:rPr/>
            </w:pPr>
            <w:r>
              <w:rPr/>
              <w:t> </w:t>
            </w:r>
          </w:p>
        </w:tc>
      </w:tr>
      <w:tr>
        <w:trPr/>
        <w:tc>
          <w:tcPr>
            <w:tcW w:w="420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Diluted (loss) earnings per share attributable to EZCORP, Inc.:</w:t>
            </w:r>
          </w:p>
        </w:tc>
        <w:tc>
          <w:tcPr>
            <w:tcW w:w="1121"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121"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121"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077"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092" w:type="dxa"/>
            <w:gridSpan w:val="3"/>
            <w:tcBorders/>
            <w:shd w:fill="auto" w:val="clear"/>
            <w:vAlign w:val="center"/>
          </w:tcPr>
          <w:p>
            <w:pPr>
              <w:pStyle w:val="TableContents"/>
              <w:spacing w:before="0" w:after="0"/>
              <w:ind w:left="0" w:right="0" w:firstLine="30"/>
              <w:rPr/>
            </w:pPr>
            <w:r>
              <w:rPr/>
              <w:t> </w:t>
            </w:r>
          </w:p>
        </w:tc>
      </w:tr>
      <w:tr>
        <w:trPr/>
        <w:tc>
          <w:tcPr>
            <w:tcW w:w="420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Continuing operations</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CCEEFF" w:val="clear"/>
            <w:vAlign w:val="center"/>
          </w:tcPr>
          <w:p>
            <w:pPr>
              <w:pStyle w:val="TableContents"/>
              <w:spacing w:before="0" w:after="0"/>
              <w:jc w:val="right"/>
              <w:rPr>
                <w:rFonts w:ascii="inherit" w:hAnsi="inherit"/>
                <w:sz w:val="17"/>
              </w:rPr>
            </w:pPr>
            <w:r>
              <w:rPr>
                <w:rFonts w:ascii="inherit" w:hAnsi="inherit"/>
                <w:sz w:val="17"/>
              </w:rPr>
              <w:t>2.90</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CCEEFF" w:val="clear"/>
            <w:vAlign w:val="center"/>
          </w:tcPr>
          <w:p>
            <w:pPr>
              <w:pStyle w:val="TableContents"/>
              <w:spacing w:before="0" w:after="0"/>
              <w:jc w:val="right"/>
              <w:rPr>
                <w:rFonts w:ascii="inherit" w:hAnsi="inherit"/>
                <w:sz w:val="17"/>
              </w:rPr>
            </w:pPr>
            <w:r>
              <w:rPr>
                <w:rFonts w:ascii="inherit" w:hAnsi="inherit"/>
                <w:sz w:val="17"/>
              </w:rPr>
              <w:t>2.46</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CCEEFF" w:val="clear"/>
            <w:vAlign w:val="center"/>
          </w:tcPr>
          <w:p>
            <w:pPr>
              <w:pStyle w:val="TableContents"/>
              <w:spacing w:before="0" w:after="0"/>
              <w:jc w:val="right"/>
              <w:rPr>
                <w:rFonts w:ascii="inherit" w:hAnsi="inherit"/>
                <w:sz w:val="17"/>
              </w:rPr>
            </w:pPr>
            <w:r>
              <w:rPr>
                <w:rFonts w:ascii="inherit" w:hAnsi="inherit"/>
                <w:sz w:val="17"/>
              </w:rPr>
              <w:t>1.39</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shd w:fill="CCEEFF" w:val="clear"/>
            <w:vAlign w:val="center"/>
          </w:tcPr>
          <w:p>
            <w:pPr>
              <w:pStyle w:val="TableContents"/>
              <w:spacing w:before="0" w:after="0"/>
              <w:jc w:val="right"/>
              <w:rPr>
                <w:rFonts w:ascii="inherit" w:hAnsi="inherit"/>
                <w:sz w:val="17"/>
              </w:rPr>
            </w:pPr>
            <w:r>
              <w:rPr>
                <w:rFonts w:ascii="inherit" w:hAnsi="inherit"/>
                <w:sz w:val="17"/>
              </w:rPr>
              <w:t>1.18</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(0.09</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Diluted (loss) earnings per share</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2.81</w:t>
            </w:r>
          </w:p>
        </w:tc>
        <w:tc>
          <w:tcPr>
            <w:tcW w:w="12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2.43</w:t>
            </w:r>
          </w:p>
        </w:tc>
        <w:tc>
          <w:tcPr>
            <w:tcW w:w="12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1.96</w:t>
            </w:r>
          </w:p>
        </w:tc>
        <w:tc>
          <w:tcPr>
            <w:tcW w:w="12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1.42</w:t>
            </w:r>
          </w:p>
        </w:tc>
        <w:tc>
          <w:tcPr>
            <w:tcW w:w="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1.21</w:t>
            </w:r>
          </w:p>
        </w:tc>
        <w:tc>
          <w:tcPr>
            <w:tcW w:w="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auto" w:val="clear"/>
            <w:vAlign w:val="center"/>
          </w:tcPr>
          <w:p>
            <w:pPr>
              <w:pStyle w:val="TableContents"/>
              <w:spacing w:before="0" w:after="0"/>
              <w:ind w:left="0" w:right="0" w:firstLine="30"/>
              <w:rPr/>
            </w:pPr>
            <w:r>
              <w:rPr/>
              <w:t> </w:t>
            </w:r>
          </w:p>
        </w:tc>
        <w:tc>
          <w:tcPr>
            <w:tcW w:w="1121"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121"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121"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077"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092" w:type="dxa"/>
            <w:gridSpan w:val="3"/>
            <w:tcBorders/>
            <w:shd w:fill="auto" w:val="clear"/>
            <w:vAlign w:val="center"/>
          </w:tcPr>
          <w:p>
            <w:pPr>
              <w:pStyle w:val="TableContents"/>
              <w:spacing w:before="0" w:after="0"/>
              <w:ind w:left="0" w:right="0" w:firstLine="30"/>
              <w:rPr/>
            </w:pPr>
            <w:r>
              <w:rPr/>
              <w:t> </w:t>
            </w:r>
          </w:p>
        </w:tc>
      </w:tr>
      <w:tr>
        <w:trPr/>
        <w:tc>
          <w:tcPr>
            <w:tcW w:w="4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shares outstanding:</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077"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092" w:type="dxa"/>
            <w:gridSpan w:val="3"/>
            <w:tcBorders/>
            <w:shd w:fill="CCEEFF" w:val="clear"/>
            <w:vAlign w:val="center"/>
          </w:tcPr>
          <w:p>
            <w:pPr>
              <w:pStyle w:val="TableContents"/>
              <w:spacing w:before="0" w:after="0"/>
              <w:ind w:left="0" w:right="0" w:firstLine="30"/>
              <w:rPr/>
            </w:pPr>
            <w:r>
              <w:rPr/>
              <w:t> </w:t>
            </w:r>
          </w:p>
        </w:tc>
      </w:tr>
      <w:tr>
        <w:trPr/>
        <w:tc>
          <w:tcPr>
            <w:tcW w:w="4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51,133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50,369</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49,576</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48,076</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43,327</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121"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077" w:type="dxa"/>
            <w:gridSpan w:val="3"/>
            <w:tcBorders/>
            <w:shd w:fill="CCEEFF" w:val="clear"/>
            <w:vAlign w:val="center"/>
          </w:tcPr>
          <w:p>
            <w:pPr>
              <w:pStyle w:val="TableContents"/>
              <w:spacing w:before="0" w:after="0"/>
              <w:ind w:left="0" w:right="0" w:firstLine="30"/>
              <w:rPr/>
            </w:pPr>
            <w:r>
              <w:rPr/>
              <w:t> </w:t>
            </w:r>
          </w:p>
        </w:tc>
        <w:tc>
          <w:tcPr>
            <w:tcW w:w="117" w:type="dxa"/>
            <w:tcBorders/>
            <w:shd w:fill="CCEEFF" w:val="clear"/>
            <w:vAlign w:val="center"/>
          </w:tcPr>
          <w:p>
            <w:pPr>
              <w:pStyle w:val="TableContents"/>
              <w:spacing w:before="0" w:after="0"/>
              <w:ind w:left="0" w:right="0" w:firstLine="30"/>
              <w:rPr/>
            </w:pPr>
            <w:r>
              <w:rPr/>
              <w:t> </w:t>
            </w:r>
          </w:p>
        </w:tc>
        <w:tc>
          <w:tcPr>
            <w:tcW w:w="1092" w:type="dxa"/>
            <w:gridSpan w:val="3"/>
            <w:tcBorders/>
            <w:shd w:fill="CCEEFF" w:val="clear"/>
            <w:vAlign w:val="center"/>
          </w:tcPr>
          <w:p>
            <w:pPr>
              <w:pStyle w:val="TableContents"/>
              <w:spacing w:before="0" w:after="0"/>
              <w:ind w:left="0" w:right="0" w:firstLine="30"/>
              <w:rPr/>
            </w:pPr>
            <w:r>
              <w:rPr/>
              <w:t> </w:t>
            </w:r>
          </w:p>
        </w:tc>
      </w:tr>
      <w:tr>
        <w:trPr/>
        <w:tc>
          <w:tcPr>
            <w:tcW w:w="420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Stores at end of period</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1,111</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1,006</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910</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809</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Discontinued operations</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Stores in continuing operations at end of period</w:t>
            </w:r>
          </w:p>
        </w:tc>
        <w:tc>
          <w:tcPr>
            <w:tcW w:w="993"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1,160</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1,017</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934</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891</w:t>
            </w:r>
          </w:p>
        </w:tc>
        <w:tc>
          <w:tcPr>
            <w:tcW w:w="8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3"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795</w:t>
            </w:r>
          </w:p>
        </w:tc>
        <w:tc>
          <w:tcPr>
            <w:tcW w:w="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487"/>
        <w:gridCol w:w="128"/>
        <w:gridCol w:w="912"/>
        <w:gridCol w:w="90"/>
        <w:gridCol w:w="113"/>
        <w:gridCol w:w="126"/>
        <w:gridCol w:w="823"/>
        <w:gridCol w:w="90"/>
        <w:gridCol w:w="113"/>
        <w:gridCol w:w="126"/>
        <w:gridCol w:w="823"/>
        <w:gridCol w:w="90"/>
        <w:gridCol w:w="113"/>
        <w:gridCol w:w="126"/>
        <w:gridCol w:w="823"/>
        <w:gridCol w:w="90"/>
        <w:gridCol w:w="113"/>
        <w:gridCol w:w="126"/>
        <w:gridCol w:w="783"/>
        <w:gridCol w:w="110"/>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448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7" w:type="dxa"/>
            <w:tcBorders/>
            <w:shd w:fill="auto" w:val="clear"/>
            <w:vAlign w:val="center"/>
          </w:tcPr>
          <w:p>
            <w:pPr>
              <w:pStyle w:val="TableContents"/>
              <w:spacing w:before="0" w:after="0"/>
              <w:ind w:left="0" w:right="0" w:firstLine="30"/>
              <w:jc w:val="left"/>
              <w:rPr/>
            </w:pPr>
            <w:r>
              <w:rPr/>
              <w:t> </w:t>
            </w:r>
          </w:p>
        </w:tc>
        <w:tc>
          <w:tcPr>
            <w:tcW w:w="5718"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4487" w:type="dxa"/>
            <w:tcBorders/>
            <w:shd w:fill="auto" w:val="clear"/>
            <w:vAlign w:val="center"/>
          </w:tcPr>
          <w:p>
            <w:pPr>
              <w:pStyle w:val="TableContents"/>
              <w:spacing w:before="0" w:after="0"/>
              <w:ind w:left="0" w:right="0" w:firstLine="30"/>
              <w:jc w:val="left"/>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3" w:type="dxa"/>
            <w:tcBorders/>
            <w:shd w:fill="auto" w:val="clear"/>
            <w:vAlign w:val="center"/>
          </w:tcPr>
          <w:p>
            <w:pPr>
              <w:pStyle w:val="TableContents"/>
              <w:spacing w:before="0" w:after="0"/>
              <w:ind w:left="0" w:right="0" w:firstLine="30"/>
              <w:rPr/>
            </w:pPr>
            <w:r>
              <w:rPr/>
              <w:t> </w:t>
            </w:r>
          </w:p>
        </w:tc>
        <w:tc>
          <w:tcPr>
            <w:tcW w:w="10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13" w:type="dxa"/>
            <w:tcBorders/>
            <w:shd w:fill="auto" w:val="clear"/>
            <w:vAlign w:val="center"/>
          </w:tcPr>
          <w:p>
            <w:pPr>
              <w:pStyle w:val="TableContents"/>
              <w:spacing w:before="0" w:after="0"/>
              <w:ind w:left="0" w:right="0" w:firstLine="30"/>
              <w:rPr/>
            </w:pPr>
            <w:r>
              <w:rPr/>
              <w:t> </w:t>
            </w:r>
          </w:p>
        </w:tc>
        <w:tc>
          <w:tcPr>
            <w:tcW w:w="10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c>
          <w:tcPr>
            <w:tcW w:w="113" w:type="dxa"/>
            <w:tcBorders/>
            <w:shd w:fill="auto" w:val="clear"/>
            <w:vAlign w:val="center"/>
          </w:tcPr>
          <w:p>
            <w:pPr>
              <w:pStyle w:val="TableContents"/>
              <w:spacing w:before="0" w:after="0"/>
              <w:ind w:left="0" w:right="0" w:firstLine="30"/>
              <w:rPr/>
            </w:pPr>
            <w:r>
              <w:rPr/>
              <w:t> </w:t>
            </w:r>
          </w:p>
        </w:tc>
        <w:tc>
          <w:tcPr>
            <w:tcW w:w="10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2009</w:t>
            </w:r>
          </w:p>
        </w:tc>
        <w:tc>
          <w:tcPr>
            <w:tcW w:w="113" w:type="dxa"/>
            <w:tcBorders/>
            <w:shd w:fill="auto" w:val="clear"/>
            <w:vAlign w:val="center"/>
          </w:tcPr>
          <w:p>
            <w:pPr>
              <w:pStyle w:val="TableContents"/>
              <w:spacing w:before="0" w:after="0"/>
              <w:ind w:left="0" w:right="0" w:firstLine="30"/>
              <w:rPr/>
            </w:pPr>
            <w:r>
              <w:rPr/>
              <w:t> </w:t>
            </w:r>
          </w:p>
        </w:tc>
        <w:tc>
          <w:tcPr>
            <w:tcW w:w="10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2008</w:t>
            </w:r>
          </w:p>
        </w:tc>
      </w:tr>
      <w:tr>
        <w:trPr/>
        <w:tc>
          <w:tcPr>
            <w:tcW w:w="4487" w:type="dxa"/>
            <w:tcBorders/>
            <w:shd w:fill="auto" w:val="clear"/>
            <w:vAlign w:val="center"/>
          </w:tcPr>
          <w:p>
            <w:pPr>
              <w:pStyle w:val="TableContents"/>
              <w:spacing w:before="0" w:after="0"/>
              <w:ind w:left="0" w:right="0" w:firstLine="30"/>
              <w:jc w:val="left"/>
              <w:rPr/>
            </w:pPr>
            <w:r>
              <w:rPr/>
              <w:t> </w:t>
            </w:r>
          </w:p>
        </w:tc>
        <w:tc>
          <w:tcPr>
            <w:tcW w:w="5718"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487"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 Sheet Data:</w:t>
            </w:r>
          </w:p>
        </w:tc>
        <w:tc>
          <w:tcPr>
            <w:tcW w:w="1130" w:type="dxa"/>
            <w:gridSpan w:val="3"/>
            <w:tcBorders/>
            <w:shd w:fill="CCEEFF" w:val="clear"/>
            <w:vAlign w:val="center"/>
          </w:tcPr>
          <w:p>
            <w:pPr>
              <w:pStyle w:val="TableContents"/>
              <w:spacing w:before="0" w:after="0"/>
              <w:ind w:left="0" w:right="0" w:firstLine="30"/>
              <w:jc w:val="left"/>
              <w:rPr/>
            </w:pPr>
            <w:r>
              <w:rPr/>
              <w:t> </w:t>
            </w:r>
          </w:p>
        </w:tc>
        <w:tc>
          <w:tcPr>
            <w:tcW w:w="113" w:type="dxa"/>
            <w:tcBorders/>
            <w:shd w:fill="CCEEFF" w:val="clear"/>
            <w:vAlign w:val="center"/>
          </w:tcPr>
          <w:p>
            <w:pPr>
              <w:pStyle w:val="TableContents"/>
              <w:spacing w:before="0" w:after="0"/>
              <w:ind w:left="0" w:right="0" w:firstLine="30"/>
              <w:rPr/>
            </w:pPr>
            <w:r>
              <w:rPr/>
              <w:t> </w:t>
            </w:r>
          </w:p>
        </w:tc>
        <w:tc>
          <w:tcPr>
            <w:tcW w:w="1039" w:type="dxa"/>
            <w:gridSpan w:val="3"/>
            <w:tcBorders/>
            <w:shd w:fill="CCEEFF" w:val="clear"/>
            <w:vAlign w:val="center"/>
          </w:tcPr>
          <w:p>
            <w:pPr>
              <w:pStyle w:val="TableContents"/>
              <w:spacing w:before="0" w:after="0"/>
              <w:ind w:left="0" w:right="0" w:firstLine="30"/>
              <w:jc w:val="left"/>
              <w:rPr/>
            </w:pPr>
            <w:r>
              <w:rPr/>
              <w:t> </w:t>
            </w:r>
          </w:p>
        </w:tc>
        <w:tc>
          <w:tcPr>
            <w:tcW w:w="113" w:type="dxa"/>
            <w:tcBorders/>
            <w:shd w:fill="CCEEFF" w:val="clear"/>
            <w:vAlign w:val="center"/>
          </w:tcPr>
          <w:p>
            <w:pPr>
              <w:pStyle w:val="TableContents"/>
              <w:spacing w:before="0" w:after="0"/>
              <w:ind w:left="0" w:right="0" w:firstLine="30"/>
              <w:rPr/>
            </w:pPr>
            <w:r>
              <w:rPr/>
              <w:t> </w:t>
            </w:r>
          </w:p>
        </w:tc>
        <w:tc>
          <w:tcPr>
            <w:tcW w:w="1039" w:type="dxa"/>
            <w:gridSpan w:val="3"/>
            <w:tcBorders/>
            <w:shd w:fill="CCEEFF" w:val="clear"/>
            <w:vAlign w:val="center"/>
          </w:tcPr>
          <w:p>
            <w:pPr>
              <w:pStyle w:val="TableContents"/>
              <w:spacing w:before="0" w:after="0"/>
              <w:ind w:left="0" w:right="0" w:firstLine="30"/>
              <w:jc w:val="left"/>
              <w:rPr/>
            </w:pPr>
            <w:r>
              <w:rPr/>
              <w:t> </w:t>
            </w:r>
          </w:p>
        </w:tc>
        <w:tc>
          <w:tcPr>
            <w:tcW w:w="113" w:type="dxa"/>
            <w:tcBorders/>
            <w:shd w:fill="CCEEFF" w:val="clear"/>
            <w:vAlign w:val="center"/>
          </w:tcPr>
          <w:p>
            <w:pPr>
              <w:pStyle w:val="TableContents"/>
              <w:spacing w:before="0" w:after="0"/>
              <w:ind w:left="0" w:right="0" w:firstLine="30"/>
              <w:rPr/>
            </w:pPr>
            <w:r>
              <w:rPr/>
              <w:t> </w:t>
            </w:r>
          </w:p>
        </w:tc>
        <w:tc>
          <w:tcPr>
            <w:tcW w:w="1039" w:type="dxa"/>
            <w:gridSpan w:val="3"/>
            <w:tcBorders/>
            <w:shd w:fill="CCEEFF" w:val="clear"/>
            <w:vAlign w:val="center"/>
          </w:tcPr>
          <w:p>
            <w:pPr>
              <w:pStyle w:val="TableContents"/>
              <w:spacing w:before="0" w:after="0"/>
              <w:ind w:left="0" w:right="0" w:firstLine="30"/>
              <w:jc w:val="left"/>
              <w:rPr/>
            </w:pPr>
            <w:r>
              <w:rPr/>
              <w:t> </w:t>
            </w:r>
          </w:p>
        </w:tc>
        <w:tc>
          <w:tcPr>
            <w:tcW w:w="113" w:type="dxa"/>
            <w:tcBorders/>
            <w:shd w:fill="CCEEFF" w:val="clear"/>
            <w:vAlign w:val="center"/>
          </w:tcPr>
          <w:p>
            <w:pPr>
              <w:pStyle w:val="TableContents"/>
              <w:spacing w:before="0" w:after="0"/>
              <w:ind w:left="0" w:right="0" w:firstLine="30"/>
              <w:rPr/>
            </w:pPr>
            <w:r>
              <w:rPr/>
              <w:t> </w:t>
            </w:r>
          </w:p>
        </w:tc>
        <w:tc>
          <w:tcPr>
            <w:tcW w:w="1019" w:type="dxa"/>
            <w:gridSpan w:val="3"/>
            <w:tcBorders/>
            <w:shd w:fill="CCEEFF" w:val="clear"/>
            <w:vAlign w:val="center"/>
          </w:tcPr>
          <w:p>
            <w:pPr>
              <w:pStyle w:val="TableContents"/>
              <w:spacing w:before="0" w:after="0"/>
              <w:ind w:left="0" w:right="0" w:firstLine="30"/>
              <w:jc w:val="left"/>
              <w:rPr/>
            </w:pPr>
            <w:r>
              <w:rPr/>
              <w:t> </w:t>
            </w:r>
          </w:p>
        </w:tc>
      </w:tr>
      <w:tr>
        <w:trPr/>
        <w:tc>
          <w:tcPr>
            <w:tcW w:w="44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2" w:type="dxa"/>
            <w:tcBorders/>
            <w:shd w:fill="auto" w:val="clear"/>
            <w:vAlign w:val="center"/>
          </w:tcPr>
          <w:p>
            <w:pPr>
              <w:pStyle w:val="TableContents"/>
              <w:spacing w:before="0" w:after="0"/>
              <w:jc w:val="right"/>
              <w:rPr>
                <w:rFonts w:ascii="inherit" w:hAnsi="inherit"/>
                <w:sz w:val="17"/>
              </w:rPr>
            </w:pPr>
            <w:r>
              <w:rPr>
                <w:rFonts w:ascii="inherit" w:hAnsi="inherit"/>
                <w:sz w:val="17"/>
              </w:rPr>
              <w:t>157,648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shd w:fill="auto" w:val="clear"/>
            <w:vAlign w:val="center"/>
          </w:tcPr>
          <w:p>
            <w:pPr>
              <w:pStyle w:val="TableContents"/>
              <w:spacing w:before="0" w:after="0"/>
              <w:jc w:val="right"/>
              <w:rPr>
                <w:rFonts w:ascii="inherit" w:hAnsi="inherit"/>
                <w:sz w:val="17"/>
              </w:rPr>
            </w:pPr>
            <w:r>
              <w:rPr>
                <w:rFonts w:ascii="inherit" w:hAnsi="inherit"/>
                <w:sz w:val="17"/>
              </w:rPr>
              <w:t>145,318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shd w:fill="auto" w:val="clear"/>
            <w:vAlign w:val="center"/>
          </w:tcPr>
          <w:p>
            <w:pPr>
              <w:pStyle w:val="TableContents"/>
              <w:spacing w:before="0" w:after="0"/>
              <w:jc w:val="right"/>
              <w:rPr>
                <w:rFonts w:ascii="inherit" w:hAnsi="inherit"/>
                <w:sz w:val="17"/>
              </w:rPr>
            </w:pPr>
            <w:r>
              <w:rPr>
                <w:rFonts w:ascii="inherit" w:hAnsi="inherit"/>
                <w:sz w:val="17"/>
              </w:rPr>
              <w:t>121,201</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shd w:fill="auto" w:val="clear"/>
            <w:vAlign w:val="center"/>
          </w:tcPr>
          <w:p>
            <w:pPr>
              <w:pStyle w:val="TableContents"/>
              <w:spacing w:before="0" w:after="0"/>
              <w:jc w:val="right"/>
              <w:rPr>
                <w:rFonts w:ascii="inherit" w:hAnsi="inherit"/>
                <w:sz w:val="17"/>
              </w:rPr>
            </w:pPr>
            <w:r>
              <w:rPr>
                <w:rFonts w:ascii="inherit" w:hAnsi="inherit"/>
                <w:sz w:val="17"/>
              </w:rPr>
              <w:t>101,684</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3" w:type="dxa"/>
            <w:tcBorders/>
            <w:shd w:fill="auto" w:val="clear"/>
            <w:vAlign w:val="center"/>
          </w:tcPr>
          <w:p>
            <w:pPr>
              <w:pStyle w:val="TableContents"/>
              <w:spacing w:before="0" w:after="0"/>
              <w:jc w:val="right"/>
              <w:rPr>
                <w:rFonts w:ascii="inherit" w:hAnsi="inherit"/>
                <w:sz w:val="17"/>
              </w:rPr>
            </w:pPr>
            <w:r>
              <w:rPr>
                <w:rFonts w:ascii="inherit" w:hAnsi="inherit"/>
                <w:sz w:val="17"/>
              </w:rPr>
              <w:t>75,936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loans, net</w:t>
            </w:r>
          </w:p>
        </w:tc>
        <w:tc>
          <w:tcPr>
            <w:tcW w:w="10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96,149</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14,611</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13,920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10,020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7,125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Inventory, net</w:t>
            </w:r>
          </w:p>
        </w:tc>
        <w:tc>
          <w:tcPr>
            <w:tcW w:w="10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109,214</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90,373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71,502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64,001</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43,209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Working capital</w:t>
            </w:r>
          </w:p>
        </w:tc>
        <w:tc>
          <w:tcPr>
            <w:tcW w:w="10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373,557</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291,968</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232,713</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228,796</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159,918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0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1,218,007</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756,450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606,412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492,517</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308,720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w:t>
            </w:r>
          </w:p>
        </w:tc>
        <w:tc>
          <w:tcPr>
            <w:tcW w:w="10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198,836</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17,500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25,000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35,000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09"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0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53,681</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909"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0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834,828</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664,248</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519,428</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415,685</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9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273,050</w:t>
            </w:r>
          </w:p>
        </w:tc>
        <w:tc>
          <w:tcPr>
            <w:tcW w:w="110"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149FCBE28F3900CCBC1E0F13F39FAE0B">
        <w:bookmarkStart w:id="34" w:name="s00AEF0F7D0FA0671068C0F13C9A1B1CA"/>
        <w:bookmarkEnd w:id="3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7. MANAGEMENT'S DISCUSSION AND ANALYSIS OF FINANCIAL CONDITION AND RESULTS OF OPERATIONS</w:t>
      </w:r>
    </w:p>
    <w:p>
      <w:pPr>
        <w:pStyle w:val="TextBody"/>
        <w:spacing w:lineRule="auto" w:line="288" w:before="0" w:after="0"/>
        <w:jc w:val="left"/>
        <w:rPr>
          <w:rFonts w:ascii="inherit" w:hAnsi="inherit"/>
          <w:sz w:val="17"/>
        </w:rPr>
      </w:pPr>
      <w:r>
        <w:rPr>
          <w:rFonts w:ascii="inherit" w:hAnsi="inherit"/>
          <w:sz w:val="17"/>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 Item 1A — Risk Factors.” See also “Cautionary Statement Regarding Risks and Uncertainties That May Affect Future Results” below.</w:t>
      </w:r>
    </w:p>
    <w:p>
      <w:pPr>
        <w:pStyle w:val="TextBody"/>
        <w:spacing w:lineRule="auto" w:line="288" w:before="0" w:after="0"/>
        <w:jc w:val="left"/>
        <w:rPr>
          <w:rFonts w:ascii="inherit" w:hAnsi="inherit"/>
          <w:sz w:val="17"/>
        </w:rPr>
      </w:pPr>
      <w:r>
        <w:rPr>
          <w:rFonts w:ascii="inherit" w:hAnsi="inherit"/>
          <w:sz w:val="17"/>
        </w:rPr>
        <w:t>The following table presents summary consolidated financial data for our fiscal 2012, 2011 and 2010.</w:t>
      </w:r>
    </w:p>
    <w:p>
      <w:pPr>
        <w:pStyle w:val="TextBody"/>
        <w:spacing w:lineRule="auto" w:line="288" w:before="0" w:after="0"/>
        <w:jc w:val="center"/>
        <w:rPr>
          <w:rFonts w:ascii="inherit" w:hAnsi="inherit"/>
          <w:b/>
          <w:sz w:val="17"/>
        </w:rPr>
      </w:pPr>
      <w:r>
        <w:rPr>
          <w:rFonts w:ascii="inherit" w:hAnsi="inherit"/>
          <w:b/>
          <w:sz w:val="17"/>
        </w:rPr>
        <w:t>Summary Financial Data</w:t>
      </w:r>
    </w:p>
    <w:tbl>
      <w:tblPr>
        <w:tblW w:w="10205" w:type="dxa"/>
        <w:jc w:val="left"/>
        <w:tblInd w:w="0" w:type="dxa"/>
        <w:tblCellMar>
          <w:top w:w="0" w:type="dxa"/>
          <w:left w:w="0" w:type="dxa"/>
          <w:bottom w:w="0" w:type="dxa"/>
          <w:right w:w="0" w:type="dxa"/>
        </w:tblCellMar>
      </w:tblPr>
      <w:tblGrid>
        <w:gridCol w:w="5177"/>
        <w:gridCol w:w="170"/>
        <w:gridCol w:w="1162"/>
        <w:gridCol w:w="157"/>
        <w:gridCol w:w="140"/>
        <w:gridCol w:w="170"/>
        <w:gridCol w:w="1162"/>
        <w:gridCol w:w="157"/>
        <w:gridCol w:w="140"/>
        <w:gridCol w:w="170"/>
        <w:gridCol w:w="1162"/>
        <w:gridCol w:w="43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17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77" w:type="dxa"/>
            <w:tcBorders/>
            <w:shd w:fill="auto" w:val="clear"/>
            <w:vAlign w:val="center"/>
          </w:tcPr>
          <w:p>
            <w:pPr>
              <w:pStyle w:val="TableContents"/>
              <w:spacing w:before="0" w:after="0"/>
              <w:ind w:left="0" w:right="0" w:firstLine="30"/>
              <w:jc w:val="left"/>
              <w:rPr/>
            </w:pPr>
            <w:r>
              <w:rPr/>
              <w:t> </w:t>
            </w:r>
          </w:p>
        </w:tc>
        <w:tc>
          <w:tcPr>
            <w:tcW w:w="502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177" w:type="dxa"/>
            <w:tcBorders/>
            <w:shd w:fill="auto" w:val="clear"/>
            <w:vAlign w:val="center"/>
          </w:tcPr>
          <w:p>
            <w:pPr>
              <w:pStyle w:val="TableContents"/>
              <w:spacing w:before="0" w:after="0"/>
              <w:ind w:left="0" w:right="0" w:firstLine="30"/>
              <w:jc w:val="left"/>
              <w:rPr/>
            </w:pPr>
            <w:r>
              <w:rPr/>
              <w:t> </w:t>
            </w:r>
          </w:p>
        </w:tc>
        <w:tc>
          <w:tcPr>
            <w:tcW w:w="148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148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0" w:type="dxa"/>
            <w:tcBorders/>
            <w:shd w:fill="auto" w:val="clear"/>
            <w:vAlign w:val="center"/>
          </w:tcPr>
          <w:p>
            <w:pPr>
              <w:pStyle w:val="TableContents"/>
              <w:spacing w:before="0" w:after="0"/>
              <w:ind w:left="0" w:right="0" w:firstLine="30"/>
              <w:rPr/>
            </w:pPr>
            <w:r>
              <w:rPr/>
              <w:t> </w:t>
            </w:r>
          </w:p>
        </w:tc>
        <w:tc>
          <w:tcPr>
            <w:tcW w:w="177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177" w:type="dxa"/>
            <w:tcBorders/>
            <w:shd w:fill="auto" w:val="clear"/>
            <w:vAlign w:val="center"/>
          </w:tcPr>
          <w:p>
            <w:pPr>
              <w:pStyle w:val="TableContents"/>
              <w:spacing w:before="0" w:after="0"/>
              <w:ind w:left="0" w:right="0" w:firstLine="30"/>
              <w:jc w:val="left"/>
              <w:rPr/>
            </w:pPr>
            <w:r>
              <w:rPr/>
              <w:t> </w:t>
            </w:r>
          </w:p>
        </w:tc>
        <w:tc>
          <w:tcPr>
            <w:tcW w:w="1489" w:type="dxa"/>
            <w:gridSpan w:val="3"/>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489"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0" w:type="dxa"/>
            <w:tcBorders/>
            <w:shd w:fill="auto" w:val="clear"/>
            <w:vAlign w:val="center"/>
          </w:tcPr>
          <w:p>
            <w:pPr>
              <w:pStyle w:val="TableContents"/>
              <w:spacing w:before="0" w:after="0"/>
              <w:ind w:left="0" w:right="0" w:firstLine="30"/>
              <w:rPr/>
            </w:pPr>
            <w:r>
              <w:rPr/>
              <w:t> </w:t>
            </w:r>
          </w:p>
        </w:tc>
        <w:tc>
          <w:tcPr>
            <w:tcW w:w="1770" w:type="dxa"/>
            <w:gridSpan w:val="3"/>
            <w:tcBorders/>
            <w:shd w:fill="auto" w:val="clear"/>
            <w:vAlign w:val="center"/>
          </w:tcPr>
          <w:p>
            <w:pPr>
              <w:pStyle w:val="TableContents"/>
              <w:spacing w:before="0" w:after="0"/>
              <w:ind w:left="0" w:right="0" w:firstLine="30"/>
              <w:jc w:val="left"/>
              <w:rPr/>
            </w:pPr>
            <w:r>
              <w:rPr/>
              <w:t> </w:t>
            </w:r>
          </w:p>
        </w:tc>
      </w:tr>
      <w:tr>
        <w:trPr/>
        <w:tc>
          <w:tcPr>
            <w:tcW w:w="5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89"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489"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770" w:type="dxa"/>
            <w:gridSpan w:val="3"/>
            <w:tcBorders/>
            <w:shd w:fill="CCEEFF" w:val="clear"/>
            <w:vAlign w:val="center"/>
          </w:tcPr>
          <w:p>
            <w:pPr>
              <w:pStyle w:val="TableContents"/>
              <w:spacing w:before="0" w:after="0"/>
              <w:ind w:left="0" w:right="0" w:firstLine="180"/>
              <w:jc w:val="left"/>
              <w:rPr/>
            </w:pPr>
            <w:r>
              <w:rPr/>
              <w:t> </w:t>
            </w:r>
          </w:p>
        </w:tc>
      </w:tr>
      <w:tr>
        <w:trPr/>
        <w:tc>
          <w:tcPr>
            <w:tcW w:w="51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Merchandise sales</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auto" w:val="clear"/>
            <w:vAlign w:val="center"/>
          </w:tcPr>
          <w:p>
            <w:pPr>
              <w:pStyle w:val="TableContents"/>
              <w:spacing w:before="0" w:after="0"/>
              <w:jc w:val="right"/>
              <w:rPr>
                <w:rFonts w:ascii="inherit" w:hAnsi="inherit"/>
                <w:sz w:val="17"/>
              </w:rPr>
            </w:pPr>
            <w:r>
              <w:rPr>
                <w:rFonts w:ascii="inherit" w:hAnsi="inherit"/>
                <w:sz w:val="17"/>
              </w:rPr>
              <w:t>333,064</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auto" w:val="clear"/>
            <w:vAlign w:val="center"/>
          </w:tcPr>
          <w:p>
            <w:pPr>
              <w:pStyle w:val="TableContents"/>
              <w:spacing w:before="0" w:after="0"/>
              <w:jc w:val="right"/>
              <w:rPr>
                <w:rFonts w:ascii="inherit" w:hAnsi="inherit"/>
                <w:sz w:val="17"/>
              </w:rPr>
            </w:pPr>
            <w:r>
              <w:rPr>
                <w:rFonts w:ascii="inherit" w:hAnsi="inherit"/>
                <w:sz w:val="17"/>
              </w:rPr>
              <w:t>281,716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auto" w:val="clear"/>
            <w:vAlign w:val="center"/>
          </w:tcPr>
          <w:p>
            <w:pPr>
              <w:pStyle w:val="TableContents"/>
              <w:spacing w:before="0" w:after="0"/>
              <w:jc w:val="right"/>
              <w:rPr>
                <w:rFonts w:ascii="inherit" w:hAnsi="inherit"/>
                <w:sz w:val="17"/>
              </w:rPr>
            </w:pPr>
            <w:r>
              <w:rPr>
                <w:rFonts w:ascii="inherit" w:hAnsi="inherit"/>
                <w:sz w:val="17"/>
              </w:rPr>
              <w:t>240,341</w:t>
            </w:r>
          </w:p>
        </w:tc>
        <w:tc>
          <w:tcPr>
            <w:tcW w:w="438"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17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202,481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204,858</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168,926</w:t>
            </w:r>
          </w:p>
        </w:tc>
        <w:tc>
          <w:tcPr>
            <w:tcW w:w="43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233,538</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199,746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163,279</w:t>
            </w:r>
          </w:p>
        </w:tc>
        <w:tc>
          <w:tcPr>
            <w:tcW w:w="438"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17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 fees</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200,681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164,895</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152,163</w:t>
            </w:r>
          </w:p>
        </w:tc>
        <w:tc>
          <w:tcPr>
            <w:tcW w:w="43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1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revenues</w:t>
            </w:r>
          </w:p>
        </w:tc>
        <w:tc>
          <w:tcPr>
            <w:tcW w:w="13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5,359</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1,583</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459</w:t>
            </w:r>
          </w:p>
        </w:tc>
        <w:tc>
          <w:tcPr>
            <w:tcW w:w="438"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975,123</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852,798</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725,168</w:t>
            </w:r>
          </w:p>
        </w:tc>
        <w:tc>
          <w:tcPr>
            <w:tcW w:w="4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190,637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161,834</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140,128</w:t>
            </w:r>
          </w:p>
        </w:tc>
        <w:tc>
          <w:tcPr>
            <w:tcW w:w="4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130,715</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127,870</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108,816</w:t>
            </w:r>
          </w:p>
        </w:tc>
        <w:tc>
          <w:tcPr>
            <w:tcW w:w="4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3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39,370</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36,791</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32,969</w:t>
            </w:r>
          </w:p>
        </w:tc>
        <w:tc>
          <w:tcPr>
            <w:tcW w:w="438"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CCEEFF" w:val="clear"/>
            <w:vAlign w:val="center"/>
          </w:tcPr>
          <w:p>
            <w:pPr>
              <w:pStyle w:val="TableContents"/>
              <w:spacing w:before="0" w:after="0"/>
              <w:jc w:val="right"/>
              <w:rPr>
                <w:rFonts w:ascii="inherit" w:hAnsi="inherit"/>
                <w:sz w:val="17"/>
              </w:rPr>
            </w:pPr>
            <w:r>
              <w:rPr>
                <w:rFonts w:ascii="inherit" w:hAnsi="inherit"/>
                <w:sz w:val="17"/>
              </w:rPr>
              <w:t>614,401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526,303</w:t>
            </w:r>
          </w:p>
        </w:tc>
        <w:tc>
          <w:tcPr>
            <w:tcW w:w="15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CCEEFF" w:val="clear"/>
            <w:vAlign w:val="center"/>
          </w:tcPr>
          <w:p>
            <w:pPr>
              <w:pStyle w:val="TableContents"/>
              <w:spacing w:before="0" w:after="0"/>
              <w:jc w:val="right"/>
              <w:rPr>
                <w:rFonts w:ascii="inherit" w:hAnsi="inherit"/>
                <w:sz w:val="17"/>
              </w:rPr>
            </w:pPr>
            <w:r>
              <w:rPr>
                <w:rFonts w:ascii="inherit" w:hAnsi="inherit"/>
                <w:sz w:val="17"/>
              </w:rPr>
              <w:t>443,255</w:t>
            </w:r>
          </w:p>
        </w:tc>
        <w:tc>
          <w:tcPr>
            <w:tcW w:w="4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33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155,110</w:t>
            </w:r>
          </w:p>
        </w:tc>
        <w:tc>
          <w:tcPr>
            <w:tcW w:w="15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123,717</w:t>
            </w:r>
          </w:p>
        </w:tc>
        <w:tc>
          <w:tcPr>
            <w:tcW w:w="15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98,643</w:t>
            </w:r>
          </w:p>
        </w:tc>
        <w:tc>
          <w:tcPr>
            <w:tcW w:w="43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3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(1,349</w:t>
            </w:r>
          </w:p>
        </w:tc>
        <w:tc>
          <w:tcPr>
            <w:tcW w:w="4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1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auto" w:val="clear"/>
            <w:vAlign w:val="center"/>
          </w:tcPr>
          <w:p>
            <w:pPr>
              <w:pStyle w:val="TableContents"/>
              <w:spacing w:before="0" w:after="0"/>
              <w:jc w:val="right"/>
              <w:rPr>
                <w:rFonts w:ascii="inherit" w:hAnsi="inherit"/>
                <w:sz w:val="17"/>
              </w:rPr>
            </w:pPr>
            <w:r>
              <w:rPr>
                <w:rFonts w:ascii="inherit" w:hAnsi="inherit"/>
                <w:sz w:val="17"/>
              </w:rPr>
              <w:t>150,577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auto" w:val="clear"/>
            <w:vAlign w:val="center"/>
          </w:tcPr>
          <w:p>
            <w:pPr>
              <w:pStyle w:val="TableContents"/>
              <w:spacing w:before="0" w:after="0"/>
              <w:jc w:val="right"/>
              <w:rPr>
                <w:rFonts w:ascii="inherit" w:hAnsi="inherit"/>
                <w:sz w:val="17"/>
              </w:rPr>
            </w:pPr>
            <w:r>
              <w:rPr>
                <w:rFonts w:ascii="inherit" w:hAnsi="inherit"/>
                <w:sz w:val="17"/>
              </w:rPr>
              <w:t>122,159</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auto" w:val="clear"/>
            <w:vAlign w:val="center"/>
          </w:tcPr>
          <w:p>
            <w:pPr>
              <w:pStyle w:val="TableContents"/>
              <w:spacing w:before="0" w:after="0"/>
              <w:jc w:val="right"/>
              <w:rPr>
                <w:rFonts w:ascii="inherit" w:hAnsi="inherit"/>
                <w:sz w:val="17"/>
              </w:rPr>
            </w:pPr>
            <w:r>
              <w:rPr>
                <w:rFonts w:ascii="inherit" w:hAnsi="inherit"/>
                <w:sz w:val="17"/>
              </w:rPr>
              <w:t>97,294</w:t>
            </w:r>
          </w:p>
        </w:tc>
        <w:tc>
          <w:tcPr>
            <w:tcW w:w="4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7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redeemable noncontrolling interest</w:t>
            </w:r>
          </w:p>
        </w:tc>
        <w:tc>
          <w:tcPr>
            <w:tcW w:w="13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6,869</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4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77"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 xml:space="preserve">Net income attributable to EZCORP, Inc.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438"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During the third quarter of fiscal 2013, our Board of Directors approved a plan to close 107 legacy stores (102 of which were in operation at </w:t>
      </w:r>
      <w:r>
        <w:rPr>
          <w:rFonts w:ascii="inherit" w:hAnsi="inherit"/>
          <w:strike w:val="false"/>
          <w:dstrike w:val="false"/>
          <w:color w:val="000000"/>
          <w:sz w:val="17"/>
          <w:u w:val="none"/>
          <w:effect w:val="none"/>
        </w:rPr>
        <w:t>September 30, 2012</w:t>
      </w:r>
      <w:r>
        <w:rPr>
          <w:rFonts w:ascii="inherit" w:hAnsi="inherit"/>
          <w:sz w:val="17"/>
        </w:rPr>
        <w:t xml:space="preserve">). These stores are generally older, smaller stores that do not fit our future growth profile (See Note 2, "Discontinued Operations," to our consolidated financial statements contained in “Part II — Item 8 — Financial Statements and Supplementary Data” for further details). All periods presented have been reclassified to account for discontinued operations. </w:t>
      </w:r>
    </w:p>
    <w:p>
      <w:pPr>
        <w:pStyle w:val="TextBody"/>
        <w:spacing w:lineRule="auto" w:line="288" w:before="0" w:after="0"/>
        <w:rPr>
          <w:sz w:val="17"/>
        </w:rPr>
      </w:pPr>
      <w:r>
        <w:rPr>
          <w:rFonts w:ascii="inherit" w:hAnsi="inherit"/>
          <w:sz w:val="17"/>
        </w:rPr>
        <w:t xml:space="preserve">Previously, we reported segment information based primarily on product offerings. Beginning with the second quarter of fiscal </w:t>
      </w:r>
      <w:r>
        <w:rPr>
          <w:rFonts w:ascii="inherit" w:hAnsi="inherit"/>
          <w:strike w:val="false"/>
          <w:dstrike w:val="false"/>
          <w:color w:val="000000"/>
          <w:sz w:val="17"/>
          <w:u w:val="none"/>
          <w:effect w:val="none"/>
        </w:rPr>
        <w:t>2012</w:t>
      </w:r>
      <w:r>
        <w:rPr>
          <w:rFonts w:ascii="inherit" w:hAnsi="inherit"/>
          <w:sz w:val="17"/>
        </w:rPr>
        <w:t>, we redefined our reportable operating segments based on geography as our company is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items, including administrative expenses, depreciation and amortization, interest and our equity in the net income of unconsolidated affiliates. When practical, these items are allocated to segments. Interest is also allocated to operating segments when debt is incurred at the local country level and is nonrecourse to EZCORP, Inc. These items are now included in the segment’s measure of profit or loss (“segment contribution”). Expenses that cannot be allocated are included as corporate expenses.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fiscal 2011</w:t>
      </w:r>
      <w:r>
        <w:rPr>
          <w:rFonts w:ascii="inherit" w:hAnsi="inherit"/>
          <w:sz w:val="17"/>
        </w:rPr>
        <w:t>,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149FCBE28F3900CCBC1E0F13F39FAE0B">
        <w:bookmarkStart w:id="35" w:name="sEBF7F97E6262891CF3F00F13CBF3870A"/>
        <w:bookmarkEnd w:id="35"/>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Overview</w:t>
      </w:r>
    </w:p>
    <w:p>
      <w:pPr>
        <w:pStyle w:val="TextBody"/>
        <w:spacing w:lineRule="auto" w:line="288" w:before="0" w:after="0"/>
        <w:jc w:val="left"/>
        <w:rPr>
          <w:rFonts w:ascii="inherit" w:hAnsi="inherit"/>
          <w:sz w:val="17"/>
        </w:rPr>
      </w:pPr>
      <w:r>
        <w:rPr>
          <w:rFonts w:ascii="inherit" w:hAnsi="inherit"/>
          <w:sz w:val="17"/>
        </w:rPr>
        <w:t>We are a leading provider of instant cash solutions. We provide collateralized, non-recourse loans, commonly known as pawn loans, and a variety of short-term consumer loans, including single-payment and multiple-payment unsecured loans and single-payment and multiple-payment auto title loans. In Texas, we provide fee-based credit services to customers seeking loans. At our pawn and buy/sell stores, we also sell merchandise, primarily collateral forfeited from pawn lending operations and used merchandise purchased from customers. We offer prepaid debit card services to help customers better manage their money and control their spending.</w:t>
      </w:r>
    </w:p>
    <w:p>
      <w:pPr>
        <w:pStyle w:val="TextBody"/>
        <w:spacing w:lineRule="auto" w:line="288" w:before="0" w:after="0"/>
        <w:rPr>
          <w:rFonts w:ascii="inherit" w:hAnsi="inherit"/>
          <w:sz w:val="17"/>
        </w:rPr>
      </w:pPr>
      <w:r>
        <w:rPr>
          <w:rFonts w:ascii="inherit" w:hAnsi="inherit"/>
          <w:sz w:val="17"/>
        </w:rPr>
        <w:t>During the second quarter of fiscal 2012, we entered into the unsecured lending market in Mexico with the acquisition of a 60% interest in Crediamigo. At September 30, 2012, Crediamigo had approximately 100 payroll withholding agreements with Mexican employers, primarily federal, state and local governments and agencies, and provides consumer loans to the agencies’ employees. In April 2012, we acquired a 72% interest in Cash Genie, which offers short-term consumer loans online in the United Kingdom. Subsequent to the end of fiscal 2012, we increased our ownership interest in Cash Genie to 95%.</w:t>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we operated a total of </w:t>
      </w:r>
      <w:r>
        <w:rPr>
          <w:rFonts w:ascii="inherit" w:hAnsi="inherit"/>
          <w:strike w:val="false"/>
          <w:dstrike w:val="false"/>
          <w:color w:val="000000"/>
          <w:sz w:val="17"/>
          <w:u w:val="none"/>
          <w:effect w:val="none"/>
        </w:rPr>
        <w:t>1,262</w:t>
      </w:r>
      <w:r>
        <w:rPr>
          <w:sz w:val="17"/>
        </w:rPr>
        <w:t xml:space="preserve"> </w:t>
      </w:r>
      <w:r>
        <w:rPr>
          <w:rFonts w:ascii="inherit" w:hAnsi="inherit"/>
          <w:sz w:val="17"/>
        </w:rPr>
        <w:t xml:space="preserve">locations, consisting of 470 U.S. pawn stores (operating as EZPAWN or Value Pawn), seven buy/sell stores in the U.S. (operating as Cash Converters), 230 pawn stores in Mexico (operating as Empeño Fácil or Empeñe Su Oro), 442 U.S. financial services stores (operating primarily as EZMONEY), 33 financial services stores in Canada (operating as CASHMAX), 35 buy/sell and financial services stores in Canada (operating as Cash Converters) and 45 Crediamigo locations in Mexico. In addition, we are the franchisor for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franchised Cash Converters stores in Canada. During the third quarter of fiscal 2013, our Board of Directors approved a plan to close 107 legacy stores (102 of which were in operation at </w:t>
      </w:r>
      <w:r>
        <w:rPr>
          <w:rFonts w:ascii="inherit" w:hAnsi="inherit"/>
          <w:strike w:val="false"/>
          <w:dstrike w:val="false"/>
          <w:color w:val="000000"/>
          <w:sz w:val="17"/>
          <w:u w:val="none"/>
          <w:effect w:val="none"/>
        </w:rPr>
        <w:t>September 30, 2012</w:t>
      </w:r>
      <w:r>
        <w:rPr>
          <w:rFonts w:ascii="inherit" w:hAnsi="inherit"/>
          <w:sz w:val="17"/>
        </w:rPr>
        <w:t xml:space="preserve">), leaving 1,160 locations in continued operations at </w:t>
      </w:r>
      <w:r>
        <w:rPr>
          <w:rFonts w:ascii="inherit" w:hAnsi="inherit"/>
          <w:strike w:val="false"/>
          <w:dstrike w:val="false"/>
          <w:color w:val="000000"/>
          <w:sz w:val="17"/>
          <w:u w:val="none"/>
          <w:effect w:val="none"/>
        </w:rPr>
        <w:t>September 30, 2012</w:t>
      </w:r>
      <w:r>
        <w:rPr>
          <w:rFonts w:ascii="inherit" w:hAnsi="inherit"/>
          <w:sz w:val="17"/>
        </w:rPr>
        <w:t xml:space="preserve">. We also own almost 30% of Albemarle &amp; Bond Holdings PLC, one of the U.K.’s largest pawnbroking businesses with approximately 230 stores, and almost 33% of Cash Converters International Limited, which franchises and operates a worldwide network of approximately </w:t>
      </w:r>
      <w:r>
        <w:rPr>
          <w:rFonts w:ascii="inherit" w:hAnsi="inherit"/>
          <w:strike w:val="false"/>
          <w:dstrike w:val="false"/>
          <w:color w:val="000000"/>
          <w:sz w:val="17"/>
          <w:u w:val="none"/>
          <w:effect w:val="none"/>
        </w:rPr>
        <w:t>700</w:t>
      </w:r>
      <w:r>
        <w:rPr>
          <w:sz w:val="17"/>
        </w:rPr>
        <w:t xml:space="preserve"> </w:t>
      </w:r>
      <w:r>
        <w:rPr>
          <w:rFonts w:ascii="inherit" w:hAnsi="inherit"/>
          <w:sz w:val="17"/>
        </w:rPr>
        <w:t xml:space="preserve">locations that buy and sell second-hand merchandise and offer financial services. </w:t>
      </w:r>
    </w:p>
    <w:p>
      <w:pPr>
        <w:pStyle w:val="TextBody"/>
        <w:spacing w:lineRule="auto" w:line="288" w:before="0" w:after="0"/>
        <w:jc w:val="left"/>
        <w:rPr>
          <w:rFonts w:ascii="inherit" w:hAnsi="inherit"/>
          <w:sz w:val="17"/>
        </w:rPr>
      </w:pPr>
      <w:r>
        <w:rPr>
          <w:rFonts w:ascii="inherit" w:hAnsi="inherit"/>
          <w:sz w:val="17"/>
        </w:rPr>
        <w:t>Our business consists of three reportable segments: The U.S. &amp; Canada segment, which includes all business activities in the United States and Canada; the Latin America segment, which includes our Empeño Fácil Pawn operations and Crediamigo financial services operations in Mexico; and the Other International segment, which includes the Cash Genie online business in the U.K. and our equity interests in the net income of Albemarle &amp; Bond and Cash Converters International.</w:t>
      </w:r>
    </w:p>
    <w:p>
      <w:pPr>
        <w:pStyle w:val="TextBody"/>
        <w:spacing w:lineRule="auto" w:line="288" w:before="0" w:after="0"/>
        <w:jc w:val="left"/>
        <w:rPr>
          <w:rFonts w:ascii="inherit" w:hAnsi="inherit"/>
          <w:sz w:val="17"/>
        </w:rPr>
      </w:pPr>
      <w:r>
        <w:rPr>
          <w:rFonts w:ascii="inherit" w:hAnsi="inherit"/>
          <w:sz w:val="17"/>
        </w:rPr>
        <w:t>The following tables present stores by segment:</w:t>
      </w:r>
    </w:p>
    <w:tbl>
      <w:tblPr>
        <w:tblW w:w="10205" w:type="dxa"/>
        <w:jc w:val="left"/>
        <w:tblInd w:w="0" w:type="dxa"/>
        <w:tblCellMar>
          <w:top w:w="0" w:type="dxa"/>
          <w:left w:w="0" w:type="dxa"/>
          <w:bottom w:w="0" w:type="dxa"/>
          <w:right w:w="0" w:type="dxa"/>
        </w:tblCellMar>
      </w:tblPr>
      <w:tblGrid>
        <w:gridCol w:w="3135"/>
        <w:gridCol w:w="1238"/>
        <w:gridCol w:w="129"/>
        <w:gridCol w:w="1135"/>
        <w:gridCol w:w="129"/>
        <w:gridCol w:w="1290"/>
        <w:gridCol w:w="140"/>
        <w:gridCol w:w="129"/>
        <w:gridCol w:w="1444"/>
        <w:gridCol w:w="129"/>
        <w:gridCol w:w="938"/>
        <w:gridCol w:w="36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3135"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5" w:type="dxa"/>
            <w:tcBorders/>
            <w:shd w:fill="auto" w:val="clear"/>
            <w:vAlign w:val="center"/>
          </w:tcPr>
          <w:p>
            <w:pPr>
              <w:pStyle w:val="TableContents"/>
              <w:spacing w:before="0" w:after="0"/>
              <w:ind w:left="0" w:right="0" w:firstLine="30"/>
              <w:jc w:val="left"/>
              <w:rPr/>
            </w:pPr>
            <w:r>
              <w:rPr/>
              <w:t> </w:t>
            </w:r>
          </w:p>
        </w:tc>
        <w:tc>
          <w:tcPr>
            <w:tcW w:w="707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2012</w:t>
            </w:r>
          </w:p>
        </w:tc>
      </w:tr>
      <w:tr>
        <w:trPr/>
        <w:tc>
          <w:tcPr>
            <w:tcW w:w="3135" w:type="dxa"/>
            <w:tcBorders/>
            <w:shd w:fill="auto" w:val="clear"/>
            <w:vAlign w:val="center"/>
          </w:tcPr>
          <w:p>
            <w:pPr>
              <w:pStyle w:val="TableContents"/>
              <w:spacing w:before="0" w:after="0"/>
              <w:ind w:left="0" w:right="0" w:firstLine="30"/>
              <w:jc w:val="left"/>
              <w:rPr/>
            </w:pPr>
            <w:r>
              <w:rPr/>
              <w:t> </w:t>
            </w:r>
          </w:p>
        </w:tc>
        <w:tc>
          <w:tcPr>
            <w:tcW w:w="5634"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9"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ind w:left="0" w:right="0" w:firstLine="30"/>
              <w:jc w:val="center"/>
              <w:rPr/>
            </w:pPr>
            <w:r>
              <w:rPr/>
              <w:t> </w:t>
            </w:r>
          </w:p>
        </w:tc>
      </w:tr>
      <w:tr>
        <w:trPr/>
        <w:tc>
          <w:tcPr>
            <w:tcW w:w="3135" w:type="dxa"/>
            <w:tcBorders/>
            <w:shd w:fill="auto" w:val="clear"/>
            <w:vAlign w:val="center"/>
          </w:tcPr>
          <w:p>
            <w:pPr>
              <w:pStyle w:val="TableContents"/>
              <w:spacing w:before="0" w:after="0"/>
              <w:ind w:left="0" w:right="0" w:firstLine="30"/>
              <w:rPr/>
            </w:pPr>
            <w:r>
              <w:rPr/>
              <w:t> </w:t>
            </w:r>
          </w:p>
        </w:tc>
        <w:tc>
          <w:tcPr>
            <w:tcW w:w="123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9" w:type="dxa"/>
            <w:tcBorders/>
            <w:shd w:fill="auto" w:val="clear"/>
            <w:vAlign w:val="center"/>
          </w:tcPr>
          <w:p>
            <w:pPr>
              <w:pStyle w:val="TableContents"/>
              <w:spacing w:before="0" w:after="0"/>
              <w:ind w:left="0" w:right="0" w:firstLine="30"/>
              <w:rPr/>
            </w:pPr>
            <w:r>
              <w:rPr/>
              <w:t> </w:t>
            </w:r>
          </w:p>
        </w:tc>
        <w:tc>
          <w:tcPr>
            <w:tcW w:w="11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9" w:type="dxa"/>
            <w:tcBorders/>
            <w:shd w:fill="auto" w:val="clear"/>
            <w:vAlign w:val="center"/>
          </w:tcPr>
          <w:p>
            <w:pPr>
              <w:pStyle w:val="TableContents"/>
              <w:spacing w:before="0" w:after="0"/>
              <w:ind w:left="0" w:right="0" w:firstLine="30"/>
              <w:rPr/>
            </w:pPr>
            <w:r>
              <w:rPr/>
              <w:t> </w:t>
            </w:r>
          </w:p>
        </w:tc>
        <w:tc>
          <w:tcPr>
            <w:tcW w:w="143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9" w:type="dxa"/>
            <w:tcBorders/>
            <w:shd w:fill="auto" w:val="clear"/>
            <w:vAlign w:val="center"/>
          </w:tcPr>
          <w:p>
            <w:pPr>
              <w:pStyle w:val="TableContents"/>
              <w:spacing w:before="0" w:after="0"/>
              <w:rPr/>
            </w:pPr>
            <w:r>
              <w:rPr/>
              <w:t> </w:t>
            </w:r>
          </w:p>
        </w:tc>
        <w:tc>
          <w:tcPr>
            <w:tcW w:w="144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9" w:type="dxa"/>
            <w:tcBorders/>
            <w:shd w:fill="auto" w:val="clear"/>
            <w:vAlign w:val="center"/>
          </w:tcPr>
          <w:p>
            <w:pPr>
              <w:pStyle w:val="TableContents"/>
              <w:spacing w:before="0" w:after="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38"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30"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ind w:left="0" w:right="0" w:firstLine="180"/>
              <w:jc w:val="left"/>
              <w:rPr/>
            </w:pPr>
            <w:r>
              <w:rPr/>
              <w:t> </w:t>
            </w:r>
          </w:p>
        </w:tc>
      </w:tr>
      <w:tr>
        <w:trPr/>
        <w:tc>
          <w:tcPr>
            <w:tcW w:w="3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933</w:t>
            </w:r>
          </w:p>
        </w:tc>
        <w:tc>
          <w:tcPr>
            <w:tcW w:w="129" w:type="dxa"/>
            <w:tcBorders/>
            <w:shd w:fill="auto" w:val="clear"/>
            <w:vAlign w:val="center"/>
          </w:tcPr>
          <w:p>
            <w:pPr>
              <w:pStyle w:val="TableContents"/>
              <w:spacing w:before="0" w:after="0"/>
              <w:ind w:left="0" w:right="0" w:firstLine="30"/>
              <w:rPr/>
            </w:pPr>
            <w:r>
              <w:rPr/>
              <w:t> </w:t>
            </w:r>
          </w:p>
        </w:tc>
        <w:tc>
          <w:tcPr>
            <w:tcW w:w="11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178</w:t>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1,111</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36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De novo</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17</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54</w:t>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71</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pPr>
            <w:r>
              <w:rPr/>
              <w:t>—</w:t>
            </w:r>
          </w:p>
        </w:tc>
        <w:tc>
          <w:tcPr>
            <w:tcW w:w="36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129" w:type="dxa"/>
            <w:tcBorders/>
            <w:shd w:fill="auto" w:val="clear"/>
            <w:vAlign w:val="center"/>
          </w:tcPr>
          <w:p>
            <w:pPr>
              <w:pStyle w:val="TableContents"/>
              <w:spacing w:before="0" w:after="0"/>
              <w:ind w:left="0" w:right="0" w:firstLine="30"/>
              <w:rPr/>
            </w:pPr>
            <w:r>
              <w:rPr/>
              <w:t> </w:t>
            </w:r>
          </w:p>
        </w:tc>
        <w:tc>
          <w:tcPr>
            <w:tcW w:w="11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45</w:t>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96</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pPr>
            <w:r>
              <w:rPr/>
              <w:t>—</w:t>
            </w:r>
          </w:p>
        </w:tc>
        <w:tc>
          <w:tcPr>
            <w:tcW w:w="36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Sold, combined, or closed</w:t>
            </w:r>
          </w:p>
        </w:tc>
        <w:tc>
          <w:tcPr>
            <w:tcW w:w="1238"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(14)</w:t>
            </w:r>
          </w:p>
        </w:tc>
        <w:tc>
          <w:tcPr>
            <w:tcW w:w="129" w:type="dxa"/>
            <w:tcBorders/>
            <w:shd w:fill="CCEEFF" w:val="clear"/>
            <w:vAlign w:val="center"/>
          </w:tcPr>
          <w:p>
            <w:pPr>
              <w:pStyle w:val="TableContents"/>
              <w:spacing w:before="0" w:after="0"/>
              <w:ind w:left="0" w:right="0" w:firstLine="30"/>
              <w:rPr/>
            </w:pPr>
            <w:r>
              <w:rPr/>
              <w:t> </w:t>
            </w:r>
          </w:p>
        </w:tc>
        <w:tc>
          <w:tcPr>
            <w:tcW w:w="1135"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(2)</w:t>
            </w:r>
          </w:p>
        </w:tc>
        <w:tc>
          <w:tcPr>
            <w:tcW w:w="129" w:type="dxa"/>
            <w:tcBorders/>
            <w:shd w:fill="CCEEFF" w:val="clear"/>
            <w:vAlign w:val="center"/>
          </w:tcPr>
          <w:p>
            <w:pPr>
              <w:pStyle w:val="TableContents"/>
              <w:spacing w:before="0" w:after="0"/>
              <w:ind w:left="0" w:right="0" w:firstLine="30"/>
              <w:rPr/>
            </w:pPr>
            <w:r>
              <w:rPr/>
              <w:t> </w:t>
            </w:r>
          </w:p>
        </w:tc>
        <w:tc>
          <w:tcPr>
            <w:tcW w:w="129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(16)</w:t>
            </w:r>
          </w:p>
        </w:tc>
        <w:tc>
          <w:tcPr>
            <w:tcW w:w="129" w:type="dxa"/>
            <w:tcBorders/>
            <w:shd w:fill="CCEEFF" w:val="clear"/>
            <w:vAlign w:val="center"/>
          </w:tcPr>
          <w:p>
            <w:pPr>
              <w:pStyle w:val="TableContents"/>
              <w:spacing w:before="0" w:after="0"/>
              <w:ind w:left="0" w:right="0" w:firstLine="30"/>
              <w:rPr/>
            </w:pPr>
            <w:r>
              <w:rPr/>
              <w:t> </w:t>
            </w:r>
          </w:p>
        </w:tc>
        <w:tc>
          <w:tcPr>
            <w:tcW w:w="93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369"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987</w:t>
            </w:r>
          </w:p>
        </w:tc>
        <w:tc>
          <w:tcPr>
            <w:tcW w:w="129" w:type="dxa"/>
            <w:tcBorders/>
            <w:shd w:fill="auto" w:val="clear"/>
            <w:vAlign w:val="center"/>
          </w:tcPr>
          <w:p>
            <w:pPr>
              <w:pStyle w:val="TableContents"/>
              <w:spacing w:before="0" w:after="0"/>
              <w:ind w:left="0" w:right="0" w:firstLine="30"/>
              <w:rPr/>
            </w:pPr>
            <w:r>
              <w:rPr/>
              <w:t> </w:t>
            </w:r>
          </w:p>
        </w:tc>
        <w:tc>
          <w:tcPr>
            <w:tcW w:w="1135"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275</w:t>
            </w:r>
          </w:p>
        </w:tc>
        <w:tc>
          <w:tcPr>
            <w:tcW w:w="129" w:type="dxa"/>
            <w:tcBorders/>
            <w:shd w:fill="auto" w:val="clear"/>
            <w:vAlign w:val="center"/>
          </w:tcPr>
          <w:p>
            <w:pPr>
              <w:pStyle w:val="TableContents"/>
              <w:spacing w:before="0" w:after="0"/>
              <w:ind w:left="0" w:right="0" w:firstLine="30"/>
              <w:rPr/>
            </w:pPr>
            <w:r>
              <w:rPr/>
              <w:t> </w:t>
            </w:r>
          </w:p>
        </w:tc>
        <w:tc>
          <w:tcPr>
            <w:tcW w:w="12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1,262</w:t>
            </w:r>
          </w:p>
        </w:tc>
        <w:tc>
          <w:tcPr>
            <w:tcW w:w="129" w:type="dxa"/>
            <w:tcBorders/>
            <w:shd w:fill="auto" w:val="clear"/>
            <w:vAlign w:val="center"/>
          </w:tcPr>
          <w:p>
            <w:pPr>
              <w:pStyle w:val="TableContents"/>
              <w:spacing w:before="0" w:after="0"/>
              <w:ind w:left="0" w:right="0" w:firstLine="30"/>
              <w:rPr/>
            </w:pPr>
            <w:r>
              <w:rPr/>
              <w:t> </w:t>
            </w:r>
          </w:p>
        </w:tc>
        <w:tc>
          <w:tcPr>
            <w:tcW w:w="93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369" w:type="dxa"/>
            <w:tcBorders>
              <w:bottom w:val="double" w:sz="6"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45</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57</w:t>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102</w:t>
            </w:r>
          </w:p>
        </w:tc>
        <w:tc>
          <w:tcPr>
            <w:tcW w:w="129" w:type="dxa"/>
            <w:tcBorders/>
            <w:shd w:fill="CCEEFF" w:val="clear"/>
            <w:vAlign w:val="center"/>
          </w:tcPr>
          <w:p>
            <w:pPr>
              <w:pStyle w:val="TableContents"/>
              <w:spacing w:before="0" w:after="0"/>
              <w:ind w:left="0" w:right="0" w:firstLine="30"/>
              <w:rPr/>
            </w:pPr>
            <w:r>
              <w:rPr/>
              <w:t> </w:t>
            </w:r>
          </w:p>
        </w:tc>
        <w:tc>
          <w:tcPr>
            <w:tcW w:w="938"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pPr>
            <w:r>
              <w:rPr/>
              <w:t>—</w:t>
            </w:r>
          </w:p>
        </w:tc>
        <w:tc>
          <w:tcPr>
            <w:tcW w:w="369"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Stores in continuing operations</w:t>
            </w:r>
          </w:p>
        </w:tc>
        <w:tc>
          <w:tcPr>
            <w:tcW w:w="12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942</w:t>
            </w:r>
          </w:p>
        </w:tc>
        <w:tc>
          <w:tcPr>
            <w:tcW w:w="129" w:type="dxa"/>
            <w:tcBorders/>
            <w:shd w:fill="auto" w:val="clear"/>
            <w:vAlign w:val="center"/>
          </w:tcPr>
          <w:p>
            <w:pPr>
              <w:pStyle w:val="TableContents"/>
              <w:spacing w:before="0" w:after="0"/>
              <w:ind w:left="0" w:right="0" w:firstLine="30"/>
              <w:rPr/>
            </w:pPr>
            <w:r>
              <w:rPr/>
              <w:t> </w:t>
            </w:r>
          </w:p>
        </w:tc>
        <w:tc>
          <w:tcPr>
            <w:tcW w:w="11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218</w:t>
            </w:r>
          </w:p>
        </w:tc>
        <w:tc>
          <w:tcPr>
            <w:tcW w:w="129" w:type="dxa"/>
            <w:tcBorders/>
            <w:shd w:fill="auto" w:val="clear"/>
            <w:vAlign w:val="center"/>
          </w:tcPr>
          <w:p>
            <w:pPr>
              <w:pStyle w:val="TableContents"/>
              <w:spacing w:before="0" w:after="0"/>
              <w:ind w:left="0" w:right="0" w:firstLine="30"/>
              <w:rPr/>
            </w:pPr>
            <w:r>
              <w:rPr/>
              <w:t> </w:t>
            </w:r>
          </w:p>
        </w:tc>
        <w:tc>
          <w:tcPr>
            <w:tcW w:w="12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1160</w:t>
            </w:r>
          </w:p>
        </w:tc>
        <w:tc>
          <w:tcPr>
            <w:tcW w:w="129" w:type="dxa"/>
            <w:tcBorders/>
            <w:shd w:fill="auto" w:val="clear"/>
            <w:vAlign w:val="center"/>
          </w:tcPr>
          <w:p>
            <w:pPr>
              <w:pStyle w:val="TableContents"/>
              <w:spacing w:before="0" w:after="0"/>
              <w:ind w:left="0" w:right="0" w:firstLine="30"/>
              <w:rPr/>
            </w:pPr>
            <w:r>
              <w:rPr/>
              <w:t> </w:t>
            </w:r>
          </w:p>
        </w:tc>
        <w:tc>
          <w:tcPr>
            <w:tcW w:w="9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36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149FCBE28F3900CCBC1E0F13F39FAE0B">
        <w:bookmarkStart w:id="36" w:name="sEBF7F97E6262891CF3F00F13CBF3870A1"/>
        <w:bookmarkEnd w:id="36"/>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133"/>
        <w:gridCol w:w="1238"/>
        <w:gridCol w:w="129"/>
        <w:gridCol w:w="1036"/>
        <w:gridCol w:w="98"/>
        <w:gridCol w:w="129"/>
        <w:gridCol w:w="1290"/>
        <w:gridCol w:w="140"/>
        <w:gridCol w:w="129"/>
        <w:gridCol w:w="1444"/>
        <w:gridCol w:w="129"/>
        <w:gridCol w:w="938"/>
        <w:gridCol w:w="372"/>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133"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3" w:type="dxa"/>
            <w:tcBorders/>
            <w:shd w:fill="auto" w:val="clear"/>
            <w:vAlign w:val="center"/>
          </w:tcPr>
          <w:p>
            <w:pPr>
              <w:pStyle w:val="TableContents"/>
              <w:spacing w:before="0" w:after="0"/>
              <w:ind w:left="0" w:right="0" w:firstLine="30"/>
              <w:jc w:val="left"/>
              <w:rPr/>
            </w:pPr>
            <w:r>
              <w:rPr/>
              <w:t> </w:t>
            </w:r>
          </w:p>
        </w:tc>
        <w:tc>
          <w:tcPr>
            <w:tcW w:w="7072"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2011</w:t>
            </w:r>
          </w:p>
        </w:tc>
      </w:tr>
      <w:tr>
        <w:trPr/>
        <w:tc>
          <w:tcPr>
            <w:tcW w:w="3133" w:type="dxa"/>
            <w:tcBorders/>
            <w:shd w:fill="auto" w:val="clear"/>
            <w:vAlign w:val="center"/>
          </w:tcPr>
          <w:p>
            <w:pPr>
              <w:pStyle w:val="TableContents"/>
              <w:spacing w:before="0" w:after="0"/>
              <w:ind w:left="0" w:right="0" w:firstLine="30"/>
              <w:jc w:val="left"/>
              <w:rPr/>
            </w:pPr>
            <w:r>
              <w:rPr/>
              <w:t> </w:t>
            </w:r>
          </w:p>
        </w:tc>
        <w:tc>
          <w:tcPr>
            <w:tcW w:w="5633" w:type="dxa"/>
            <w:gridSpan w:val="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9" w:type="dxa"/>
            <w:tcBorders/>
            <w:shd w:fill="auto" w:val="clear"/>
            <w:vAlign w:val="center"/>
          </w:tcPr>
          <w:p>
            <w:pPr>
              <w:pStyle w:val="TableContents"/>
              <w:spacing w:before="0" w:after="0"/>
              <w:ind w:left="0" w:right="0" w:firstLine="30"/>
              <w:rPr/>
            </w:pPr>
            <w:r>
              <w:rPr/>
              <w:t> </w:t>
            </w:r>
          </w:p>
        </w:tc>
        <w:tc>
          <w:tcPr>
            <w:tcW w:w="1310" w:type="dxa"/>
            <w:gridSpan w:val="2"/>
            <w:tcBorders/>
            <w:shd w:fill="auto" w:val="clear"/>
            <w:vAlign w:val="center"/>
          </w:tcPr>
          <w:p>
            <w:pPr>
              <w:pStyle w:val="TableContents"/>
              <w:spacing w:before="0" w:after="0"/>
              <w:ind w:left="0" w:right="0" w:firstLine="30"/>
              <w:jc w:val="center"/>
              <w:rPr/>
            </w:pPr>
            <w:r>
              <w:rPr/>
              <w:t> </w:t>
            </w:r>
          </w:p>
        </w:tc>
      </w:tr>
      <w:tr>
        <w:trPr/>
        <w:tc>
          <w:tcPr>
            <w:tcW w:w="3133" w:type="dxa"/>
            <w:tcBorders/>
            <w:shd w:fill="auto" w:val="clear"/>
            <w:vAlign w:val="center"/>
          </w:tcPr>
          <w:p>
            <w:pPr>
              <w:pStyle w:val="TableContents"/>
              <w:spacing w:before="0" w:after="0"/>
              <w:ind w:left="0" w:right="0" w:firstLine="30"/>
              <w:rPr/>
            </w:pPr>
            <w:r>
              <w:rPr/>
              <w:t> </w:t>
            </w:r>
          </w:p>
        </w:tc>
        <w:tc>
          <w:tcPr>
            <w:tcW w:w="123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9"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9" w:type="dxa"/>
            <w:tcBorders/>
            <w:shd w:fill="auto" w:val="clear"/>
            <w:vAlign w:val="center"/>
          </w:tcPr>
          <w:p>
            <w:pPr>
              <w:pStyle w:val="TableContents"/>
              <w:spacing w:before="0" w:after="0"/>
              <w:ind w:left="0" w:right="0" w:firstLine="30"/>
              <w:rPr/>
            </w:pPr>
            <w:r>
              <w:rPr/>
              <w:t> </w:t>
            </w:r>
          </w:p>
        </w:tc>
        <w:tc>
          <w:tcPr>
            <w:tcW w:w="143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9" w:type="dxa"/>
            <w:tcBorders/>
            <w:shd w:fill="auto" w:val="clear"/>
            <w:vAlign w:val="center"/>
          </w:tcPr>
          <w:p>
            <w:pPr>
              <w:pStyle w:val="TableContents"/>
              <w:spacing w:before="0" w:after="0"/>
              <w:rPr/>
            </w:pPr>
            <w:r>
              <w:rPr/>
              <w:t> </w:t>
            </w:r>
          </w:p>
        </w:tc>
        <w:tc>
          <w:tcPr>
            <w:tcW w:w="144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9" w:type="dxa"/>
            <w:tcBorders/>
            <w:shd w:fill="auto" w:val="clear"/>
            <w:vAlign w:val="center"/>
          </w:tcPr>
          <w:p>
            <w:pPr>
              <w:pStyle w:val="TableContents"/>
              <w:spacing w:before="0" w:after="0"/>
              <w:rPr/>
            </w:pPr>
            <w:r>
              <w:rPr/>
              <w:t> </w:t>
            </w:r>
          </w:p>
        </w:tc>
        <w:tc>
          <w:tcPr>
            <w:tcW w:w="13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38"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30"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310" w:type="dxa"/>
            <w:gridSpan w:val="2"/>
            <w:tcBorders/>
            <w:shd w:fill="CCEEFF" w:val="clear"/>
            <w:vAlign w:val="center"/>
          </w:tcPr>
          <w:p>
            <w:pPr>
              <w:pStyle w:val="TableContents"/>
              <w:spacing w:before="0" w:after="0"/>
              <w:ind w:left="0" w:right="0" w:firstLine="180"/>
              <w:jc w:val="left"/>
              <w:rPr/>
            </w:pPr>
            <w:r>
              <w:rPr/>
              <w:t> </w:t>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891</w:t>
            </w:r>
          </w:p>
        </w:tc>
        <w:tc>
          <w:tcPr>
            <w:tcW w:w="129" w:type="dxa"/>
            <w:tcBorders/>
            <w:shd w:fill="auto" w:val="clear"/>
            <w:vAlign w:val="center"/>
          </w:tcPr>
          <w:p>
            <w:pPr>
              <w:pStyle w:val="TableContents"/>
              <w:spacing w:before="0" w:after="0"/>
              <w:ind w:left="0" w:right="0" w:firstLine="30"/>
              <w:rPr/>
            </w:pPr>
            <w:r>
              <w:rPr/>
              <w:t> </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115</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1,006</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pPr>
            <w:r>
              <w:rPr/>
              <w:t>—</w:t>
            </w:r>
          </w:p>
        </w:tc>
        <w:tc>
          <w:tcPr>
            <w:tcW w:w="37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De novo</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25</w:t>
            </w:r>
          </w:p>
        </w:tc>
        <w:tc>
          <w:tcPr>
            <w:tcW w:w="129" w:type="dxa"/>
            <w:tcBorders/>
            <w:shd w:fill="CCEEFF" w:val="clear"/>
            <w:vAlign w:val="center"/>
          </w:tcPr>
          <w:p>
            <w:pPr>
              <w:pStyle w:val="TableContents"/>
              <w:spacing w:before="0" w:after="0"/>
              <w:ind w:left="0" w:right="0" w:firstLine="30"/>
              <w:rPr/>
            </w:pPr>
            <w:r>
              <w:rPr/>
              <w:t> </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57</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82</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7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34</w:t>
            </w:r>
          </w:p>
        </w:tc>
        <w:tc>
          <w:tcPr>
            <w:tcW w:w="129" w:type="dxa"/>
            <w:tcBorders/>
            <w:shd w:fill="auto" w:val="clear"/>
            <w:vAlign w:val="center"/>
          </w:tcPr>
          <w:p>
            <w:pPr>
              <w:pStyle w:val="TableContents"/>
              <w:spacing w:before="0" w:after="0"/>
              <w:ind w:left="0" w:right="0" w:firstLine="30"/>
              <w:rPr/>
            </w:pPr>
            <w:r>
              <w:rPr/>
              <w:t> </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40</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37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Sold, combined, or closed</w:t>
            </w:r>
          </w:p>
        </w:tc>
        <w:tc>
          <w:tcPr>
            <w:tcW w:w="1238"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(17)</w:t>
            </w:r>
          </w:p>
        </w:tc>
        <w:tc>
          <w:tcPr>
            <w:tcW w:w="129" w:type="dxa"/>
            <w:tcBorders/>
            <w:shd w:fill="CCEEFF" w:val="clear"/>
            <w:vAlign w:val="center"/>
          </w:tcPr>
          <w:p>
            <w:pPr>
              <w:pStyle w:val="TableContents"/>
              <w:spacing w:before="0" w:after="0"/>
              <w:ind w:left="0" w:right="0" w:firstLine="30"/>
              <w:rPr/>
            </w:pPr>
            <w:r>
              <w:rPr/>
              <w:t> </w:t>
            </w:r>
          </w:p>
        </w:tc>
        <w:tc>
          <w:tcPr>
            <w:tcW w:w="1036"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(17)</w:t>
            </w:r>
          </w:p>
        </w:tc>
        <w:tc>
          <w:tcPr>
            <w:tcW w:w="129" w:type="dxa"/>
            <w:tcBorders/>
            <w:shd w:fill="CCEEFF" w:val="clear"/>
            <w:vAlign w:val="center"/>
          </w:tcPr>
          <w:p>
            <w:pPr>
              <w:pStyle w:val="TableContents"/>
              <w:spacing w:before="0" w:after="0"/>
              <w:ind w:left="0" w:right="0" w:firstLine="30"/>
              <w:rPr/>
            </w:pPr>
            <w:r>
              <w:rPr/>
              <w:t> </w:t>
            </w:r>
          </w:p>
        </w:tc>
        <w:tc>
          <w:tcPr>
            <w:tcW w:w="93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37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38"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933</w:t>
            </w:r>
          </w:p>
        </w:tc>
        <w:tc>
          <w:tcPr>
            <w:tcW w:w="129" w:type="dxa"/>
            <w:tcBorders/>
            <w:shd w:fill="auto" w:val="clear"/>
            <w:vAlign w:val="center"/>
          </w:tcPr>
          <w:p>
            <w:pPr>
              <w:pStyle w:val="TableContents"/>
              <w:spacing w:before="0" w:after="0"/>
              <w:ind w:left="0" w:right="0" w:firstLine="30"/>
              <w:rPr/>
            </w:pPr>
            <w:r>
              <w:rPr/>
              <w:t> </w:t>
            </w:r>
          </w:p>
        </w:tc>
        <w:tc>
          <w:tcPr>
            <w:tcW w:w="103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178</w:t>
            </w:r>
          </w:p>
        </w:tc>
        <w:tc>
          <w:tcPr>
            <w:tcW w:w="9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1,111</w:t>
            </w:r>
          </w:p>
        </w:tc>
        <w:tc>
          <w:tcPr>
            <w:tcW w:w="129" w:type="dxa"/>
            <w:tcBorders/>
            <w:shd w:fill="auto" w:val="clear"/>
            <w:vAlign w:val="center"/>
          </w:tcPr>
          <w:p>
            <w:pPr>
              <w:pStyle w:val="TableContents"/>
              <w:spacing w:before="0" w:after="0"/>
              <w:ind w:left="0" w:right="0" w:firstLine="30"/>
              <w:rPr/>
            </w:pPr>
            <w:r>
              <w:rPr/>
              <w:t> </w:t>
            </w:r>
          </w:p>
        </w:tc>
        <w:tc>
          <w:tcPr>
            <w:tcW w:w="93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372" w:type="dxa"/>
            <w:tcBorders>
              <w:bottom w:val="double" w:sz="6"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Discontinued operations</w:t>
            </w:r>
          </w:p>
        </w:tc>
        <w:tc>
          <w:tcPr>
            <w:tcW w:w="1238"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129" w:type="dxa"/>
            <w:tcBorders/>
            <w:shd w:fill="CCEEFF" w:val="clear"/>
            <w:vAlign w:val="center"/>
          </w:tcPr>
          <w:p>
            <w:pPr>
              <w:pStyle w:val="TableContents"/>
              <w:spacing w:before="0" w:after="0"/>
              <w:ind w:left="0" w:right="0" w:firstLine="30"/>
              <w:rPr/>
            </w:pPr>
            <w:r>
              <w:rPr/>
              <w:t> </w:t>
            </w:r>
          </w:p>
        </w:tc>
        <w:tc>
          <w:tcPr>
            <w:tcW w:w="1036"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w:t>
            </w:r>
          </w:p>
        </w:tc>
        <w:tc>
          <w:tcPr>
            <w:tcW w:w="98"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94</w:t>
            </w:r>
          </w:p>
        </w:tc>
        <w:tc>
          <w:tcPr>
            <w:tcW w:w="129" w:type="dxa"/>
            <w:tcBorders/>
            <w:shd w:fill="CCEEFF" w:val="clear"/>
            <w:vAlign w:val="center"/>
          </w:tcPr>
          <w:p>
            <w:pPr>
              <w:pStyle w:val="TableContents"/>
              <w:spacing w:before="0" w:after="0"/>
              <w:ind w:left="0" w:right="0" w:firstLine="30"/>
              <w:rPr/>
            </w:pPr>
            <w:r>
              <w:rPr/>
              <w:t> </w:t>
            </w:r>
          </w:p>
        </w:tc>
        <w:tc>
          <w:tcPr>
            <w:tcW w:w="938"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pPr>
            <w:r>
              <w:rPr/>
              <w:t>—</w:t>
            </w:r>
          </w:p>
        </w:tc>
        <w:tc>
          <w:tcPr>
            <w:tcW w:w="372"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Stores in continuing operations:</w:t>
            </w:r>
          </w:p>
        </w:tc>
        <w:tc>
          <w:tcPr>
            <w:tcW w:w="12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892</w:t>
            </w:r>
          </w:p>
        </w:tc>
        <w:tc>
          <w:tcPr>
            <w:tcW w:w="129" w:type="dxa"/>
            <w:tcBorders/>
            <w:shd w:fill="auto" w:val="clear"/>
            <w:vAlign w:val="center"/>
          </w:tcPr>
          <w:p>
            <w:pPr>
              <w:pStyle w:val="TableContents"/>
              <w:spacing w:before="0" w:after="0"/>
              <w:ind w:left="0" w:right="0" w:firstLine="30"/>
              <w:rPr/>
            </w:pPr>
            <w:r>
              <w:rPr/>
              <w:t> </w:t>
            </w:r>
          </w:p>
        </w:tc>
        <w:tc>
          <w:tcPr>
            <w:tcW w:w="10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125</w:t>
            </w:r>
          </w:p>
        </w:tc>
        <w:tc>
          <w:tcPr>
            <w:tcW w:w="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1,017</w:t>
            </w:r>
          </w:p>
        </w:tc>
        <w:tc>
          <w:tcPr>
            <w:tcW w:w="129" w:type="dxa"/>
            <w:tcBorders/>
            <w:shd w:fill="auto" w:val="clear"/>
            <w:vAlign w:val="center"/>
          </w:tcPr>
          <w:p>
            <w:pPr>
              <w:pStyle w:val="TableContents"/>
              <w:spacing w:before="0" w:after="0"/>
              <w:ind w:left="0" w:right="0" w:firstLine="30"/>
              <w:rPr/>
            </w:pPr>
            <w:r>
              <w:rPr/>
              <w:t> </w:t>
            </w:r>
          </w:p>
        </w:tc>
        <w:tc>
          <w:tcPr>
            <w:tcW w:w="9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3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3133"/>
        <w:gridCol w:w="1238"/>
        <w:gridCol w:w="129"/>
        <w:gridCol w:w="1036"/>
        <w:gridCol w:w="98"/>
        <w:gridCol w:w="129"/>
        <w:gridCol w:w="1290"/>
        <w:gridCol w:w="140"/>
        <w:gridCol w:w="129"/>
        <w:gridCol w:w="1444"/>
        <w:gridCol w:w="129"/>
        <w:gridCol w:w="938"/>
        <w:gridCol w:w="372"/>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133"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3" w:type="dxa"/>
            <w:tcBorders/>
            <w:shd w:fill="auto" w:val="clear"/>
            <w:vAlign w:val="center"/>
          </w:tcPr>
          <w:p>
            <w:pPr>
              <w:pStyle w:val="TableContents"/>
              <w:spacing w:before="0" w:after="0"/>
              <w:ind w:left="0" w:right="0" w:firstLine="30"/>
              <w:jc w:val="left"/>
              <w:rPr/>
            </w:pPr>
            <w:r>
              <w:rPr/>
              <w:t> </w:t>
            </w:r>
          </w:p>
        </w:tc>
        <w:tc>
          <w:tcPr>
            <w:tcW w:w="7072"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2010</w:t>
            </w:r>
          </w:p>
        </w:tc>
      </w:tr>
      <w:tr>
        <w:trPr/>
        <w:tc>
          <w:tcPr>
            <w:tcW w:w="3133" w:type="dxa"/>
            <w:tcBorders/>
            <w:shd w:fill="auto" w:val="clear"/>
            <w:vAlign w:val="center"/>
          </w:tcPr>
          <w:p>
            <w:pPr>
              <w:pStyle w:val="TableContents"/>
              <w:spacing w:before="0" w:after="0"/>
              <w:ind w:left="0" w:right="0" w:firstLine="30"/>
              <w:jc w:val="left"/>
              <w:rPr/>
            </w:pPr>
            <w:r>
              <w:rPr/>
              <w:t> </w:t>
            </w:r>
          </w:p>
        </w:tc>
        <w:tc>
          <w:tcPr>
            <w:tcW w:w="5633" w:type="dxa"/>
            <w:gridSpan w:val="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9" w:type="dxa"/>
            <w:tcBorders/>
            <w:shd w:fill="auto" w:val="clear"/>
            <w:vAlign w:val="center"/>
          </w:tcPr>
          <w:p>
            <w:pPr>
              <w:pStyle w:val="TableContents"/>
              <w:spacing w:before="0" w:after="0"/>
              <w:ind w:left="0" w:right="0" w:firstLine="30"/>
              <w:rPr/>
            </w:pPr>
            <w:r>
              <w:rPr/>
              <w:t> </w:t>
            </w:r>
          </w:p>
        </w:tc>
        <w:tc>
          <w:tcPr>
            <w:tcW w:w="1310" w:type="dxa"/>
            <w:gridSpan w:val="2"/>
            <w:tcBorders/>
            <w:shd w:fill="auto" w:val="clear"/>
            <w:vAlign w:val="center"/>
          </w:tcPr>
          <w:p>
            <w:pPr>
              <w:pStyle w:val="TableContents"/>
              <w:spacing w:before="0" w:after="0"/>
              <w:ind w:left="0" w:right="0" w:firstLine="30"/>
              <w:jc w:val="center"/>
              <w:rPr/>
            </w:pPr>
            <w:r>
              <w:rPr/>
              <w:t> </w:t>
            </w:r>
          </w:p>
        </w:tc>
      </w:tr>
      <w:tr>
        <w:trPr/>
        <w:tc>
          <w:tcPr>
            <w:tcW w:w="3133" w:type="dxa"/>
            <w:tcBorders/>
            <w:shd w:fill="auto" w:val="clear"/>
            <w:vAlign w:val="center"/>
          </w:tcPr>
          <w:p>
            <w:pPr>
              <w:pStyle w:val="TableContents"/>
              <w:spacing w:before="0" w:after="0"/>
              <w:ind w:left="0" w:right="0" w:firstLine="30"/>
              <w:rPr/>
            </w:pPr>
            <w:r>
              <w:rPr/>
              <w:t> </w:t>
            </w:r>
          </w:p>
        </w:tc>
        <w:tc>
          <w:tcPr>
            <w:tcW w:w="123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9"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9" w:type="dxa"/>
            <w:tcBorders/>
            <w:shd w:fill="auto" w:val="clear"/>
            <w:vAlign w:val="center"/>
          </w:tcPr>
          <w:p>
            <w:pPr>
              <w:pStyle w:val="TableContents"/>
              <w:spacing w:before="0" w:after="0"/>
              <w:ind w:left="0" w:right="0" w:firstLine="30"/>
              <w:rPr/>
            </w:pPr>
            <w:r>
              <w:rPr/>
              <w:t> </w:t>
            </w:r>
          </w:p>
        </w:tc>
        <w:tc>
          <w:tcPr>
            <w:tcW w:w="143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9" w:type="dxa"/>
            <w:tcBorders/>
            <w:shd w:fill="auto" w:val="clear"/>
            <w:vAlign w:val="center"/>
          </w:tcPr>
          <w:p>
            <w:pPr>
              <w:pStyle w:val="TableContents"/>
              <w:spacing w:before="0" w:after="0"/>
              <w:rPr/>
            </w:pPr>
            <w:r>
              <w:rPr/>
              <w:t> </w:t>
            </w:r>
          </w:p>
        </w:tc>
        <w:tc>
          <w:tcPr>
            <w:tcW w:w="144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9" w:type="dxa"/>
            <w:tcBorders/>
            <w:shd w:fill="auto" w:val="clear"/>
            <w:vAlign w:val="center"/>
          </w:tcPr>
          <w:p>
            <w:pPr>
              <w:pStyle w:val="TableContents"/>
              <w:spacing w:before="0" w:after="0"/>
              <w:rPr/>
            </w:pPr>
            <w:r>
              <w:rPr/>
              <w:t> </w:t>
            </w:r>
          </w:p>
        </w:tc>
        <w:tc>
          <w:tcPr>
            <w:tcW w:w="13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38"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30"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310" w:type="dxa"/>
            <w:gridSpan w:val="2"/>
            <w:tcBorders/>
            <w:shd w:fill="CCEEFF" w:val="clear"/>
            <w:vAlign w:val="center"/>
          </w:tcPr>
          <w:p>
            <w:pPr>
              <w:pStyle w:val="TableContents"/>
              <w:spacing w:before="0" w:after="0"/>
              <w:ind w:left="0" w:right="0" w:firstLine="180"/>
              <w:jc w:val="left"/>
              <w:rPr/>
            </w:pPr>
            <w:r>
              <w:rPr/>
              <w:t> </w:t>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848</w:t>
            </w:r>
          </w:p>
        </w:tc>
        <w:tc>
          <w:tcPr>
            <w:tcW w:w="129" w:type="dxa"/>
            <w:tcBorders/>
            <w:shd w:fill="auto" w:val="clear"/>
            <w:vAlign w:val="center"/>
          </w:tcPr>
          <w:p>
            <w:pPr>
              <w:pStyle w:val="TableContents"/>
              <w:spacing w:before="0" w:after="0"/>
              <w:ind w:left="0" w:right="0" w:firstLine="30"/>
              <w:rPr/>
            </w:pPr>
            <w:r>
              <w:rPr/>
              <w:t> </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62</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910</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pPr>
            <w:r>
              <w:rPr/>
              <w:t>—</w:t>
            </w:r>
          </w:p>
        </w:tc>
        <w:tc>
          <w:tcPr>
            <w:tcW w:w="37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De novo</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58</w:t>
            </w:r>
          </w:p>
        </w:tc>
        <w:tc>
          <w:tcPr>
            <w:tcW w:w="129" w:type="dxa"/>
            <w:tcBorders/>
            <w:shd w:fill="CCEEFF" w:val="clear"/>
            <w:vAlign w:val="center"/>
          </w:tcPr>
          <w:p>
            <w:pPr>
              <w:pStyle w:val="TableContents"/>
              <w:spacing w:before="0" w:after="0"/>
              <w:ind w:left="0" w:right="0" w:firstLine="30"/>
              <w:rPr/>
            </w:pPr>
            <w:r>
              <w:rPr/>
              <w:t> </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53</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111</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pPr>
            <w:r>
              <w:rPr/>
              <w:t>—</w:t>
            </w:r>
          </w:p>
        </w:tc>
        <w:tc>
          <w:tcPr>
            <w:tcW w:w="37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16</w:t>
            </w:r>
          </w:p>
        </w:tc>
        <w:tc>
          <w:tcPr>
            <w:tcW w:w="129" w:type="dxa"/>
            <w:tcBorders/>
            <w:shd w:fill="auto" w:val="clear"/>
            <w:vAlign w:val="center"/>
          </w:tcPr>
          <w:p>
            <w:pPr>
              <w:pStyle w:val="TableContents"/>
              <w:spacing w:before="0" w:after="0"/>
              <w:ind w:left="0" w:right="0" w:firstLine="30"/>
              <w:rPr/>
            </w:pPr>
            <w:r>
              <w:rPr/>
              <w:t> </w:t>
            </w:r>
          </w:p>
        </w:tc>
        <w:tc>
          <w:tcPr>
            <w:tcW w:w="1036" w:type="dxa"/>
            <w:tcBorders/>
            <w:shd w:fill="auto" w:val="clear"/>
            <w:vAlign w:val="center"/>
          </w:tcPr>
          <w:p>
            <w:pPr>
              <w:pStyle w:val="TableContents"/>
              <w:spacing w:before="0" w:after="0"/>
              <w:jc w:val="right"/>
              <w:rPr/>
            </w:pPr>
            <w:r>
              <w:rPr/>
              <w:t>—</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16</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pPr>
            <w:r>
              <w:rPr/>
              <w:t>—</w:t>
            </w:r>
          </w:p>
        </w:tc>
        <w:tc>
          <w:tcPr>
            <w:tcW w:w="37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Sold, combined, or closed</w:t>
            </w:r>
          </w:p>
        </w:tc>
        <w:tc>
          <w:tcPr>
            <w:tcW w:w="1238"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(31)</w:t>
            </w:r>
          </w:p>
        </w:tc>
        <w:tc>
          <w:tcPr>
            <w:tcW w:w="129" w:type="dxa"/>
            <w:tcBorders/>
            <w:shd w:fill="CCEEFF" w:val="clear"/>
            <w:vAlign w:val="center"/>
          </w:tcPr>
          <w:p>
            <w:pPr>
              <w:pStyle w:val="TableContents"/>
              <w:spacing w:before="0" w:after="0"/>
              <w:ind w:left="0" w:right="0" w:firstLine="30"/>
              <w:rPr/>
            </w:pPr>
            <w:r>
              <w:rPr/>
              <w:t> </w:t>
            </w:r>
          </w:p>
        </w:tc>
        <w:tc>
          <w:tcPr>
            <w:tcW w:w="1036"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(31)</w:t>
            </w:r>
          </w:p>
        </w:tc>
        <w:tc>
          <w:tcPr>
            <w:tcW w:w="129" w:type="dxa"/>
            <w:tcBorders/>
            <w:shd w:fill="CCEEFF" w:val="clear"/>
            <w:vAlign w:val="center"/>
          </w:tcPr>
          <w:p>
            <w:pPr>
              <w:pStyle w:val="TableContents"/>
              <w:spacing w:before="0" w:after="0"/>
              <w:ind w:left="0" w:right="0" w:firstLine="30"/>
              <w:rPr/>
            </w:pPr>
            <w:r>
              <w:rPr/>
              <w:t> </w:t>
            </w:r>
          </w:p>
        </w:tc>
        <w:tc>
          <w:tcPr>
            <w:tcW w:w="93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7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38"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891</w:t>
            </w:r>
          </w:p>
        </w:tc>
        <w:tc>
          <w:tcPr>
            <w:tcW w:w="129" w:type="dxa"/>
            <w:tcBorders/>
            <w:shd w:fill="auto" w:val="clear"/>
            <w:vAlign w:val="center"/>
          </w:tcPr>
          <w:p>
            <w:pPr>
              <w:pStyle w:val="TableContents"/>
              <w:spacing w:before="0" w:after="0"/>
              <w:ind w:left="0" w:right="0" w:firstLine="30"/>
              <w:rPr/>
            </w:pPr>
            <w:r>
              <w:rPr/>
              <w:t> </w:t>
            </w:r>
          </w:p>
        </w:tc>
        <w:tc>
          <w:tcPr>
            <w:tcW w:w="103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115</w:t>
            </w:r>
          </w:p>
        </w:tc>
        <w:tc>
          <w:tcPr>
            <w:tcW w:w="9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1,006</w:t>
            </w:r>
          </w:p>
        </w:tc>
        <w:tc>
          <w:tcPr>
            <w:tcW w:w="129" w:type="dxa"/>
            <w:tcBorders/>
            <w:shd w:fill="auto" w:val="clear"/>
            <w:vAlign w:val="center"/>
          </w:tcPr>
          <w:p>
            <w:pPr>
              <w:pStyle w:val="TableContents"/>
              <w:spacing w:before="0" w:after="0"/>
              <w:ind w:left="0" w:right="0" w:firstLine="30"/>
              <w:rPr/>
            </w:pPr>
            <w:r>
              <w:rPr/>
              <w:t> </w:t>
            </w:r>
          </w:p>
        </w:tc>
        <w:tc>
          <w:tcPr>
            <w:tcW w:w="938"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372" w:type="dxa"/>
            <w:tcBorders>
              <w:bottom w:val="double" w:sz="6"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Discontinued operations</w:t>
            </w:r>
          </w:p>
        </w:tc>
        <w:tc>
          <w:tcPr>
            <w:tcW w:w="1238"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34</w:t>
            </w:r>
          </w:p>
        </w:tc>
        <w:tc>
          <w:tcPr>
            <w:tcW w:w="129" w:type="dxa"/>
            <w:tcBorders/>
            <w:shd w:fill="CCEEFF" w:val="clear"/>
            <w:vAlign w:val="center"/>
          </w:tcPr>
          <w:p>
            <w:pPr>
              <w:pStyle w:val="TableContents"/>
              <w:spacing w:before="0" w:after="0"/>
              <w:ind w:left="0" w:right="0" w:firstLine="30"/>
              <w:rPr/>
            </w:pPr>
            <w:r>
              <w:rPr/>
              <w:t> </w:t>
            </w:r>
          </w:p>
        </w:tc>
        <w:tc>
          <w:tcPr>
            <w:tcW w:w="1036" w:type="dxa"/>
            <w:tcBorders>
              <w:top w:val="double" w:sz="6"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w:t>
            </w:r>
          </w:p>
        </w:tc>
        <w:tc>
          <w:tcPr>
            <w:tcW w:w="98" w:type="dxa"/>
            <w:tcBorders>
              <w:top w:val="double" w:sz="6"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72</w:t>
            </w:r>
          </w:p>
        </w:tc>
        <w:tc>
          <w:tcPr>
            <w:tcW w:w="129" w:type="dxa"/>
            <w:tcBorders/>
            <w:shd w:fill="CCEEFF" w:val="clear"/>
            <w:vAlign w:val="center"/>
          </w:tcPr>
          <w:p>
            <w:pPr>
              <w:pStyle w:val="TableContents"/>
              <w:spacing w:before="0" w:after="0"/>
              <w:ind w:left="0" w:right="0" w:firstLine="30"/>
              <w:rPr/>
            </w:pPr>
            <w:r>
              <w:rPr/>
              <w:t> </w:t>
            </w:r>
          </w:p>
        </w:tc>
        <w:tc>
          <w:tcPr>
            <w:tcW w:w="93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7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Stores in continuing operations:</w:t>
            </w:r>
          </w:p>
        </w:tc>
        <w:tc>
          <w:tcPr>
            <w:tcW w:w="12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857</w:t>
            </w:r>
          </w:p>
        </w:tc>
        <w:tc>
          <w:tcPr>
            <w:tcW w:w="129" w:type="dxa"/>
            <w:tcBorders/>
            <w:shd w:fill="auto" w:val="clear"/>
            <w:vAlign w:val="center"/>
          </w:tcPr>
          <w:p>
            <w:pPr>
              <w:pStyle w:val="TableContents"/>
              <w:spacing w:before="0" w:after="0"/>
              <w:ind w:left="0" w:right="0" w:firstLine="30"/>
              <w:rPr/>
            </w:pPr>
            <w:r>
              <w:rPr/>
              <w:t> </w:t>
            </w:r>
          </w:p>
        </w:tc>
        <w:tc>
          <w:tcPr>
            <w:tcW w:w="10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77</w:t>
            </w:r>
          </w:p>
        </w:tc>
        <w:tc>
          <w:tcPr>
            <w:tcW w:w="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934</w:t>
            </w:r>
          </w:p>
        </w:tc>
        <w:tc>
          <w:tcPr>
            <w:tcW w:w="129" w:type="dxa"/>
            <w:tcBorders/>
            <w:shd w:fill="auto" w:val="clear"/>
            <w:vAlign w:val="center"/>
          </w:tcPr>
          <w:p>
            <w:pPr>
              <w:pStyle w:val="TableContents"/>
              <w:spacing w:before="0" w:after="0"/>
              <w:ind w:left="0" w:right="0" w:firstLine="30"/>
              <w:rPr/>
            </w:pPr>
            <w:r>
              <w:rPr/>
              <w:t> </w:t>
            </w:r>
          </w:p>
        </w:tc>
        <w:tc>
          <w:tcPr>
            <w:tcW w:w="938"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37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7"/>
        </w:rPr>
      </w:pPr>
      <w:r>
        <w:rPr>
          <w:rFonts w:ascii="inherit" w:hAnsi="inherit"/>
          <w:i/>
          <w:sz w:val="17"/>
        </w:rPr>
        <w:t>Pawn and Retail Activities</w:t>
      </w:r>
    </w:p>
    <w:p>
      <w:pPr>
        <w:pStyle w:val="TextBody"/>
        <w:spacing w:lineRule="auto" w:line="288" w:before="0" w:after="0"/>
        <w:rPr>
          <w:rFonts w:ascii="inherit" w:hAnsi="inherit"/>
          <w:sz w:val="17"/>
        </w:rPr>
      </w:pPr>
      <w:r>
        <w:rPr>
          <w:rFonts w:ascii="inherit" w:hAnsi="inherit"/>
          <w:sz w:val="17"/>
        </w:rPr>
        <w:t>We earn pawn service charge revenues on our pawn lending. While allowable service charges vary by state and loan size, a majority of our U.S. pawn loans earn 20% per month. Our average U.S. pawn loan amount typically ranges between $130 and $145,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$60 U.S. dollars.</w:t>
      </w:r>
    </w:p>
    <w:p>
      <w:pPr>
        <w:pStyle w:val="TextBody"/>
        <w:spacing w:lineRule="auto" w:line="288" w:before="0" w:after="0"/>
        <w:rPr>
          <w:rFonts w:ascii="inherit" w:hAnsi="inherit"/>
          <w:sz w:val="17"/>
        </w:rPr>
      </w:pPr>
      <w:r>
        <w:rPr>
          <w:rFonts w:ascii="inherit" w:hAnsi="inherit"/>
          <w:sz w:val="17"/>
        </w:rPr>
        <w:t>In our pawn stores, buy/sell stores in Pennsylvania and Virginia and certain financial services stores in Canada, we acquire inventory for retail sales through pawn loan forfeitures, purchases of customers’ second hand merchandise or purchases of new or refurbished merchandise from third party vendors. The gross profit on sales of inventory depends primarily on our assessment of the loan or purchase value at the time the property is either accepted as loan collateral or purchased. Margins achieved on sale of inventory are a function of the assessment of value at the time the pawn loan was originated or, in the case of purchased merchandise, the purchase price.</w:t>
      </w:r>
    </w:p>
    <w:p>
      <w:pPr>
        <w:pStyle w:val="TextBody"/>
        <w:spacing w:lineRule="auto" w:line="288" w:before="0" w:after="0"/>
        <w:rPr>
          <w:sz w:val="17"/>
        </w:rPr>
      </w:pPr>
      <w:r>
        <w:rPr>
          <w:rFonts w:ascii="inherit" w:hAnsi="inherit"/>
          <w:sz w:val="17"/>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w:t>
      </w:r>
      <w:r>
        <w:rPr>
          <w:rFonts w:ascii="inherit" w:hAnsi="inherit"/>
          <w:strike w:val="false"/>
          <w:dstrike w:val="false"/>
          <w:color w:val="000000"/>
          <w:sz w:val="17"/>
          <w:u w:val="none"/>
          <w:effect w:val="none"/>
        </w:rPr>
        <w:t>September 30, 2012</w:t>
      </w:r>
      <w:r>
        <w:rPr>
          <w:rFonts w:ascii="inherit" w:hAnsi="inherit"/>
          <w:sz w:val="17"/>
        </w:rPr>
        <w:t xml:space="preserve">, our total allowance was </w:t>
      </w:r>
      <w:r>
        <w:rPr>
          <w:rFonts w:ascii="inherit" w:hAnsi="inherit"/>
          <w:strike w:val="false"/>
          <w:dstrike w:val="false"/>
          <w:color w:val="000000"/>
          <w:sz w:val="17"/>
          <w:u w:val="none"/>
          <w:effect w:val="none"/>
        </w:rPr>
        <w:t>4.9%</w:t>
      </w:r>
      <w:r>
        <w:rPr>
          <w:sz w:val="17"/>
        </w:rPr>
        <w:t xml:space="preserve"> </w:t>
      </w:r>
      <w:r>
        <w:rPr>
          <w:rFonts w:ascii="inherit" w:hAnsi="inherit"/>
          <w:sz w:val="17"/>
        </w:rPr>
        <w:t xml:space="preserve">of gross inventory, compared to </w:t>
      </w:r>
      <w:r>
        <w:rPr>
          <w:rFonts w:ascii="inherit" w:hAnsi="inherit"/>
          <w:strike w:val="false"/>
          <w:dstrike w:val="false"/>
          <w:color w:val="000000"/>
          <w:sz w:val="17"/>
          <w:u w:val="none"/>
          <w:effect w:val="none"/>
        </w:rPr>
        <w:t>9.5%</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2011</w:t>
      </w:r>
      <w:r>
        <w:rPr>
          <w:rFonts w:ascii="inherit" w:hAnsi="inherit"/>
          <w:sz w:val="17"/>
        </w:rPr>
        <w:t>. Changes in the valuation allowance are charged to merchandise cost of goods sold.</w:t>
      </w:r>
    </w:p>
    <w:p>
      <w:pPr>
        <w:pStyle w:val="TextBody"/>
        <w:spacing w:lineRule="auto" w:line="288" w:before="0" w:after="0"/>
        <w:rPr>
          <w:rFonts w:ascii="inherit" w:hAnsi="inherit"/>
          <w:i/>
          <w:sz w:val="17"/>
        </w:rPr>
      </w:pPr>
      <w:r>
        <w:rPr>
          <w:rFonts w:ascii="inherit" w:hAnsi="inherit"/>
          <w:i/>
          <w:sz w:val="17"/>
        </w:rPr>
        <w:t>Consumer Loan Activities</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288 of our U.S. financial services stores and 25 of our U.S. pawn stores in Texas offered credit services to customers seeking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In all stores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149FCBE28F3900CCBC1E0F13F39FAE0B">
        <w:bookmarkStart w:id="37" w:name="sEBF7F97E6262891CF3F00F13CBF3870A2"/>
        <w:bookmarkEnd w:id="3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offering consumer loan credit services, customers can obtain single-payment unsecured consumer loans, with principal amounts up to $1,500 but averaging about $505. Terms of these loans are generally less than 30 days, averaging about 16 days, with due dates corresponding with the customer’s next payday. We typically earn a fee of 22% of the loan amount for our credit services offered in connection with single-payment loans. In the financial services stores offering credit services, customers can obtain longer-term unsecured multiple-payment loans from the unaffiliated lenders. All multiple-payment loans typically carry terms of about five months with ten equal installment payments, including principal amortization, due on customers’ paydays. Traditional multi-payment loan principal amounts range from $1,525 to $3,000, but average about $2,105, and with each semi-monthly or bi-weekly installment payment, we earn a fee of 11% of the initial loan amount. Low dollar multiple-payment loan principal amounts range from $100 to $1,500, but average about $705. With each semi-monthly or bi-weekly installment payment, we earn a fee of 13% to 14% of the initial loan amount. At </w:t>
      </w:r>
      <w:r>
        <w:rPr>
          <w:rFonts w:ascii="inherit" w:hAnsi="inherit"/>
          <w:strike w:val="false"/>
          <w:dstrike w:val="false"/>
          <w:color w:val="000000"/>
          <w:sz w:val="17"/>
          <w:u w:val="none"/>
          <w:effect w:val="none"/>
        </w:rPr>
        <w:t>September 30, 2012</w:t>
      </w:r>
      <w:r>
        <w:rPr>
          <w:rFonts w:ascii="inherit" w:hAnsi="inherit"/>
          <w:sz w:val="17"/>
        </w:rPr>
        <w:t>, single-payment loans comprised 93% of the balance of consumer loans brokered through our credit services, and multiple-payment loans comprised the remaining 7%.</w:t>
      </w:r>
    </w:p>
    <w:p>
      <w:pPr>
        <w:pStyle w:val="TextBody"/>
        <w:spacing w:lineRule="auto" w:line="288" w:before="0" w:after="0"/>
        <w:rPr>
          <w:rFonts w:ascii="inherit" w:hAnsi="inherit"/>
          <w:sz w:val="17"/>
        </w:rPr>
      </w:pPr>
      <w:r>
        <w:rPr>
          <w:rFonts w:ascii="inherit" w:hAnsi="inherit"/>
          <w:sz w:val="17"/>
        </w:rPr>
        <w:t>Outside of Texas, we earn loan fee revenue on our consumer loans. In 20 U.S. pawn stores, 80 U.S. financial services stores and 67 Canadian financial services stores, we offer single-payment unsecured consumer loans. The average single-payment loan amount is approximately $440 and the term is generally less than 30 days, averaging about 16 days. We typically charge a fee of 15% to 22% of the loan amount. In 115 of our U.S. financial services stores and three U.S. pawn stores, we offer multiple-payment unsecured consumer loans. These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130% of the original principal amount of the loan. Multiple-payment loan principal amounts range from $100 to $3,000, but average approximately $550.</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398 of our U.S. financial services stores and 44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$835. We earn a fee of 12.5% to 30% of auto title loan amounts. In fiscal 2012, in Texas, we began assisting customers in obtaining multiple-payment auto title loans from unaffiliated lenders. These loans typically carry terms of two to five months with up to ten equal installments. Principal amounts range from $150 to $10,000, but average about $1,000; and, with each installment payment, we earn a fee of 11% to 35% of the initial loan amount. </w:t>
      </w:r>
    </w:p>
    <w:p>
      <w:pPr>
        <w:pStyle w:val="TextBody"/>
        <w:spacing w:lineRule="auto" w:line="288" w:before="0" w:after="0"/>
        <w:rPr>
          <w:rFonts w:ascii="inherit" w:hAnsi="inherit"/>
          <w:sz w:val="17"/>
        </w:rPr>
      </w:pPr>
      <w:r>
        <w:rPr>
          <w:rFonts w:ascii="inherit" w:hAnsi="inherit"/>
          <w:sz w:val="17"/>
        </w:rPr>
        <w:t>In Mexico, Crediamigo offers multiple-payment consumer loans with typical annual yields of approximately 27% and collects interest and principal through payroll deductions. The average loan is approximately $1,200 with a term of 31 months.</w:t>
      </w:r>
    </w:p>
    <w:p>
      <w:pPr>
        <w:pStyle w:val="TextBody"/>
        <w:spacing w:lineRule="auto" w:line="288" w:before="0" w:after="0"/>
        <w:rPr>
          <w:rFonts w:ascii="inherit" w:hAnsi="inherit"/>
          <w:sz w:val="17"/>
        </w:rPr>
      </w:pPr>
      <w:r>
        <w:rPr>
          <w:rFonts w:ascii="inherit" w:hAnsi="inherit"/>
          <w:sz w:val="17"/>
        </w:rPr>
        <w:t xml:space="preserve">In the U.K., Cash Genie offers unsecured single payment loans with a fixed fee of 30% of the loan amount. Loans are due within 30 days and can be renewed. Principal loan amounts range from $78 to $1,560 but average $300. </w:t>
      </w:r>
    </w:p>
    <w:p>
      <w:pPr>
        <w:pStyle w:val="TextBody"/>
        <w:spacing w:lineRule="auto" w:line="288" w:before="0" w:after="0"/>
        <w:rPr>
          <w:rFonts w:ascii="inherit" w:hAnsi="inherit"/>
          <w:i/>
          <w:sz w:val="17"/>
        </w:rPr>
      </w:pPr>
      <w:r>
        <w:rPr>
          <w:rFonts w:ascii="inherit" w:hAnsi="inherit"/>
          <w:i/>
          <w:sz w:val="17"/>
        </w:rPr>
        <w:t>Acquisitions</w:t>
      </w:r>
    </w:p>
    <w:p>
      <w:pPr>
        <w:pStyle w:val="TextBody"/>
        <w:spacing w:lineRule="auto" w:line="288" w:before="0" w:after="0"/>
        <w:rPr>
          <w:sz w:val="17"/>
        </w:rPr>
      </w:pPr>
      <w:r>
        <w:rPr>
          <w:rFonts w:ascii="inherit" w:hAnsi="inherit"/>
          <w:sz w:val="17"/>
        </w:rPr>
        <w:t xml:space="preserve">In fiscal 2012, we acquired 28 pawn stores in the San Antonio metropolitan area, Florida, Minnesota and Georgia; 8 buy/sell stores in Virginia, Pennsylvania and Canada; and 15 financial services stores in Hawaii and Texas. The aggregate consideration for these stores was approximately $76.9 million, net of cash acquired. During fiscal 2012, we also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interest in Crediamigo, a specialty consumer finance company headquartered in Mexico City, for total consideration of $</w:t>
      </w:r>
      <w:r>
        <w:rPr>
          <w:rFonts w:ascii="inherit" w:hAnsi="inherit"/>
          <w:strike w:val="false"/>
          <w:dstrike w:val="false"/>
          <w:color w:val="000000"/>
          <w:sz w:val="17"/>
          <w:u w:val="none"/>
          <w:effect w:val="none"/>
        </w:rPr>
        <w:t>60.1 million</w:t>
      </w:r>
      <w:r>
        <w:rPr>
          <w:rFonts w:ascii="inherit" w:hAnsi="inherit"/>
          <w:sz w:val="17"/>
        </w:rPr>
        <w:t xml:space="preserve">, net of cash acquired; and a 72% interest in Ariste Holding Limited and its affiliates, which provides online loans in the U.K under the name "Cash Genie," for total consideration of $32.4 million, comprised of 0.2 million shares of EZCORP stock valued at $6.4 million and $26.0 million of cash, net of cash acquired. The results of all acquired stores and businesses have been consolidated with our results since their acquisition. </w:t>
      </w:r>
    </w:p>
    <w:p>
      <w:pPr>
        <w:pStyle w:val="TextBody"/>
        <w:spacing w:lineRule="auto" w:line="288" w:before="0" w:after="0"/>
        <w:jc w:val="left"/>
        <w:rPr>
          <w:sz w:val="17"/>
        </w:rPr>
      </w:pPr>
      <w:r>
        <w:rPr>
          <w:rFonts w:ascii="inherit" w:hAnsi="inherit"/>
          <w:sz w:val="17"/>
        </w:rPr>
        <w:t xml:space="preserve">In the year ended </w:t>
      </w:r>
      <w:r>
        <w:rPr>
          <w:rFonts w:ascii="Times New Roman" w:hAnsi="Times New Roman"/>
          <w:strike w:val="false"/>
          <w:dstrike w:val="false"/>
          <w:color w:val="000000"/>
          <w:sz w:val="17"/>
          <w:u w:val="none"/>
          <w:effect w:val="none"/>
        </w:rPr>
        <w:t>September 30, 2011</w:t>
      </w:r>
      <w:r>
        <w:rPr>
          <w:rFonts w:ascii="inherit" w:hAnsi="inherit"/>
          <w:sz w:val="17"/>
        </w:rPr>
        <w:t xml:space="preserve">, we acquired 40 pawn stores in the Chicago metropolitan area, Georgia, Central and South Florida, Iowa, Wisconsin, Utah and the Mexican states of Hidalgo and Tlaxcala for approximately $66.2 million in cash and the issuance of approximately 0.2 million shares of EZCORP stock valued at $7.3 million. In April 2011 we also acquired the trademark and licensing rights of Cash Converters in Canada, including rights to receive fees from 13 stores operated by franchisees in Canada. The results of all acquired stores have been consolidated with our results since their acquisition. </w:t>
      </w:r>
    </w:p>
    <w:p>
      <w:pPr>
        <w:pStyle w:val="TextBody"/>
        <w:spacing w:lineRule="auto" w:line="288" w:before="0" w:after="0"/>
        <w:rPr>
          <w:rFonts w:ascii="inherit" w:hAnsi="inherit"/>
          <w:i/>
          <w:sz w:val="17"/>
        </w:rPr>
      </w:pPr>
      <w:r>
        <w:rPr>
          <w:rFonts w:ascii="inherit" w:hAnsi="inherit"/>
          <w:i/>
          <w:sz w:val="17"/>
        </w:rPr>
        <w:t>International Growth</w:t>
      </w:r>
    </w:p>
    <w:p>
      <w:pPr>
        <w:pStyle w:val="TextBody"/>
        <w:spacing w:lineRule="auto" w:line="288" w:before="0" w:after="0"/>
        <w:rPr>
          <w:rFonts w:ascii="inherit" w:hAnsi="inherit"/>
          <w:sz w:val="17"/>
        </w:rPr>
      </w:pPr>
      <w:r>
        <w:rPr>
          <w:rFonts w:ascii="inherit" w:hAnsi="inherit"/>
          <w:sz w:val="17"/>
        </w:rPr>
        <w:t xml:space="preserve">With continued execution of the our geographic and product diversification strategy, nearly 18% of our consolidated segment contribution in fiscal 2012 was attributable to areas outside the United States, up from 8% during fiscal 2011. Total revenue in the Latin America and Other International segments combined more than doubled from fiscal 2011 to fiscal 2012, with combined segment contribution increasing 160%. These year-over year increases are the result of continued strength in our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149FCBE28F3900CCBC1E0F13F39FAE0B">
        <w:bookmarkStart w:id="38" w:name="sEBF7F97E6262891CF3F00F13CBF3870A3"/>
        <w:bookmarkEnd w:id="38"/>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 xml:space="preserve">Empeño Fácil business in Mexico, the acquisition of controlling interests in Crediamigo and Cash Genie and our strategic investments in the United Kingdom and Australia. </w:t>
      </w:r>
    </w:p>
    <w:p>
      <w:pPr>
        <w:pStyle w:val="TextBody"/>
        <w:spacing w:lineRule="auto" w:line="288" w:before="0" w:after="0"/>
        <w:rPr>
          <w:rFonts w:ascii="inherit" w:hAnsi="inherit"/>
          <w:i/>
          <w:sz w:val="17"/>
        </w:rPr>
      </w:pPr>
      <w:r>
        <w:rPr>
          <w:rFonts w:ascii="inherit" w:hAnsi="inherit"/>
          <w:i/>
          <w:sz w:val="17"/>
        </w:rPr>
        <w:t>Other</w:t>
      </w:r>
    </w:p>
    <w:p>
      <w:pPr>
        <w:pStyle w:val="TextBody"/>
        <w:spacing w:lineRule="auto" w:line="288" w:before="0" w:after="0"/>
        <w:rPr>
          <w:sz w:val="17"/>
        </w:rPr>
      </w:pPr>
      <w:r>
        <w:rPr>
          <w:rFonts w:ascii="inherit" w:hAnsi="inherit"/>
          <w:sz w:val="17"/>
        </w:rPr>
        <w:t xml:space="preserve">Included in the results for the fiscal year ended </w:t>
      </w:r>
      <w:r>
        <w:rPr>
          <w:rFonts w:ascii="Times New Roman" w:hAnsi="Times New Roman"/>
          <w:strike w:val="false"/>
          <w:dstrike w:val="false"/>
          <w:color w:val="000000"/>
          <w:sz w:val="17"/>
          <w:u w:val="none"/>
          <w:effect w:val="none"/>
        </w:rPr>
        <w:t>September 30, 2011</w:t>
      </w:r>
      <w:r>
        <w:rPr>
          <w:sz w:val="17"/>
        </w:rPr>
        <w:t xml:space="preserve"> </w:t>
      </w:r>
      <w:r>
        <w:rPr>
          <w:rFonts w:ascii="inherit" w:hAnsi="inherit"/>
          <w:sz w:val="17"/>
        </w:rPr>
        <w:t xml:space="preserve">is a pre-tax administrative expense charge of </w:t>
      </w:r>
      <w:r>
        <w:rPr>
          <w:rFonts w:ascii="inherit" w:hAnsi="inherit"/>
          <w:strike w:val="false"/>
          <w:dstrike w:val="false"/>
          <w:color w:val="000000"/>
          <w:sz w:val="17"/>
          <w:u w:val="none"/>
          <w:effect w:val="none"/>
        </w:rPr>
        <w:t>$10.9 million</w:t>
      </w:r>
      <w:r>
        <w:rPr>
          <w:sz w:val="17"/>
        </w:rPr>
        <w:t xml:space="preserve"> </w:t>
      </w:r>
      <w:r>
        <w:rPr>
          <w:rFonts w:ascii="inherit" w:hAnsi="inherit"/>
          <w:sz w:val="17"/>
        </w:rPr>
        <w:t xml:space="preserve">related to the </w:t>
      </w:r>
      <w:r>
        <w:rPr>
          <w:rFonts w:ascii="inherit" w:hAnsi="inherit"/>
          <w:strike w:val="false"/>
          <w:dstrike w:val="false"/>
          <w:color w:val="000000"/>
          <w:sz w:val="17"/>
          <w:u w:val="none"/>
          <w:effect w:val="none"/>
        </w:rPr>
        <w:t>October 2010</w:t>
      </w:r>
      <w:r>
        <w:rPr>
          <w:sz w:val="17"/>
        </w:rPr>
        <w:t xml:space="preserve"> </w:t>
      </w:r>
      <w:r>
        <w:rPr>
          <w:rFonts w:ascii="inherit" w:hAnsi="inherit"/>
          <w:sz w:val="17"/>
        </w:rPr>
        <w:t xml:space="preserve">retirement of our former Chief Executive Officer, including </w:t>
      </w:r>
      <w:r>
        <w:rPr>
          <w:rFonts w:ascii="inherit" w:hAnsi="inherit"/>
          <w:strike w:val="false"/>
          <w:dstrike w:val="false"/>
          <w:color w:val="000000"/>
          <w:sz w:val="17"/>
          <w:u w:val="none"/>
          <w:effect w:val="none"/>
        </w:rPr>
        <w:t>$3.4 million</w:t>
      </w:r>
      <w:r>
        <w:rPr>
          <w:sz w:val="17"/>
        </w:rPr>
        <w:t xml:space="preserve"> </w:t>
      </w:r>
      <w:r>
        <w:rPr>
          <w:rFonts w:ascii="inherit" w:hAnsi="inherit"/>
          <w:sz w:val="17"/>
        </w:rPr>
        <w:t xml:space="preserve">attributable to a cash payment and </w:t>
      </w:r>
      <w:r>
        <w:rPr>
          <w:rFonts w:ascii="inherit" w:hAnsi="inherit"/>
          <w:strike w:val="false"/>
          <w:dstrike w:val="false"/>
          <w:color w:val="000000"/>
          <w:sz w:val="17"/>
          <w:u w:val="none"/>
          <w:effect w:val="none"/>
        </w:rPr>
        <w:t>$7.5 million</w:t>
      </w:r>
      <w:r>
        <w:rPr>
          <w:sz w:val="17"/>
        </w:rPr>
        <w:t xml:space="preserve"> </w:t>
      </w:r>
      <w:r>
        <w:rPr>
          <w:rFonts w:ascii="inherit" w:hAnsi="inherit"/>
          <w:sz w:val="17"/>
        </w:rPr>
        <w:t xml:space="preserve">attributable to the vesting of restricted stock. The prior year income tax expense reflects a </w:t>
      </w:r>
      <w:r>
        <w:rPr>
          <w:rFonts w:ascii="inherit" w:hAnsi="inherit"/>
          <w:strike w:val="false"/>
          <w:dstrike w:val="false"/>
          <w:color w:val="000000"/>
          <w:sz w:val="17"/>
          <w:u w:val="none"/>
          <w:effect w:val="none"/>
        </w:rPr>
        <w:t>$3.8 million</w:t>
      </w:r>
      <w:r>
        <w:rPr>
          <w:sz w:val="17"/>
        </w:rPr>
        <w:t xml:space="preserve"> </w:t>
      </w:r>
      <w:r>
        <w:rPr>
          <w:rFonts w:ascii="inherit" w:hAnsi="inherit"/>
          <w:sz w:val="17"/>
        </w:rPr>
        <w:t>tax benefit related to this charge.</w:t>
      </w:r>
    </w:p>
    <w:p>
      <w:pPr>
        <w:pStyle w:val="TextBody"/>
        <w:spacing w:lineRule="auto" w:line="288" w:before="0" w:after="0"/>
        <w:jc w:val="left"/>
        <w:rPr>
          <w:rFonts w:ascii="inherit" w:hAnsi="inherit"/>
          <w:b/>
          <w:sz w:val="17"/>
        </w:rPr>
      </w:pPr>
      <w:bookmarkStart w:id="39" w:name="s148BBE09D02F644ADFA30F13F787CC63"/>
      <w:bookmarkEnd w:id="39"/>
      <w:r>
        <w:rPr>
          <w:rFonts w:ascii="inherit" w:hAnsi="inherit"/>
          <w:b/>
          <w:sz w:val="17"/>
        </w:rPr>
        <w:t>Critical Accounting Policies and Estimates</w:t>
      </w:r>
    </w:p>
    <w:p>
      <w:pPr>
        <w:pStyle w:val="TextBody"/>
        <w:spacing w:lineRule="auto" w:line="288" w:before="0" w:after="0"/>
        <w:jc w:val="left"/>
        <w:rPr>
          <w:rFonts w:ascii="inherit" w:hAnsi="inherit"/>
          <w:sz w:val="17"/>
        </w:rPr>
      </w:pPr>
      <w:r>
        <w:rPr>
          <w:rFonts w:ascii="inherit" w:hAnsi="inherit"/>
          <w:sz w:val="17"/>
        </w:rPr>
        <w:t>Management’s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 We believe the following critical accounting policies and estimates could have a significant impact on our results of operations. You should refer to Note 1, “Organization and Summary of Significant Accounting Policies,” to our consolidated financial statements included in “Part II — Item 8 — Financial Statements and Supplementary Data” for a more complete review of other accounting policies and estimates used in the preparation of our consolidated financial statements.</w:t>
      </w:r>
    </w:p>
    <w:p>
      <w:pPr>
        <w:pStyle w:val="TextBody"/>
        <w:spacing w:lineRule="auto" w:line="288" w:before="0" w:after="0"/>
        <w:jc w:val="left"/>
        <w:rPr>
          <w:rFonts w:ascii="inherit" w:hAnsi="inherit"/>
          <w:i/>
          <w:sz w:val="17"/>
        </w:rPr>
      </w:pPr>
      <w:r>
        <w:rPr>
          <w:rFonts w:ascii="inherit" w:hAnsi="inherit"/>
          <w:i/>
          <w:sz w:val="17"/>
        </w:rPr>
        <w:t>Consolidation</w:t>
      </w:r>
    </w:p>
    <w:p>
      <w:pPr>
        <w:pStyle w:val="TextBody"/>
        <w:spacing w:lineRule="auto" w:line="288" w:before="0" w:after="0"/>
        <w:jc w:val="left"/>
        <w:rPr>
          <w:rFonts w:ascii="inherit" w:hAnsi="inherit"/>
          <w:sz w:val="17"/>
        </w:rPr>
      </w:pPr>
      <w:r>
        <w:rPr>
          <w:rFonts w:ascii="inherit" w:hAnsi="inherit"/>
          <w:sz w:val="17"/>
        </w:rPr>
        <w:t>The consolidated financial statements include the accounts of EZCORP, Inc. and our controlled subsidiaries. All significant inter-company accounts and transactions have been eliminated in consolidation. We own 60% of the outstanding equity interests in Prestaciones Finmart, S.A. de C.V., SOFOM, E.N.R. ("Crediamigo") and 72% of Ariste Holding Limited and its affiliates ("Cash Genie") and, therefore, include their results in our consolidated financial statements. We account for our investments in Albemarle &amp; Bond Holdings, PLC and Cash Converters International Limited using the equity method.</w:t>
      </w:r>
    </w:p>
    <w:p>
      <w:pPr>
        <w:pStyle w:val="TextBody"/>
        <w:spacing w:lineRule="auto" w:line="288" w:before="0" w:after="0"/>
        <w:jc w:val="left"/>
        <w:rPr>
          <w:rFonts w:ascii="inherit" w:hAnsi="inherit"/>
          <w:i/>
          <w:sz w:val="17"/>
        </w:rPr>
      </w:pPr>
      <w:r>
        <w:rPr>
          <w:rFonts w:ascii="inherit" w:hAnsi="inherit"/>
          <w:i/>
          <w:sz w:val="17"/>
        </w:rPr>
        <w:t>Pawn Loan and Sales Revenue Recognition</w:t>
      </w:r>
    </w:p>
    <w:p>
      <w:pPr>
        <w:pStyle w:val="TextBody"/>
        <w:spacing w:lineRule="auto" w:line="288" w:before="0" w:after="0"/>
        <w:jc w:val="left"/>
        <w:rPr>
          <w:rFonts w:ascii="inherit" w:hAnsi="inherit"/>
          <w:sz w:val="17"/>
        </w:rPr>
      </w:pPr>
      <w:r>
        <w:rPr>
          <w:rFonts w:ascii="inherit" w:hAnsi="inherit"/>
          <w:sz w:val="17"/>
        </w:rPr>
        <w:t>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w:t>
      </w:r>
    </w:p>
    <w:p>
      <w:pPr>
        <w:pStyle w:val="TextBody"/>
        <w:spacing w:lineRule="auto" w:line="288" w:before="0" w:after="0"/>
        <w:rPr>
          <w:rFonts w:ascii="inherit" w:hAnsi="inherit"/>
          <w:i/>
          <w:sz w:val="17"/>
        </w:rPr>
      </w:pPr>
      <w:r>
        <w:rPr>
          <w:rFonts w:ascii="inherit" w:hAnsi="inherit"/>
          <w:i/>
          <w:sz w:val="17"/>
        </w:rPr>
        <w:t>Consumer Loans</w:t>
      </w:r>
    </w:p>
    <w:p>
      <w:pPr>
        <w:pStyle w:val="TextBody"/>
        <w:spacing w:lineRule="auto" w:line="288" w:before="0" w:after="0"/>
        <w:jc w:val="left"/>
        <w:rPr>
          <w:rFonts w:ascii="inherit" w:hAnsi="inherit"/>
          <w:sz w:val="17"/>
        </w:rPr>
      </w:pPr>
      <w:r>
        <w:rPr>
          <w:rFonts w:ascii="inherit" w:hAnsi="inherit"/>
          <w:sz w:val="17"/>
        </w:rPr>
        <w:t xml:space="preserve">We provide a variety of short-term consumer loans, including single-payment and multiple-payment unsecured loans and single-payment and multiple-payment auto title loans. In Texas, we provide fee-based credit services to customers seeking loans. In Mexico, Crediamigo enters into agreements with employers that permit it to market consumer loans to employees. Payments are withheld by the employers through payroll deductions and remitted to Crediamigo. </w:t>
      </w:r>
    </w:p>
    <w:p>
      <w:pPr>
        <w:pStyle w:val="TextBody"/>
        <w:spacing w:lineRule="auto" w:line="288" w:before="0" w:after="0"/>
        <w:jc w:val="left"/>
        <w:rPr>
          <w:rFonts w:ascii="inherit" w:hAnsi="inherit"/>
          <w:i/>
          <w:sz w:val="17"/>
        </w:rPr>
      </w:pPr>
      <w:r>
        <w:rPr>
          <w:rFonts w:ascii="inherit" w:hAnsi="inherit"/>
          <w:i/>
          <w:sz w:val="17"/>
        </w:rPr>
        <w:t>Revenue Recognition</w:t>
      </w:r>
    </w:p>
    <w:p>
      <w:pPr>
        <w:pStyle w:val="TextBody"/>
        <w:spacing w:lineRule="auto" w:line="288" w:before="0" w:after="0"/>
        <w:ind w:left="0" w:right="0" w:firstLine="360"/>
        <w:jc w:val="left"/>
        <w:rPr>
          <w:sz w:val="17"/>
        </w:rPr>
      </w:pPr>
      <w:r>
        <w:rPr>
          <w:rFonts w:ascii="inherit" w:hAnsi="inherit"/>
          <w:i/>
          <w:sz w:val="17"/>
        </w:rPr>
        <w:t xml:space="preserve">Unsecured Consumer Loan Credit Service Fees — </w:t>
      </w:r>
      <w:r>
        <w:rPr>
          <w:rFonts w:ascii="inherit" w:hAnsi="inherit"/>
          <w:sz w:val="17"/>
        </w:rPr>
        <w:t>We earn credit service fees when we assist customers in obtaining unsecured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Consumer loan credit service fee revenue is included in “Consumer loan fees” on our statements of operations.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360"/>
        <w:jc w:val="left"/>
        <w:rPr>
          <w:sz w:val="17"/>
        </w:rPr>
      </w:pPr>
      <w:r>
        <w:rPr>
          <w:rFonts w:ascii="inherit" w:hAnsi="inherit"/>
          <w:i/>
          <w:sz w:val="17"/>
        </w:rPr>
        <w:t xml:space="preserve">Unsecured Consumer Loan Revenue — </w:t>
      </w:r>
      <w:r>
        <w:rPr>
          <w:rFonts w:ascii="inherit" w:hAnsi="inherit"/>
          <w:sz w:val="17"/>
        </w:rPr>
        <w:t>We accrue fees in accordance with state and provincial laws on the percentage of unsecured loans we have made that we believe to be collectible. Accrued fees related to defaulted loans reduce fee revenue upon loan default and increase fee revenue upon collection. Unsecured loan revenue is included in “Consumer loan fees” on our statements of operations.</w:t>
      </w:r>
    </w:p>
    <w:p>
      <w:pPr>
        <w:pStyle w:val="TextBody"/>
        <w:spacing w:lineRule="auto" w:line="288" w:before="0" w:after="0"/>
        <w:ind w:left="0" w:right="0" w:firstLine="360"/>
        <w:jc w:val="left"/>
        <w:rPr>
          <w:sz w:val="17"/>
        </w:rPr>
      </w:pPr>
      <w:r>
        <w:rPr>
          <w:rFonts w:ascii="inherit" w:hAnsi="inherit"/>
          <w:i/>
          <w:sz w:val="17"/>
        </w:rPr>
        <w:t xml:space="preserve">Long-term Unsecured Consumer Loan Revenue — </w:t>
      </w:r>
      <w:r>
        <w:rPr>
          <w:rFonts w:ascii="inherit" w:hAnsi="inherit"/>
          <w:sz w:val="17"/>
        </w:rPr>
        <w:t>Crediamigo customers obtain installment loans with a series of payments due over as much as a four year period. We recognize consumer loan fees related to loans we originate based on the percentage of consumer loans made that we believe to be collectible. We recognize interest revenue ratably over the life of the related loans. We reserve the percentage of interest we expect not to collect. Accrued fees related to defaulted loans reduce consumer loan revenue upon loan default and increase consumer loan fee revenue upon collection.</w:t>
      </w:r>
    </w:p>
    <w:p>
      <w:pPr>
        <w:pStyle w:val="TextBody"/>
        <w:spacing w:lineRule="auto" w:line="288" w:before="0" w:after="0"/>
        <w:ind w:left="0" w:right="0" w:firstLine="360"/>
        <w:jc w:val="left"/>
        <w:rPr>
          <w:sz w:val="17"/>
        </w:rPr>
      </w:pPr>
      <w:r>
        <w:rPr>
          <w:rFonts w:ascii="inherit" w:hAnsi="inherit"/>
          <w:i/>
          <w:sz w:val="17"/>
        </w:rPr>
        <w:t xml:space="preserve">Auto Title Loan Credit Service Fee Revenue — </w:t>
      </w:r>
      <w:r>
        <w:rPr>
          <w:rFonts w:ascii="inherit" w:hAnsi="inherit"/>
          <w:sz w:val="17"/>
        </w:rPr>
        <w:t>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“Consumer loan fees” on our statements of operations.</w:t>
      </w:r>
    </w:p>
    <w:p>
      <w:pPr>
        <w:pStyle w:val="TextBody"/>
        <w:spacing w:lineRule="auto" w:line="288" w:before="0" w:after="0"/>
        <w:ind w:left="0" w:right="0" w:firstLine="360"/>
        <w:jc w:val="left"/>
        <w:rPr>
          <w:sz w:val="17"/>
        </w:rPr>
      </w:pPr>
      <w:r>
        <w:rPr>
          <w:rFonts w:ascii="inherit" w:hAnsi="inherit"/>
          <w:i/>
          <w:sz w:val="17"/>
        </w:rPr>
        <w:t xml:space="preserve">Auto Title Loan Revenue — </w:t>
      </w:r>
      <w:r>
        <w:rPr>
          <w:rFonts w:ascii="inherit" w:hAnsi="inherit"/>
          <w:sz w:val="17"/>
        </w:rPr>
        <w:t>We accrue fees in accordance with state laws on the percentage of auto title loans we have made that we believe to be collectible. We recognize the fee revenue ratably over the life of the loan. Auto title loan revenue is included in “Consumer loan fees” on our statements of operations.</w:t>
      </w:r>
    </w:p>
    <w:p>
      <w:pPr>
        <w:pStyle w:val="TextBody"/>
        <w:spacing w:lineRule="auto" w:line="288" w:before="0" w:after="0"/>
        <w:jc w:val="left"/>
        <w:rPr>
          <w:rFonts w:ascii="inherit" w:hAnsi="inherit"/>
          <w:i/>
          <w:sz w:val="17"/>
        </w:rPr>
      </w:pPr>
      <w:r>
        <w:rPr>
          <w:rFonts w:ascii="inherit" w:hAnsi="inherit"/>
          <w:i/>
          <w:sz w:val="17"/>
        </w:rPr>
        <w:t>Bad Debt and Allowance For Losses</w:t>
      </w:r>
    </w:p>
    <w:p>
      <w:pPr>
        <w:pStyle w:val="TextBody"/>
        <w:spacing w:lineRule="auto" w:line="288" w:before="0" w:after="0"/>
        <w:ind w:left="0" w:right="0" w:firstLine="360"/>
        <w:jc w:val="left"/>
        <w:rPr>
          <w:sz w:val="17"/>
        </w:rPr>
      </w:pPr>
      <w:r>
        <w:rPr>
          <w:rFonts w:ascii="inherit" w:hAnsi="inherit"/>
          <w:i/>
          <w:sz w:val="17"/>
        </w:rPr>
        <w:t xml:space="preserve">Unsecured Consumer Loan Credit Service Bad Debt — </w:t>
      </w:r>
      <w:r>
        <w:rPr>
          <w:rFonts w:ascii="inherit" w:hAnsi="inherit"/>
          <w:sz w:val="17"/>
        </w:rPr>
        <w:t>We issue letters of credit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w:t>
      </w:r>
    </w:p>
    <w:p>
      <w:pPr>
        <w:pStyle w:val="TextBody"/>
        <w:spacing w:lineRule="auto" w:line="288" w:before="0" w:after="0"/>
        <w:ind w:left="0" w:right="0" w:firstLine="360"/>
        <w:jc w:val="left"/>
        <w:rPr>
          <w:sz w:val="17"/>
        </w:rPr>
      </w:pPr>
      <w:r>
        <w:rPr>
          <w:rFonts w:ascii="inherit" w:hAnsi="inherit"/>
          <w:sz w:val="17"/>
        </w:rPr>
        <w:t xml:space="preserve">The majority of our credit service customers obtain short-term unsecured loans with a single maturity date. These short-term loans, with terms averaging about </w:t>
      </w:r>
      <w:r>
        <w:rPr>
          <w:rFonts w:ascii="inherit" w:hAnsi="inherit"/>
          <w:strike w:val="false"/>
          <w:dstrike w:val="false"/>
          <w:color w:val="000000"/>
          <w:sz w:val="17"/>
          <w:u w:val="none"/>
          <w:effect w:val="none"/>
        </w:rPr>
        <w:t>16</w:t>
      </w:r>
      <w:r>
        <w:rPr>
          <w:sz w:val="17"/>
        </w:rPr>
        <w:t> </w:t>
      </w:r>
      <w:r>
        <w:rPr>
          <w:rFonts w:ascii="inherit" w:hAnsi="inherit"/>
          <w:sz w:val="17"/>
        </w:rPr>
        <w:t xml:space="preserve">days, are considered defaulted if they have not been repaid or renewed by the maturity date. Other credit service customers obtain multiple-payment loans with a series of payments due over as much as a </w:t>
      </w:r>
      <w:r>
        <w:rPr>
          <w:rFonts w:ascii="inherit" w:hAnsi="inherit"/>
          <w:strike w:val="false"/>
          <w:dstrike w:val="false"/>
          <w:color w:val="000000"/>
          <w:sz w:val="17"/>
          <w:u w:val="none"/>
          <w:effect w:val="none"/>
        </w:rPr>
        <w:t>seven</w:t>
      </w:r>
      <w:r>
        <w:rPr>
          <w:rFonts w:ascii="inherit" w:hAnsi="inherit"/>
          <w:sz w:val="17"/>
        </w:rPr>
        <w:t xml:space="preserve">-month period. If one payment of a multiple-payment loan is delinquent, that </w:t>
      </w:r>
      <w:r>
        <w:rPr>
          <w:rFonts w:ascii="inherit" w:hAnsi="inherit"/>
          <w:strike w:val="false"/>
          <w:dstrike w:val="false"/>
          <w:color w:val="000000"/>
          <w:sz w:val="17"/>
          <w:u w:val="none"/>
          <w:effect w:val="none"/>
        </w:rPr>
        <w:t>one</w:t>
      </w:r>
      <w:r>
        <w:rPr>
          <w:sz w:val="17"/>
        </w:rPr>
        <w:t xml:space="preserve"> </w:t>
      </w:r>
      <w:r>
        <w:rPr>
          <w:rFonts w:ascii="inherit" w:hAnsi="inherit"/>
          <w:sz w:val="17"/>
        </w:rPr>
        <w:t>payment is considered defaulted. If more than one payment is delinquent at any time, the entire loan is considered defaulted.</w:t>
      </w:r>
    </w:p>
    <w:p>
      <w:pPr>
        <w:pStyle w:val="TextBody"/>
        <w:spacing w:lineRule="auto" w:line="288" w:before="0" w:after="0"/>
        <w:ind w:left="0" w:right="0" w:firstLine="360"/>
        <w:jc w:val="left"/>
        <w:rPr>
          <w:sz w:val="17"/>
        </w:rPr>
      </w:pPr>
      <w:r>
        <w:rPr>
          <w:rFonts w:ascii="inherit" w:hAnsi="inherit"/>
          <w:i/>
          <w:sz w:val="17"/>
        </w:rPr>
        <w:t xml:space="preserve">Allowance for Losses on Unsecured Consumer Loan Credit Services — </w:t>
      </w:r>
      <w:r>
        <w:rPr>
          <w:rFonts w:ascii="inherit" w:hAnsi="inherit"/>
          <w:sz w:val="17"/>
        </w:rPr>
        <w:t>We provide an allowance for losses we expect to incur under letters of credit for brokered unsecured loans that have not yet matured. The allowance is based on recent loan default experience adjusted for seasonal variations. It includes all amounts we expect to pay to the unaffiliated lenders upon loan default, including loan principal, accrued interest, insufficient funds fees and late fees, net of the amounts we expect to collect from borrowers (collectively, “Expected LOC Losses”). Changes in the allowance are charged to consumer loan bad debt. We include the balance of Expected LOC Losses in “Accounts payable and other accrued expenses” on our balance sheets. Based on the expected loss and collection percentages, we also provide an allowance for the unsecured loan credit service fees we expect not to collect, and charge changes in this allowance to consumer loan fee revenue.</w:t>
      </w:r>
    </w:p>
    <w:p>
      <w:pPr>
        <w:pStyle w:val="TextBody"/>
        <w:spacing w:lineRule="auto" w:line="288" w:before="0" w:after="0"/>
        <w:ind w:left="0" w:right="0" w:firstLine="360"/>
        <w:jc w:val="left"/>
        <w:rPr>
          <w:sz w:val="17"/>
        </w:rPr>
      </w:pPr>
      <w:r>
        <w:rPr>
          <w:rFonts w:ascii="inherit" w:hAnsi="inherit"/>
          <w:i/>
          <w:sz w:val="17"/>
        </w:rPr>
        <w:t xml:space="preserve">Unsecured Consumer Loan Bad Debt — </w:t>
      </w:r>
      <w:r>
        <w:rPr>
          <w:rFonts w:ascii="inherit" w:hAnsi="inherit"/>
          <w:sz w:val="17"/>
        </w:rPr>
        <w:t>We consider a single-payment loan defaulted if it has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w:t>
      </w:r>
    </w:p>
    <w:p>
      <w:pPr>
        <w:pStyle w:val="TextBody"/>
        <w:spacing w:lineRule="auto" w:line="288" w:before="0" w:after="0"/>
        <w:ind w:left="0" w:right="0" w:firstLine="360"/>
        <w:jc w:val="left"/>
        <w:rPr>
          <w:sz w:val="17"/>
        </w:rPr>
      </w:pPr>
      <w:r>
        <w:rPr>
          <w:rFonts w:ascii="inherit" w:hAnsi="inherit"/>
          <w:i/>
          <w:sz w:val="17"/>
        </w:rPr>
        <w:t xml:space="preserve">Unsecured Consumer Loan Allowance for Losses — </w:t>
      </w:r>
      <w:r>
        <w:rPr>
          <w:rFonts w:ascii="inherit" w:hAnsi="inherit"/>
          <w:sz w:val="17"/>
        </w:rPr>
        <w:t>We provide an allowance for losses on unsecured loans that have not yet matured and related fees receivable, based on recent loan default experience adjusted for seasonal variations. We charge any changes in the principal valuation allowance to consumer loan bad debt. We record changes in the fee receivable valuation allowance to consumer loan fee revenue.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360"/>
        <w:jc w:val="left"/>
        <w:rPr>
          <w:sz w:val="17"/>
        </w:rPr>
      </w:pPr>
      <w:r>
        <w:rPr>
          <w:rFonts w:ascii="inherit" w:hAnsi="inherit"/>
          <w:i/>
          <w:sz w:val="17"/>
        </w:rPr>
        <w:t xml:space="preserve">Long-Term Unsecured Consumer Loan Bad Debt — </w:t>
      </w:r>
      <w:r>
        <w:rPr>
          <w:rFonts w:ascii="inherit" w:hAnsi="inherit"/>
          <w:sz w:val="17"/>
        </w:rPr>
        <w:t xml:space="preserve">Consumer loans made by Crediamigo are considered in current status as long as the customer is employed and Crediamigo receives payments via payroll withholdings. Loans made to customers no longer employed are considered current if payments are made by the due date. If one payment of a loan is delinquent, that </w:t>
      </w:r>
      <w:r>
        <w:rPr>
          <w:rFonts w:ascii="inherit" w:hAnsi="inherit"/>
          <w:strike w:val="false"/>
          <w:dstrike w:val="false"/>
          <w:color w:val="000000"/>
          <w:sz w:val="17"/>
          <w:u w:val="none"/>
          <w:effect w:val="none"/>
        </w:rPr>
        <w:t>one</w:t>
      </w:r>
      <w:r>
        <w:rPr>
          <w:sz w:val="17"/>
        </w:rPr>
        <w:t xml:space="preserve"> </w:t>
      </w:r>
      <w:r>
        <w:rPr>
          <w:rFonts w:ascii="inherit" w:hAnsi="inherit"/>
          <w:sz w:val="17"/>
        </w:rPr>
        <w:t>payment is considered defaulted. If two or more payments are delinquent at any time, the entire loan is considered defaulted. Although defaulted loans may be collected later, Crediamigo charges the loan principal to consumer loan bad debt upon default, leaving only active loans in the reported balance. Collections of principal are recorded as a reduction of consumer loan bad debt when collected.</w:t>
      </w:r>
    </w:p>
    <w:p>
      <w:pPr>
        <w:pStyle w:val="TextBody"/>
        <w:spacing w:lineRule="auto" w:line="288" w:before="0" w:after="0"/>
        <w:ind w:left="0" w:right="0" w:firstLine="360"/>
        <w:jc w:val="left"/>
        <w:rPr>
          <w:sz w:val="17"/>
        </w:rPr>
      </w:pPr>
      <w:r>
        <w:rPr>
          <w:rFonts w:ascii="inherit" w:hAnsi="inherit"/>
          <w:i/>
          <w:sz w:val="17"/>
        </w:rPr>
        <w:t xml:space="preserve">Long-Term Unsecured Consumer Loan Allowance for Losses — </w:t>
      </w:r>
      <w:r>
        <w:rPr>
          <w:rFonts w:ascii="inherit" w:hAnsi="inherit"/>
          <w:sz w:val="17"/>
        </w:rPr>
        <w:t>Crediamigo provides an allowance for losses on consumer loans that have not yet matured and related fees receivable based on recent loan default experience. Changes in the principal valuation allowance are charged to consumer loan bad debt and changes in the interest receivable valuation allowance are charged to consumer loan fee revenue.</w:t>
      </w:r>
    </w:p>
    <w:p>
      <w:pPr>
        <w:pStyle w:val="TextBody"/>
        <w:spacing w:lineRule="auto" w:line="288" w:before="0" w:after="0"/>
        <w:ind w:left="0" w:right="0" w:firstLine="360"/>
        <w:jc w:val="left"/>
        <w:rPr>
          <w:sz w:val="17"/>
        </w:rPr>
      </w:pPr>
      <w:r>
        <w:rPr>
          <w:rFonts w:ascii="inherit" w:hAnsi="inherit"/>
          <w:i/>
          <w:sz w:val="17"/>
        </w:rPr>
        <w:t xml:space="preserve">Auto Title Loan Credit Services Bad Debt and Allowance for Losses — </w:t>
      </w:r>
      <w:r>
        <w:rPr>
          <w:rFonts w:ascii="inherit" w:hAnsi="inherit"/>
          <w:sz w:val="17"/>
        </w:rPr>
        <w:t>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w:t>
      </w:r>
    </w:p>
    <w:p>
      <w:pPr>
        <w:pStyle w:val="TextBody"/>
        <w:spacing w:lineRule="auto" w:line="288" w:before="0" w:after="0"/>
        <w:ind w:left="0" w:right="0" w:firstLine="360"/>
        <w:jc w:val="left"/>
        <w:rPr>
          <w:sz w:val="17"/>
        </w:rPr>
      </w:pPr>
      <w:r>
        <w:rPr>
          <w:rFonts w:ascii="inherit" w:hAnsi="inherit"/>
          <w:i/>
          <w:sz w:val="17"/>
        </w:rPr>
        <w:t xml:space="preserve">Auto Title Loan Bad Debt and Allowance for Losses — </w:t>
      </w:r>
      <w:r>
        <w:rPr>
          <w:rFonts w:ascii="inherit" w:hAnsi="inherit"/>
          <w:sz w:val="17"/>
        </w:rPr>
        <w:t>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consumer loan bad debt and charge uncollectable loans against this allowance. We record changes in the fee receivable valuation allowance to consumer loan fee revenue.</w:t>
      </w:r>
    </w:p>
    <w:p>
      <w:pPr>
        <w:pStyle w:val="TextBody"/>
        <w:spacing w:lineRule="auto" w:line="288" w:before="0" w:after="0"/>
        <w:jc w:val="left"/>
        <w:rPr>
          <w:rFonts w:ascii="inherit" w:hAnsi="inherit"/>
          <w:i/>
          <w:sz w:val="17"/>
        </w:rPr>
      </w:pPr>
      <w:r>
        <w:rPr>
          <w:rFonts w:ascii="inherit" w:hAnsi="inherit"/>
          <w:i/>
          <w:sz w:val="17"/>
        </w:rPr>
        <w:t>Inventory and Cost of Goods Sold</w:t>
      </w:r>
    </w:p>
    <w:p>
      <w:pPr>
        <w:pStyle w:val="TextBody"/>
        <w:spacing w:lineRule="auto" w:line="288" w:before="0" w:after="0"/>
        <w:jc w:val="left"/>
        <w:rPr>
          <w:rFonts w:ascii="inherit" w:hAnsi="inherit"/>
          <w:sz w:val="17"/>
        </w:rPr>
      </w:pPr>
      <w:r>
        <w:rPr>
          <w:rFonts w:ascii="inherit" w:hAnsi="inherit"/>
          <w:sz w:val="17"/>
        </w:rPr>
        <w:t>If a pawn loan is not redeemed, we record the forfeited collateral at cost (the principal amount of the pawn loan). We do not record loan loss allowances or charge-offs on the principal portion of pawn loans, as they are fully collateralized.</w:t>
      </w:r>
    </w:p>
    <w:p>
      <w:pPr>
        <w:pStyle w:val="TextBody"/>
        <w:spacing w:lineRule="auto" w:line="288" w:before="0" w:after="0"/>
        <w:jc w:val="left"/>
        <w:rPr>
          <w:rFonts w:ascii="inherit" w:hAnsi="inherit"/>
          <w:sz w:val="17"/>
        </w:rPr>
      </w:pPr>
      <w:r>
        <w:rPr>
          <w:rFonts w:ascii="inherit" w:hAnsi="inherit"/>
          <w:sz w:val="17"/>
        </w:rPr>
        <w:t>In order to state inventory at the lower of cost (specific identification) or market value, we record an allowance for excess, obsolete or slow moving inventory based on the type and age of merchandise. We include in cost of goods sold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pStyle w:val="TextBody"/>
        <w:spacing w:lineRule="auto" w:line="288" w:before="0" w:after="0"/>
        <w:jc w:val="left"/>
        <w:rPr>
          <w:rFonts w:ascii="inherit" w:hAnsi="inherit"/>
          <w:i/>
          <w:sz w:val="17"/>
        </w:rPr>
      </w:pPr>
      <w:r>
        <w:rPr>
          <w:rFonts w:ascii="inherit" w:hAnsi="inherit"/>
          <w:i/>
          <w:sz w:val="17"/>
        </w:rPr>
        <w:t>Intangible Assets</w:t>
      </w:r>
    </w:p>
    <w:p>
      <w:pPr>
        <w:pStyle w:val="TextBody"/>
        <w:spacing w:lineRule="auto" w:line="288" w:before="0" w:after="0"/>
        <w:jc w:val="left"/>
        <w:rPr>
          <w:sz w:val="17"/>
        </w:rPr>
      </w:pPr>
      <w:r>
        <w:rPr>
          <w:rFonts w:ascii="inherit" w:hAnsi="inherit"/>
          <w:sz w:val="17"/>
        </w:rPr>
        <w:t xml:space="preserve">Goodwill and other intangible assets having indefinite lives are not subject to amortization. In fiscal 2012 we early adopted the Financial Accounting Standards Board "FASB" issued Accounting Standards Update "ASU" 2012-02 </w:t>
      </w:r>
      <w:r>
        <w:rPr>
          <w:rFonts w:ascii="inherit" w:hAnsi="inherit"/>
          <w:i/>
          <w:sz w:val="17"/>
        </w:rPr>
        <w:t xml:space="preserve">Testing Indefinite-Lived Intangible Assets for Impairment </w:t>
      </w:r>
      <w:r>
        <w:rPr>
          <w:rFonts w:ascii="inherit" w:hAnsi="inherit"/>
          <w:sz w:val="17"/>
        </w:rPr>
        <w:t xml:space="preserve">and ASU 2011-08 </w:t>
      </w:r>
      <w:r>
        <w:rPr>
          <w:rFonts w:ascii="inherit" w:hAnsi="inherit"/>
          <w:i/>
          <w:sz w:val="17"/>
        </w:rPr>
        <w:t>Testing Goodwill for Impairment</w:t>
      </w:r>
      <w:r>
        <w:rPr>
          <w:rFonts w:ascii="inherit" w:hAnsi="inherit"/>
          <w:sz w:val="17"/>
        </w:rPr>
        <w:t>, which allows for a level of qualitative review for potential impairment of an indefinite lived asset. We review qualitative indicators annually on July 1st, or more frequently if necessary, to identify potential areas of risk for impairment. If there is an indicator that the fair market value of the segment has potentially dropped below the carrying value, then a full valuation of the segment is performed, using analyses of cash flows and other market valuation methods.  We amortize intangible assets with definite lives over their estimated useful lives using the straight-line method.</w:t>
      </w:r>
    </w:p>
    <w:p>
      <w:pPr>
        <w:pStyle w:val="TextBody"/>
        <w:spacing w:lineRule="auto" w:line="288" w:before="0" w:after="0"/>
        <w:jc w:val="left"/>
        <w:rPr>
          <w:rFonts w:ascii="inherit" w:hAnsi="inherit"/>
          <w:i/>
          <w:sz w:val="17"/>
        </w:rPr>
      </w:pPr>
      <w:r>
        <w:rPr>
          <w:rFonts w:ascii="inherit" w:hAnsi="inherit"/>
          <w:i/>
          <w:sz w:val="17"/>
        </w:rPr>
        <w:t xml:space="preserve">Valuation of Tangible Long-Lived Assets </w:t>
      </w:r>
    </w:p>
    <w:p>
      <w:pPr>
        <w:pStyle w:val="TextBody"/>
        <w:spacing w:lineRule="auto" w:line="288" w:before="0" w:after="0"/>
        <w:jc w:val="left"/>
        <w:rPr>
          <w:rFonts w:ascii="inherit" w:hAnsi="inherit"/>
          <w:sz w:val="17"/>
        </w:rPr>
      </w:pPr>
      <w:r>
        <w:rPr>
          <w:rFonts w:ascii="inherit" w:hAnsi="inherit"/>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and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 </w:t>
      </w:r>
    </w:p>
    <w:p>
      <w:pPr>
        <w:pStyle w:val="TextBody"/>
        <w:spacing w:lineRule="auto" w:line="288" w:before="0" w:after="0"/>
        <w:jc w:val="left"/>
        <w:rPr>
          <w:rFonts w:ascii="inherit" w:hAnsi="inherit"/>
          <w:i/>
          <w:sz w:val="17"/>
        </w:rPr>
      </w:pPr>
      <w:r>
        <w:rPr>
          <w:rFonts w:ascii="inherit" w:hAnsi="inherit"/>
          <w:i/>
          <w:sz w:val="17"/>
        </w:rPr>
        <w:t>Acquisitions</w:t>
      </w:r>
    </w:p>
    <w:p>
      <w:pPr>
        <w:pStyle w:val="TextBody"/>
        <w:spacing w:lineRule="auto" w:line="288" w:before="0" w:after="0"/>
        <w:jc w:val="left"/>
        <w:rPr>
          <w:rFonts w:ascii="inherit" w:hAnsi="inherit"/>
          <w:sz w:val="17"/>
        </w:rPr>
      </w:pPr>
      <w:r>
        <w:rPr>
          <w:rFonts w:ascii="inherit" w:hAnsi="inherit"/>
          <w:sz w:val="17"/>
        </w:rPr>
        <w:t xml:space="preserve">We adopted Financial Accounting Standards Board (“FASB”) Accounting Standards Codification (“ASC”) 805-10-65 (Business Combinations — Revised) on October 1, 2009, and have applied it prospectively to all business acquisitions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completed since that date. In accordance with FASB ASC 805-10-65, we allocate the total acquisition price to the fair value of assets and liabilities acquired and immediately expense transaction costs that would have been included in the purchase price allocation under previous accounting standards.</w:t>
      </w:r>
    </w:p>
    <w:p>
      <w:pPr>
        <w:pStyle w:val="TextBody"/>
        <w:spacing w:lineRule="auto" w:line="288" w:before="0" w:after="0"/>
        <w:jc w:val="left"/>
        <w:rPr>
          <w:rFonts w:ascii="inherit" w:hAnsi="inherit"/>
          <w:i/>
          <w:sz w:val="17"/>
        </w:rPr>
      </w:pPr>
      <w:r>
        <w:rPr>
          <w:rFonts w:ascii="inherit" w:hAnsi="inherit"/>
          <w:i/>
          <w:sz w:val="17"/>
        </w:rPr>
        <w:t>Foreign Currency Translation</w:t>
      </w:r>
    </w:p>
    <w:p>
      <w:pPr>
        <w:pStyle w:val="TextBody"/>
        <w:spacing w:lineRule="auto" w:line="288" w:before="0" w:after="0"/>
        <w:jc w:val="left"/>
        <w:rPr>
          <w:rFonts w:ascii="inherit" w:hAnsi="inherit"/>
          <w:sz w:val="17"/>
        </w:rPr>
      </w:pPr>
      <w:r>
        <w:rPr>
          <w:rFonts w:ascii="inherit" w:hAnsi="inherit"/>
          <w:sz w:val="17"/>
        </w:rPr>
        <w:t>Our equity investments in Albemarle &amp; Bond and Cash Converters International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Empeño Fácil, our wholly-owned subsidiary, and Crediamigo, our 60% owned subsidiary, is the Mexican peso. The functional currency of our wholly-owned foreign subsidiary in Canada is the Canadian dollar, and the functional currency of Cash Genie, our 95% owned subsidiary, is the British Pound. Our foreign subsidiaries'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as a separate component of stockholders’ equity. Foreign currency transaction gains and losses have not been significant, and are reported as “Other” (income) or expense in our statements of operations.</w:t>
      </w:r>
    </w:p>
    <w:p>
      <w:pPr>
        <w:pStyle w:val="TextBody"/>
        <w:spacing w:lineRule="auto" w:line="288" w:before="0" w:after="0"/>
        <w:jc w:val="left"/>
        <w:rPr>
          <w:rFonts w:ascii="inherit" w:hAnsi="inherit"/>
          <w:i/>
          <w:sz w:val="17"/>
        </w:rPr>
      </w:pPr>
      <w:r>
        <w:rPr>
          <w:rFonts w:ascii="inherit" w:hAnsi="inherit"/>
          <w:i/>
          <w:sz w:val="17"/>
        </w:rPr>
        <w:t>Income Taxes</w:t>
      </w:r>
    </w:p>
    <w:p>
      <w:pPr>
        <w:pStyle w:val="TextBody"/>
        <w:spacing w:lineRule="auto" w:line="288" w:before="0" w:after="0"/>
        <w:jc w:val="left"/>
        <w:rPr>
          <w:rFonts w:ascii="inherit" w:hAnsi="inherit"/>
          <w:sz w:val="17"/>
        </w:rPr>
      </w:pPr>
      <w:r>
        <w:rPr>
          <w:rFonts w:ascii="inherit" w:hAnsi="inherit"/>
          <w:sz w:val="17"/>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pStyle w:val="TextBody"/>
        <w:spacing w:lineRule="auto" w:line="288" w:before="0" w:after="0"/>
        <w:jc w:val="left"/>
        <w:rPr>
          <w:rFonts w:ascii="inherit" w:hAnsi="inherit"/>
          <w:sz w:val="17"/>
        </w:rPr>
      </w:pPr>
      <w:r>
        <w:rPr>
          <w:rFonts w:ascii="inherit" w:hAnsi="inherit"/>
          <w:sz w:val="17"/>
        </w:rPr>
        <w:t xml:space="preserve">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 </w:t>
      </w:r>
    </w:p>
    <w:p>
      <w:pPr>
        <w:pStyle w:val="TextBody"/>
        <w:spacing w:lineRule="auto" w:line="288" w:before="0" w:after="0"/>
        <w:jc w:val="left"/>
        <w:rPr>
          <w:rFonts w:ascii="inherit" w:hAnsi="inherit"/>
          <w:i/>
          <w:sz w:val="17"/>
        </w:rPr>
      </w:pPr>
      <w:r>
        <w:rPr>
          <w:rFonts w:ascii="inherit" w:hAnsi="inherit"/>
          <w:i/>
          <w:sz w:val="17"/>
        </w:rPr>
        <w:t>Stock Compensation</w:t>
      </w:r>
    </w:p>
    <w:p>
      <w:pPr>
        <w:pStyle w:val="TextBody"/>
        <w:spacing w:lineRule="auto" w:line="288" w:before="0" w:after="0"/>
        <w:jc w:val="left"/>
        <w:rPr>
          <w:rFonts w:ascii="inherit" w:hAnsi="inherit"/>
          <w:sz w:val="17"/>
        </w:rPr>
      </w:pPr>
      <w:r>
        <w:rPr>
          <w:rFonts w:ascii="inherit" w:hAnsi="inherit"/>
          <w:sz w:val="17"/>
        </w:rPr>
        <w:t>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we grant options, our policy is to estimate the grant-date fair value of options using the Black-Scholes-Merton option-pricing model and amortize that fair value to compensation expense on a ratable basis over the options’ vesting periods.</w:t>
      </w:r>
    </w:p>
    <w:p>
      <w:pPr>
        <w:pStyle w:val="TextBody"/>
        <w:spacing w:lineRule="auto" w:line="288" w:before="0" w:after="0"/>
        <w:rPr>
          <w:rFonts w:ascii="inherit" w:hAnsi="inherit"/>
          <w:i/>
          <w:sz w:val="17"/>
        </w:rPr>
      </w:pPr>
      <w:r>
        <w:rPr>
          <w:rFonts w:ascii="inherit" w:hAnsi="inherit"/>
          <w:i/>
          <w:sz w:val="17"/>
        </w:rPr>
        <w:t>Recently Issued Accounting Pronouncements</w:t>
      </w:r>
    </w:p>
    <w:p>
      <w:pPr>
        <w:pStyle w:val="TextBody"/>
        <w:spacing w:lineRule="auto" w:line="288" w:before="0" w:after="0"/>
        <w:jc w:val="left"/>
        <w:rPr>
          <w:rFonts w:ascii="inherit" w:hAnsi="inherit"/>
          <w:sz w:val="17"/>
        </w:rPr>
      </w:pPr>
      <w:r>
        <w:rPr>
          <w:rFonts w:ascii="inherit" w:hAnsi="inherit"/>
          <w:sz w:val="17"/>
        </w:rPr>
        <w:t>See Note 1, “Organization and Summary of Significant Accounting Policies,” in “Part II — Item 8 — Financial Statements and Supplementary Data” for a discussion of recent accounting pronouncements.</w:t>
      </w:r>
    </w:p>
    <w:p>
      <w:pPr>
        <w:pStyle w:val="TextBody"/>
        <w:spacing w:lineRule="auto" w:line="288" w:before="0" w:after="0"/>
        <w:jc w:val="left"/>
        <w:rPr>
          <w:rFonts w:ascii="inherit" w:hAnsi="inherit"/>
          <w:b/>
          <w:sz w:val="17"/>
        </w:rPr>
      </w:pPr>
      <w:bookmarkStart w:id="40" w:name="s41F3426983177C7E3BDB0F13C8EECC2A"/>
      <w:bookmarkEnd w:id="40"/>
      <w:r>
        <w:rPr>
          <w:rFonts w:ascii="inherit" w:hAnsi="inherit"/>
          <w:b/>
          <w:sz w:val="17"/>
        </w:rPr>
        <w:t>Results of Operations</w:t>
      </w:r>
    </w:p>
    <w:p>
      <w:pPr>
        <w:pStyle w:val="TextBody"/>
        <w:spacing w:lineRule="auto" w:line="288" w:before="0" w:after="0"/>
        <w:jc w:val="left"/>
        <w:rPr>
          <w:sz w:val="17"/>
        </w:rPr>
      </w:pPr>
      <w:r>
        <w:rPr>
          <w:rFonts w:ascii="inherit" w:hAnsi="inherit"/>
          <w:i/>
          <w:sz w:val="17"/>
        </w:rPr>
        <w:t xml:space="preserve">Fiscal </w:t>
      </w:r>
      <w:r>
        <w:rPr>
          <w:rFonts w:ascii="inherit" w:hAnsi="inherit"/>
          <w:i/>
          <w:strike w:val="false"/>
          <w:dstrike w:val="false"/>
          <w:color w:val="000000"/>
          <w:sz w:val="17"/>
          <w:u w:val="none"/>
          <w:effect w:val="none"/>
        </w:rPr>
        <w:t>2012</w:t>
      </w:r>
      <w:r>
        <w:rPr>
          <w:sz w:val="17"/>
        </w:rPr>
        <w:t xml:space="preserve"> </w:t>
      </w:r>
      <w:r>
        <w:rPr>
          <w:rFonts w:ascii="inherit" w:hAnsi="inherit"/>
          <w:i/>
          <w:sz w:val="17"/>
        </w:rPr>
        <w:t xml:space="preserve">Compared to Fiscal </w:t>
      </w:r>
      <w:r>
        <w:rPr>
          <w:rFonts w:ascii="inherit" w:hAnsi="inherit"/>
          <w:i/>
          <w:strike w:val="false"/>
          <w:dstrike w:val="false"/>
          <w:color w:val="000000"/>
          <w:sz w:val="17"/>
          <w:u w:val="none"/>
          <w:effect w:val="none"/>
        </w:rPr>
        <w:t>2011</w:t>
      </w:r>
      <w:r>
        <w:rPr>
          <w:sz w:val="17"/>
        </w:rPr>
        <w:t xml:space="preserve"> </w:t>
      </w:r>
    </w:p>
    <w:p>
      <w:pPr>
        <w:pStyle w:val="TextBody"/>
        <w:spacing w:lineRule="auto" w:line="288" w:before="0" w:after="0"/>
        <w:jc w:val="left"/>
        <w:rPr>
          <w:sz w:val="17"/>
        </w:rPr>
      </w:pPr>
      <w:r>
        <w:rPr>
          <w:rFonts w:ascii="inherit" w:hAnsi="inherit"/>
          <w:sz w:val="17"/>
        </w:rPr>
        <w:t xml:space="preserve">The following discussion compares our results of operations for the year ended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to the year ended </w:t>
      </w:r>
      <w:r>
        <w:rPr>
          <w:rFonts w:ascii="inherit" w:hAnsi="inherit"/>
          <w:strike w:val="false"/>
          <w:dstrike w:val="false"/>
          <w:color w:val="000000"/>
          <w:sz w:val="17"/>
          <w:u w:val="none"/>
          <w:effect w:val="none"/>
        </w:rPr>
        <w:t>September 30, 2011</w:t>
      </w:r>
      <w:r>
        <w:rPr>
          <w:rFonts w:ascii="inherit" w:hAnsi="inherit"/>
          <w:sz w:val="17"/>
        </w:rPr>
        <w:t>. It should be read with the accompanying consolidated financial statements and related notes.</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2012</w:t>
      </w:r>
      <w:r>
        <w:rPr>
          <w:rFonts w:ascii="inherit" w:hAnsi="inherit"/>
          <w:sz w:val="17"/>
        </w:rPr>
        <w:t xml:space="preserve">, consolidated total revenues increased </w:t>
      </w:r>
      <w:r>
        <w:rPr>
          <w:rFonts w:ascii="inherit" w:hAnsi="inherit"/>
          <w:strike w:val="false"/>
          <w:dstrike w:val="false"/>
          <w:color w:val="000000"/>
          <w:sz w:val="17"/>
          <w:u w:val="none"/>
          <w:effect w:val="none"/>
        </w:rPr>
        <w:t>14%</w:t>
      </w:r>
      <w:r>
        <w:rPr>
          <w:rFonts w:ascii="inherit" w:hAnsi="inherit"/>
          <w:sz w:val="17"/>
        </w:rPr>
        <w:t>, or $</w:t>
      </w:r>
      <w:r>
        <w:rPr>
          <w:rFonts w:ascii="inherit" w:hAnsi="inherit"/>
          <w:strike w:val="false"/>
          <w:dstrike w:val="false"/>
          <w:color w:val="000000"/>
          <w:sz w:val="17"/>
          <w:u w:val="none"/>
          <w:effect w:val="none"/>
        </w:rPr>
        <w:t>122.3 million</w:t>
      </w:r>
      <w:r>
        <w:rPr>
          <w:rFonts w:ascii="inherit" w:hAnsi="inherit"/>
          <w:sz w:val="17"/>
        </w:rPr>
        <w:t>, to $</w:t>
      </w:r>
      <w:r>
        <w:rPr>
          <w:rFonts w:ascii="inherit" w:hAnsi="inherit"/>
          <w:strike w:val="false"/>
          <w:dstrike w:val="false"/>
          <w:color w:val="000000"/>
          <w:sz w:val="17"/>
          <w:u w:val="none"/>
          <w:effect w:val="none"/>
        </w:rPr>
        <w:t>975.1 million</w:t>
      </w:r>
      <w:r>
        <w:rPr>
          <w:rFonts w:ascii="inherit" w:hAnsi="inherit"/>
          <w:sz w:val="17"/>
        </w:rPr>
        <w:t xml:space="preserve">, compared to the prior year. Same store total revenues decreased $15.7 million, or 2%, and new and acquired stores contributed $138.0 million. Excluding the one-time $10.9 million charge related to the retirement of our former Chief Executive Officer, income from continuing operations before taxes increased 13% to </w:t>
      </w:r>
      <w:r>
        <w:rPr>
          <w:rFonts w:ascii="inherit" w:hAnsi="inherit"/>
          <w:strike w:val="false"/>
          <w:dstrike w:val="false"/>
          <w:color w:val="000000"/>
          <w:sz w:val="17"/>
          <w:u w:val="none"/>
          <w:effect w:val="none"/>
        </w:rPr>
        <w:t>$226.4 million</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$201.2 million</w:t>
      </w:r>
      <w:r>
        <w:rPr>
          <w:sz w:val="17"/>
        </w:rPr>
        <w:t xml:space="preserve"> </w:t>
      </w:r>
      <w:r>
        <w:rPr>
          <w:rFonts w:ascii="inherit" w:hAnsi="inherit"/>
          <w:sz w:val="17"/>
        </w:rPr>
        <w:t xml:space="preserve">in the prior year. Loss from discontinued operations increased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$4.5 million</w:t>
      </w:r>
      <w:r>
        <w:rPr>
          <w:rFonts w:ascii="inherit" w:hAnsi="inherit"/>
          <w:sz w:val="17"/>
        </w:rPr>
        <w:t xml:space="preserve">. Including the charge related to the retirement of our former Chief Executive Officer and after the increase in income tax expense and the </w:t>
      </w:r>
      <w:r>
        <w:rPr>
          <w:rFonts w:ascii="inherit" w:hAnsi="inherit"/>
          <w:strike w:val="false"/>
          <w:dstrike w:val="false"/>
          <w:color w:val="000000"/>
          <w:sz w:val="17"/>
          <w:u w:val="none"/>
          <w:effect w:val="none"/>
        </w:rPr>
        <w:t>$6.9 million</w:t>
      </w:r>
      <w:r>
        <w:rPr>
          <w:sz w:val="17"/>
        </w:rPr>
        <w:t xml:space="preserve"> </w:t>
      </w:r>
      <w:r>
        <w:rPr>
          <w:rFonts w:ascii="inherit" w:hAnsi="inherit"/>
          <w:sz w:val="17"/>
        </w:rPr>
        <w:t xml:space="preserve">of net income attributable to noncontrolling interest, net income attributable to EZCORP, Inc. increased </w:t>
      </w:r>
      <w:r>
        <w:rPr>
          <w:rFonts w:ascii="inherit" w:hAnsi="inherit"/>
          <w:strike w:val="false"/>
          <w:dstrike w:val="false"/>
          <w:color w:val="000000"/>
          <w:sz w:val="17"/>
          <w:u w:val="none"/>
          <w:effect w:val="none"/>
        </w:rPr>
        <w:t>$21.5 million</w:t>
      </w:r>
      <w:r>
        <w:rPr>
          <w:rFonts w:ascii="inherit" w:hAnsi="inherit"/>
          <w:sz w:val="17"/>
        </w:rPr>
        <w:t xml:space="preserve">, or </w:t>
      </w:r>
      <w:r>
        <w:rPr>
          <w:rFonts w:ascii="inherit" w:hAnsi="inherit"/>
          <w:strike w:val="false"/>
          <w:dstrike w:val="false"/>
          <w:color w:val="000000"/>
          <w:sz w:val="17"/>
          <w:u w:val="none"/>
          <w:effect w:val="none"/>
        </w:rPr>
        <w:t>18%</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U.S. &amp; Canada segment:</w:t>
      </w:r>
    </w:p>
    <w:tbl>
      <w:tblPr>
        <w:tblW w:w="10205" w:type="dxa"/>
        <w:jc w:val="left"/>
        <w:tblInd w:w="0" w:type="dxa"/>
        <w:tblCellMar>
          <w:top w:w="0" w:type="dxa"/>
          <w:left w:w="0" w:type="dxa"/>
          <w:bottom w:w="0" w:type="dxa"/>
          <w:right w:w="0" w:type="dxa"/>
        </w:tblCellMar>
      </w:tblPr>
      <w:tblGrid>
        <w:gridCol w:w="5805"/>
        <w:gridCol w:w="181"/>
        <w:gridCol w:w="1438"/>
        <w:gridCol w:w="250"/>
        <w:gridCol w:w="149"/>
        <w:gridCol w:w="181"/>
        <w:gridCol w:w="1438"/>
        <w:gridCol w:w="76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8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ind w:left="0" w:right="0" w:firstLine="660"/>
              <w:rPr>
                <w:sz w:val="4"/>
                <w:szCs w:val="4"/>
              </w:rPr>
            </w:pPr>
            <w:r>
              <w:rPr>
                <w:sz w:val="4"/>
                <w:szCs w:val="4"/>
              </w:rPr>
            </w:r>
          </w:p>
        </w:tc>
      </w:tr>
      <w:tr>
        <w:trPr/>
        <w:tc>
          <w:tcPr>
            <w:tcW w:w="5805" w:type="dxa"/>
            <w:tcBorders/>
            <w:shd w:fill="auto" w:val="clear"/>
            <w:vAlign w:val="center"/>
          </w:tcPr>
          <w:p>
            <w:pPr>
              <w:pStyle w:val="TableContents"/>
              <w:spacing w:before="0" w:after="0"/>
              <w:ind w:left="0" w:right="0" w:firstLine="30"/>
              <w:jc w:val="left"/>
              <w:rPr/>
            </w:pPr>
            <w:r>
              <w:rPr/>
              <w:t> </w:t>
            </w:r>
          </w:p>
        </w:tc>
        <w:tc>
          <w:tcPr>
            <w:tcW w:w="44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05" w:type="dxa"/>
            <w:tcBorders/>
            <w:shd w:fill="auto" w:val="clear"/>
            <w:vAlign w:val="center"/>
          </w:tcPr>
          <w:p>
            <w:pPr>
              <w:pStyle w:val="TableContents"/>
              <w:spacing w:before="0" w:after="0"/>
              <w:ind w:left="0" w:right="0" w:firstLine="30"/>
              <w:jc w:val="left"/>
              <w:rPr/>
            </w:pPr>
            <w:r>
              <w:rPr/>
              <w:t> </w:t>
            </w:r>
          </w:p>
        </w:tc>
        <w:tc>
          <w:tcPr>
            <w:tcW w:w="18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805" w:type="dxa"/>
            <w:tcBorders/>
            <w:shd w:fill="auto" w:val="clear"/>
            <w:vAlign w:val="center"/>
          </w:tcPr>
          <w:p>
            <w:pPr>
              <w:pStyle w:val="TableContents"/>
              <w:spacing w:before="0" w:after="0"/>
              <w:ind w:left="0" w:right="0" w:firstLine="30"/>
              <w:jc w:val="left"/>
              <w:rPr/>
            </w:pPr>
            <w:r>
              <w:rPr/>
              <w:t> </w:t>
            </w:r>
          </w:p>
        </w:tc>
        <w:tc>
          <w:tcPr>
            <w:tcW w:w="440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69"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382" w:type="dxa"/>
            <w:gridSpan w:val="3"/>
            <w:tcBorders/>
            <w:shd w:fill="CCEEFF" w:val="clear"/>
            <w:vAlign w:val="center"/>
          </w:tcPr>
          <w:p>
            <w:pPr>
              <w:pStyle w:val="TableContents"/>
              <w:spacing w:before="0" w:after="0"/>
              <w:ind w:left="0" w:right="0" w:firstLine="180"/>
              <w:rPr/>
            </w:pPr>
            <w:r>
              <w:rPr/>
              <w:t> </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291,497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256,694</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191,905</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195,920</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210,601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184,204</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163,896</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164,895</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3,759</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1,484</w:t>
            </w:r>
          </w:p>
        </w:tc>
        <w:tc>
          <w:tcPr>
            <w:tcW w:w="763"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6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861,658</w:t>
            </w:r>
          </w:p>
        </w:tc>
        <w:tc>
          <w:tcPr>
            <w:tcW w:w="2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803,197</w:t>
            </w:r>
          </w:p>
        </w:tc>
        <w:tc>
          <w:tcPr>
            <w:tcW w:w="763"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168,133</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147,297</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122,604</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121,051</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35,398</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36,791</w:t>
            </w:r>
          </w:p>
        </w:tc>
        <w:tc>
          <w:tcPr>
            <w:tcW w:w="763"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535,523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498,058</w:t>
            </w:r>
          </w:p>
        </w:tc>
        <w:tc>
          <w:tcPr>
            <w:tcW w:w="7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869"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shd w:fill="auto" w:val="clear"/>
            <w:vAlign w:val="center"/>
          </w:tcPr>
          <w:p>
            <w:pPr>
              <w:pStyle w:val="TableContents"/>
              <w:spacing w:before="0" w:after="0"/>
              <w:ind w:left="0" w:right="0" w:firstLine="180"/>
              <w:rPr/>
            </w:pPr>
            <w:r>
              <w:rPr/>
              <w:t> </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292,371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260,340</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13,058</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10,858</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452</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281</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 net</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(647</w:t>
            </w:r>
          </w:p>
        </w:tc>
        <w:tc>
          <w:tcPr>
            <w:tcW w:w="2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763" w:type="dxa"/>
            <w:tcBorders>
              <w:bottom w:val="single" w:sz="2" w:space="0" w:color="000000"/>
            </w:tcBorders>
            <w:shd w:fill="auto"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230,484</w:t>
            </w:r>
          </w:p>
        </w:tc>
        <w:tc>
          <w:tcPr>
            <w:tcW w:w="2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226,100</w:t>
            </w:r>
          </w:p>
        </w:tc>
        <w:tc>
          <w:tcPr>
            <w:tcW w:w="76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69" w:type="dxa"/>
            <w:gridSpan w:val="3"/>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shd w:fill="auto" w:val="clear"/>
            <w:vAlign w:val="center"/>
          </w:tcPr>
          <w:p>
            <w:pPr>
              <w:pStyle w:val="TableContents"/>
              <w:spacing w:before="0" w:after="0"/>
              <w:ind w:left="0" w:right="0" w:firstLine="300"/>
              <w:jc w:val="left"/>
              <w:rPr/>
            </w:pPr>
            <w:r>
              <w:rPr/>
              <w:t> </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42.6</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40.7</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295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311</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6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2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6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763"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rPr>
                <w:sz w:val="4"/>
                <w:szCs w:val="4"/>
              </w:rPr>
            </w:pPr>
            <w:r>
              <w:rPr>
                <w:sz w:val="4"/>
                <w:szCs w:val="4"/>
              </w:rPr>
            </w:r>
          </w:p>
        </w:tc>
        <w:tc>
          <w:tcPr>
            <w:tcW w:w="9836" w:type="dxa"/>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vAlign w:val="center"/>
          </w:tcPr>
          <w:p>
            <w:pPr>
              <w:pStyle w:val="TableContents"/>
              <w:spacing w:lineRule="auto" w:line="288" w:before="0" w:after="0"/>
              <w:ind w:left="0" w:right="0" w:firstLine="135"/>
              <w:rPr>
                <w:rFonts w:ascii="inherit" w:hAnsi="inherit"/>
                <w:sz w:val="15"/>
              </w:rPr>
            </w:pPr>
            <w:r>
              <w:rPr>
                <w:rFonts w:ascii="inherit" w:hAnsi="inherit"/>
                <w:sz w:val="15"/>
              </w:rPr>
              <w:t>(a)</w:t>
            </w:r>
          </w:p>
        </w:tc>
        <w:tc>
          <w:tcPr>
            <w:tcW w:w="9836" w:type="dxa"/>
            <w:tcBorders/>
            <w:shd w:fill="auto" w:val="clear"/>
            <w:vAlign w:val="center"/>
          </w:tcPr>
          <w:p>
            <w:pPr>
              <w:pStyle w:val="TableContents"/>
              <w:spacing w:lineRule="auto" w:line="288" w:before="0" w:after="0"/>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jc w:val="left"/>
        <w:rPr>
          <w:sz w:val="17"/>
        </w:rPr>
      </w:pPr>
      <w:r>
        <w:rPr>
          <w:rFonts w:ascii="inherit" w:hAnsi="inherit"/>
          <w:sz w:val="17"/>
        </w:rPr>
        <w:t>The U.S. &amp; Canada segment total revenues increased $</w:t>
      </w:r>
      <w:r>
        <w:rPr>
          <w:rFonts w:ascii="inherit" w:hAnsi="inherit"/>
          <w:strike w:val="false"/>
          <w:dstrike w:val="false"/>
          <w:color w:val="000000"/>
          <w:sz w:val="17"/>
          <w:u w:val="none"/>
          <w:effect w:val="none"/>
        </w:rPr>
        <w:t>58.5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from the prior year to $</w:t>
      </w:r>
      <w:r>
        <w:rPr>
          <w:rFonts w:ascii="inherit" w:hAnsi="inherit"/>
          <w:strike w:val="false"/>
          <w:dstrike w:val="false"/>
          <w:color w:val="000000"/>
          <w:sz w:val="17"/>
          <w:u w:val="none"/>
          <w:effect w:val="none"/>
        </w:rPr>
        <w:t>861.7 million</w:t>
      </w:r>
      <w:r>
        <w:rPr>
          <w:rFonts w:ascii="inherit" w:hAnsi="inherit"/>
          <w:sz w:val="17"/>
        </w:rPr>
        <w:t>. Same store total revenues decreased $21.9 million, or 3%, and new and acquired stores net of closed stores increased $80.4 million. The overall increase in total revenues consisted of a $30.8 million increase in merchandise and jewelry scrapping sales, a $</w:t>
      </w:r>
      <w:r>
        <w:rPr>
          <w:rFonts w:ascii="inherit" w:hAnsi="inherit"/>
          <w:strike w:val="false"/>
          <w:dstrike w:val="false"/>
          <w:color w:val="000000"/>
          <w:sz w:val="17"/>
          <w:u w:val="none"/>
          <w:effect w:val="none"/>
        </w:rPr>
        <w:t>26.4 million</w:t>
      </w:r>
      <w:r>
        <w:rPr>
          <w:sz w:val="17"/>
        </w:rPr>
        <w:t xml:space="preserve"> </w:t>
      </w:r>
      <w:r>
        <w:rPr>
          <w:rFonts w:ascii="inherit" w:hAnsi="inherit"/>
          <w:sz w:val="17"/>
        </w:rPr>
        <w:t xml:space="preserve">increase in pawn service charges and a $1.3 million increase in loan fees and other revenues. In fiscal </w:t>
      </w:r>
      <w:r>
        <w:rPr>
          <w:rFonts w:ascii="inherit" w:hAnsi="inherit"/>
          <w:strike w:val="false"/>
          <w:dstrike w:val="false"/>
          <w:color w:val="000000"/>
          <w:sz w:val="17"/>
          <w:u w:val="none"/>
          <w:effect w:val="none"/>
        </w:rPr>
        <w:t>2012</w:t>
      </w:r>
      <w:r>
        <w:rPr>
          <w:rFonts w:ascii="inherit" w:hAnsi="inherit"/>
          <w:sz w:val="17"/>
        </w:rPr>
        <w:t xml:space="preserve">, we acquired 28 U.S. pawn stores, seven U.S. buy/sell stores, 15 financial services stores in the U.S. and one buy/sell store in Canada for an aggregate of $78.2 million. As part of these acquisitions, we began operations in the states of Pennsylvania, Virginia, Hawaii and Minnesota, bringing the total number of states in which we operate at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to 24.</w:t>
      </w:r>
    </w:p>
    <w:p>
      <w:pPr>
        <w:pStyle w:val="TextBody"/>
        <w:spacing w:lineRule="auto" w:line="288" w:before="0" w:after="0"/>
        <w:jc w:val="left"/>
        <w:rPr>
          <w:sz w:val="17"/>
        </w:rPr>
      </w:pPr>
      <w:r>
        <w:rPr>
          <w:rFonts w:ascii="inherit" w:hAnsi="inherit"/>
          <w:sz w:val="17"/>
        </w:rPr>
        <w:t xml:space="preserve">Fiscal 2012 pawn service charge revenue increased </w:t>
      </w:r>
      <w:r>
        <w:rPr>
          <w:rFonts w:ascii="inherit" w:hAnsi="inherit"/>
          <w:strike w:val="false"/>
          <w:dstrike w:val="false"/>
          <w:color w:val="000000"/>
          <w:sz w:val="17"/>
          <w:u w:val="none"/>
          <w:effect w:val="none"/>
        </w:rPr>
        <w:t>14%</w:t>
      </w:r>
      <w:r>
        <w:rPr>
          <w:rFonts w:ascii="inherit" w:hAnsi="inherit"/>
          <w:sz w:val="17"/>
        </w:rPr>
        <w:t>, or $</w:t>
      </w:r>
      <w:r>
        <w:rPr>
          <w:rFonts w:ascii="inherit" w:hAnsi="inherit"/>
          <w:strike w:val="false"/>
          <w:dstrike w:val="false"/>
          <w:color w:val="000000"/>
          <w:sz w:val="17"/>
          <w:u w:val="none"/>
          <w:effect w:val="none"/>
        </w:rPr>
        <w:t>26.4 million</w:t>
      </w:r>
      <w:r>
        <w:rPr>
          <w:rFonts w:ascii="inherit" w:hAnsi="inherit"/>
          <w:sz w:val="17"/>
        </w:rPr>
        <w:t>, from the prior year to $</w:t>
      </w:r>
      <w:r>
        <w:rPr>
          <w:rFonts w:ascii="inherit" w:hAnsi="inherit"/>
          <w:strike w:val="false"/>
          <w:dstrike w:val="false"/>
          <w:color w:val="000000"/>
          <w:sz w:val="17"/>
          <w:u w:val="none"/>
          <w:effect w:val="none"/>
        </w:rPr>
        <w:t>210.6 million</w:t>
      </w:r>
      <w:r>
        <w:rPr>
          <w:rFonts w:ascii="inherit" w:hAnsi="inherit"/>
          <w:sz w:val="17"/>
        </w:rPr>
        <w:t xml:space="preserve">. Same store pawn service charges increased $12.2 million, or 7%, with new and acquired stores net of closed stores contributing $14.2 million. The same store improvement was due to a higher average same store pawn loan balance coupled with higher yield. The yield improved primarily due to a slightly higher loan redemption rate as we continued to focus on loan values and better qualifying customers to determine those that prefer to sell their merchandise rather than use it as collateral for a loan.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Fiscal 2012 merchandise sales gross profit increased </w:t>
      </w:r>
      <w:r>
        <w:rPr>
          <w:rFonts w:ascii="inherit" w:hAnsi="inherit"/>
          <w:strike w:val="false"/>
          <w:dstrike w:val="false"/>
          <w:color w:val="000000"/>
          <w:sz w:val="17"/>
          <w:u w:val="none"/>
          <w:effect w:val="none"/>
        </w:rPr>
        <w:t>$14.0 million</w:t>
      </w:r>
      <w:r>
        <w:rPr>
          <w:rFonts w:ascii="inherit" w:hAnsi="inherit"/>
          <w:sz w:val="17"/>
        </w:rPr>
        <w:t xml:space="preserve">, or </w:t>
      </w:r>
      <w:r>
        <w:rPr>
          <w:rFonts w:ascii="inherit" w:hAnsi="inherit"/>
          <w:strike w:val="false"/>
          <w:dstrike w:val="false"/>
          <w:color w:val="000000"/>
          <w:sz w:val="17"/>
          <w:u w:val="none"/>
          <w:effect w:val="none"/>
        </w:rPr>
        <w:t>13%</w:t>
      </w:r>
      <w:r>
        <w:rPr>
          <w:rFonts w:ascii="inherit" w:hAnsi="inherit"/>
          <w:sz w:val="17"/>
        </w:rPr>
        <w:t xml:space="preserve">, from the prior year to </w:t>
      </w:r>
      <w:r>
        <w:rPr>
          <w:rFonts w:ascii="inherit" w:hAnsi="inherit"/>
          <w:strike w:val="false"/>
          <w:dstrike w:val="false"/>
          <w:color w:val="000000"/>
          <w:sz w:val="17"/>
          <w:u w:val="none"/>
          <w:effect w:val="none"/>
        </w:rPr>
        <w:t>$123.4 million</w:t>
      </w:r>
      <w:r>
        <w:rPr>
          <w:rFonts w:ascii="inherit" w:hAnsi="inherit"/>
          <w:sz w:val="17"/>
        </w:rPr>
        <w:t xml:space="preserve">. This was due to a $34.9 million increase in sales from new and acquired stores net of closed stores, partially offset by a $0.1 million decrease in same store sales and a 0.3 percentage point decrease in gross margins. The decrease in gross margins was due to a shift in sales mix from jewelry to general merchandise. </w:t>
      </w:r>
    </w:p>
    <w:p>
      <w:pPr>
        <w:pStyle w:val="TextBody"/>
        <w:spacing w:lineRule="auto" w:line="288" w:before="0" w:after="0"/>
        <w:jc w:val="left"/>
        <w:rPr>
          <w:sz w:val="17"/>
        </w:rPr>
      </w:pPr>
      <w:r>
        <w:rPr>
          <w:rFonts w:ascii="inherit" w:hAnsi="inherit"/>
          <w:sz w:val="17"/>
        </w:rPr>
        <w:t xml:space="preserve">Gross profit on jewelry scrapping sales decreased $5.6 million, or 7%, from the prior year to $69.3 million. Jewelry scrapping revenues decreased </w:t>
      </w:r>
      <w:r>
        <w:rPr>
          <w:rFonts w:ascii="inherit" w:hAnsi="inherit"/>
          <w:strike w:val="false"/>
          <w:dstrike w:val="false"/>
          <w:color w:val="000000"/>
          <w:sz w:val="17"/>
          <w:u w:val="none"/>
          <w:effect w:val="none"/>
        </w:rPr>
        <w:t>$4.0 million</w:t>
      </w:r>
      <w:r>
        <w:rPr>
          <w:rFonts w:ascii="inherit" w:hAnsi="inherit"/>
          <w:sz w:val="17"/>
        </w:rPr>
        <w:t xml:space="preserve">, or </w:t>
      </w:r>
      <w:r>
        <w:rPr>
          <w:rFonts w:ascii="inherit" w:hAnsi="inherit"/>
          <w:strike w:val="false"/>
          <w:dstrike w:val="false"/>
          <w:color w:val="000000"/>
          <w:sz w:val="17"/>
          <w:u w:val="none"/>
          <w:effect w:val="none"/>
        </w:rPr>
        <w:t>2%</w:t>
      </w:r>
      <w:r>
        <w:rPr>
          <w:rFonts w:ascii="inherit" w:hAnsi="inherit"/>
          <w:sz w:val="17"/>
        </w:rPr>
        <w:t xml:space="preserve">, due to a 16% increase in proceeds realized per gram of gold jewelry scrapped, offset by a 19% decrease in gold volume. Same store jewelry scrapping sales decreased $26.2 million, or 13%, and new and acquired stores contributed $22.2 million. Jewelry scrapping sales include the sale of approximately $10.8 million of loose diamonds removed from scrap jewelry in fiscal 2012 and $8.1 million in the prior year. As a result of the higher average cost per gram of jewelry scrapped, scrap cost of goods increased </w:t>
      </w:r>
      <w:r>
        <w:rPr>
          <w:rFonts w:ascii="inherit" w:hAnsi="inherit"/>
          <w:strike w:val="false"/>
          <w:dstrike w:val="false"/>
          <w:color w:val="000000"/>
          <w:sz w:val="17"/>
          <w:u w:val="none"/>
          <w:effect w:val="none"/>
        </w:rPr>
        <w:t>$1.6 million</w:t>
      </w:r>
      <w:r>
        <w:rPr>
          <w:rFonts w:ascii="inherit" w:hAnsi="inherit"/>
          <w:sz w:val="17"/>
        </w:rPr>
        <w:t>.</w:t>
      </w:r>
    </w:p>
    <w:p>
      <w:pPr>
        <w:pStyle w:val="TextBody"/>
        <w:spacing w:lineRule="auto" w:line="288" w:before="0" w:after="0"/>
        <w:jc w:val="left"/>
        <w:rPr>
          <w:sz w:val="17"/>
        </w:rPr>
      </w:pPr>
      <w:r>
        <w:rPr>
          <w:rFonts w:ascii="inherit" w:hAnsi="inherit"/>
          <w:sz w:val="17"/>
        </w:rPr>
        <w:t xml:space="preserve">Total segment expenses increased to </w:t>
      </w:r>
      <w:r>
        <w:rPr>
          <w:rFonts w:ascii="inherit" w:hAnsi="inherit"/>
          <w:strike w:val="false"/>
          <w:dstrike w:val="false"/>
          <w:color w:val="000000"/>
          <w:sz w:val="17"/>
          <w:u w:val="none"/>
          <w:effect w:val="none"/>
        </w:rPr>
        <w:t>$305.0 million</w:t>
      </w:r>
      <w:r>
        <w:rPr>
          <w:sz w:val="17"/>
        </w:rPr>
        <w:t xml:space="preserve"> </w:t>
      </w:r>
      <w:r>
        <w:rPr>
          <w:rFonts w:ascii="inherit" w:hAnsi="inherit"/>
          <w:sz w:val="17"/>
        </w:rPr>
        <w:t>(</w:t>
      </w:r>
      <w:r>
        <w:rPr>
          <w:rFonts w:ascii="inherit" w:hAnsi="inherit"/>
          <w:strike w:val="false"/>
          <w:dstrike w:val="false"/>
          <w:color w:val="000000"/>
          <w:sz w:val="17"/>
          <w:u w:val="none"/>
          <w:effect w:val="none"/>
        </w:rPr>
        <w:t>35%</w:t>
      </w:r>
      <w:r>
        <w:rPr>
          <w:sz w:val="17"/>
        </w:rPr>
        <w:t xml:space="preserve"> </w:t>
      </w:r>
      <w:r>
        <w:rPr>
          <w:rFonts w:ascii="inherit" w:hAnsi="inherit"/>
          <w:sz w:val="17"/>
        </w:rPr>
        <w:t xml:space="preserve">of revenues) in fiscal 2012 from </w:t>
      </w:r>
      <w:r>
        <w:rPr>
          <w:rFonts w:ascii="inherit" w:hAnsi="inherit"/>
          <w:strike w:val="false"/>
          <w:dstrike w:val="false"/>
          <w:color w:val="000000"/>
          <w:sz w:val="17"/>
          <w:u w:val="none"/>
          <w:effect w:val="none"/>
        </w:rPr>
        <w:t>$272.0 million</w:t>
      </w:r>
      <w:r>
        <w:rPr>
          <w:sz w:val="17"/>
        </w:rPr>
        <w:t xml:space="preserve"> </w:t>
      </w:r>
      <w:r>
        <w:rPr>
          <w:rFonts w:ascii="inherit" w:hAnsi="inherit"/>
          <w:sz w:val="17"/>
        </w:rPr>
        <w:t>(</w:t>
      </w:r>
      <w:r>
        <w:rPr>
          <w:rFonts w:ascii="inherit" w:hAnsi="inherit"/>
          <w:strike w:val="false"/>
          <w:dstrike w:val="false"/>
          <w:color w:val="000000"/>
          <w:sz w:val="17"/>
          <w:u w:val="none"/>
          <w:effect w:val="none"/>
        </w:rPr>
        <w:t>34%</w:t>
      </w:r>
      <w:r>
        <w:rPr>
          <w:sz w:val="17"/>
        </w:rPr>
        <w:t xml:space="preserve"> </w:t>
      </w:r>
      <w:r>
        <w:rPr>
          <w:rFonts w:ascii="inherit" w:hAnsi="inherit"/>
          <w:sz w:val="17"/>
        </w:rPr>
        <w:t xml:space="preserve">of net revenues) in the prior year. Operations expense increased </w:t>
      </w:r>
      <w:r>
        <w:rPr>
          <w:rFonts w:ascii="inherit" w:hAnsi="inherit"/>
          <w:strike w:val="false"/>
          <w:dstrike w:val="false"/>
          <w:color w:val="000000"/>
          <w:sz w:val="17"/>
          <w:u w:val="none"/>
          <w:effect w:val="none"/>
        </w:rPr>
        <w:t>12%</w:t>
      </w:r>
      <w:r>
        <w:rPr>
          <w:rFonts w:ascii="inherit" w:hAnsi="inherit"/>
          <w:sz w:val="17"/>
        </w:rPr>
        <w:t xml:space="preserve">, or </w:t>
      </w:r>
      <w:r>
        <w:rPr>
          <w:rFonts w:ascii="inherit" w:hAnsi="inherit"/>
          <w:strike w:val="false"/>
          <w:dstrike w:val="false"/>
          <w:color w:val="000000"/>
          <w:sz w:val="17"/>
          <w:u w:val="none"/>
          <w:effect w:val="none"/>
        </w:rPr>
        <w:t>32.0 million</w:t>
      </w:r>
      <w:r>
        <w:rPr>
          <w:rFonts w:ascii="inherit" w:hAnsi="inherit"/>
          <w:sz w:val="17"/>
        </w:rPr>
        <w:t xml:space="preserve">, due to higher operating costs at new and acquired stores, increased labor, benefits and additional investments made in infrastructure to support our growth. Depreciation and amortization increased </w:t>
      </w:r>
      <w:r>
        <w:rPr>
          <w:rFonts w:ascii="inherit" w:hAnsi="inherit"/>
          <w:strike w:val="false"/>
          <w:dstrike w:val="false"/>
          <w:color w:val="000000"/>
          <w:sz w:val="17"/>
          <w:u w:val="none"/>
          <w:effect w:val="none"/>
        </w:rPr>
        <w:t>20%</w:t>
      </w:r>
      <w:r>
        <w:rPr>
          <w:rFonts w:ascii="inherit" w:hAnsi="inherit"/>
          <w:sz w:val="17"/>
        </w:rPr>
        <w:t xml:space="preserve">, or </w:t>
      </w:r>
      <w:r>
        <w:rPr>
          <w:rFonts w:ascii="inherit" w:hAnsi="inherit"/>
          <w:strike w:val="false"/>
          <w:dstrike w:val="false"/>
          <w:color w:val="000000"/>
          <w:sz w:val="17"/>
          <w:u w:val="none"/>
          <w:effect w:val="none"/>
        </w:rPr>
        <w:t>$2.3 million</w:t>
      </w:r>
      <w:r>
        <w:rPr>
          <w:rFonts w:ascii="inherit" w:hAnsi="inherit"/>
          <w:sz w:val="17"/>
        </w:rPr>
        <w:t xml:space="preserve">, from the prior year to </w:t>
      </w:r>
      <w:r>
        <w:rPr>
          <w:rFonts w:ascii="inherit" w:hAnsi="inherit"/>
          <w:strike w:val="false"/>
          <w:dstrike w:val="false"/>
          <w:color w:val="000000"/>
          <w:sz w:val="17"/>
          <w:u w:val="none"/>
          <w:effect w:val="none"/>
        </w:rPr>
        <w:t>$13.6 million</w:t>
      </w:r>
      <w:r>
        <w:rPr>
          <w:rFonts w:ascii="inherit" w:hAnsi="inherit"/>
          <w:sz w:val="17"/>
        </w:rPr>
        <w:t xml:space="preserve">, mainly due to assets placed in service at new and acquired stores. </w:t>
      </w:r>
    </w:p>
    <w:p>
      <w:pPr>
        <w:pStyle w:val="TextBody"/>
        <w:spacing w:lineRule="auto" w:line="288" w:before="0" w:after="0"/>
        <w:jc w:val="left"/>
        <w:rPr>
          <w:sz w:val="17"/>
        </w:rPr>
      </w:pPr>
      <w:r>
        <w:rPr>
          <w:rFonts w:ascii="inherit" w:hAnsi="inherit"/>
          <w:sz w:val="17"/>
        </w:rPr>
        <w:t xml:space="preserve">In fiscal 2012, U.S. &amp; Canada delivered segment contribution of </w:t>
      </w:r>
      <w:r>
        <w:rPr>
          <w:rFonts w:ascii="inherit" w:hAnsi="inherit"/>
          <w:strike w:val="false"/>
          <w:dstrike w:val="false"/>
          <w:color w:val="000000"/>
          <w:sz w:val="17"/>
          <w:u w:val="none"/>
          <w:effect w:val="none"/>
        </w:rPr>
        <w:t>$230.5 million</w:t>
      </w:r>
      <w:r>
        <w:rPr>
          <w:rFonts w:ascii="inherit" w:hAnsi="inherit"/>
          <w:sz w:val="17"/>
        </w:rPr>
        <w:t xml:space="preserve">, a </w:t>
      </w:r>
      <w:r>
        <w:rPr>
          <w:rFonts w:ascii="inherit" w:hAnsi="inherit"/>
          <w:strike w:val="false"/>
          <w:dstrike w:val="false"/>
          <w:color w:val="000000"/>
          <w:sz w:val="17"/>
          <w:u w:val="none"/>
          <w:effect w:val="none"/>
        </w:rPr>
        <w:t>$4.4 million</w:t>
      </w:r>
      <w:r>
        <w:rPr>
          <w:sz w:val="17"/>
        </w:rPr>
        <w:t xml:space="preserve">  </w:t>
      </w:r>
      <w:r>
        <w:rPr>
          <w:rFonts w:ascii="inherit" w:hAnsi="inherit"/>
          <w:sz w:val="17"/>
        </w:rPr>
        <w:t xml:space="preserve">increase compared to prior year. For fiscal 2012, the U.S. &amp; Canada segment's contribution represents </w:t>
      </w:r>
      <w:r>
        <w:rPr>
          <w:rFonts w:ascii="inherit" w:hAnsi="inherit"/>
          <w:strike w:val="false"/>
          <w:dstrike w:val="false"/>
          <w:color w:val="000000"/>
          <w:sz w:val="17"/>
          <w:u w:val="none"/>
          <w:effect w:val="none"/>
        </w:rPr>
        <w:t>82%</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92%</w:t>
      </w:r>
      <w:r>
        <w:rPr>
          <w:sz w:val="17"/>
        </w:rPr>
        <w:t xml:space="preserve"> </w:t>
      </w:r>
      <w:r>
        <w:rPr>
          <w:rFonts w:ascii="inherit" w:hAnsi="inherit"/>
          <w:sz w:val="17"/>
        </w:rPr>
        <w:t xml:space="preserve">in the prior year. While the U.S. &amp; Canada segment has experienced some challenges related to jewelry merchandise sales and gold scrap sales, other elements of the business have continued to show strength, offsetting to a large extent, the challenges in the gold and jewelry market. </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Latin America segment after translation to U.S. dollars from its functional currency of the Mexican peso:</w:t>
      </w:r>
    </w:p>
    <w:tbl>
      <w:tblPr>
        <w:tblW w:w="10205" w:type="dxa"/>
        <w:jc w:val="left"/>
        <w:tblInd w:w="0" w:type="dxa"/>
        <w:tblCellMar>
          <w:top w:w="0" w:type="dxa"/>
          <w:left w:w="0" w:type="dxa"/>
          <w:bottom w:w="0" w:type="dxa"/>
          <w:right w:w="0" w:type="dxa"/>
        </w:tblCellMar>
      </w:tblPr>
      <w:tblGrid>
        <w:gridCol w:w="6014"/>
        <w:gridCol w:w="182"/>
        <w:gridCol w:w="1372"/>
        <w:gridCol w:w="250"/>
        <w:gridCol w:w="151"/>
        <w:gridCol w:w="182"/>
        <w:gridCol w:w="1372"/>
        <w:gridCol w:w="68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1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14" w:type="dxa"/>
            <w:tcBorders/>
            <w:shd w:fill="auto" w:val="clear"/>
            <w:vAlign w:val="center"/>
          </w:tcPr>
          <w:p>
            <w:pPr>
              <w:pStyle w:val="TableContents"/>
              <w:spacing w:before="0" w:after="0"/>
              <w:ind w:left="0" w:right="0" w:firstLine="30"/>
              <w:jc w:val="left"/>
              <w:rPr/>
            </w:pPr>
            <w:r>
              <w:rPr/>
              <w:t> </w:t>
            </w:r>
          </w:p>
        </w:tc>
        <w:tc>
          <w:tcPr>
            <w:tcW w:w="419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14" w:type="dxa"/>
            <w:tcBorders/>
            <w:shd w:fill="auto" w:val="clear"/>
            <w:vAlign w:val="center"/>
          </w:tcPr>
          <w:p>
            <w:pPr>
              <w:pStyle w:val="TableContents"/>
              <w:spacing w:before="0" w:after="0"/>
              <w:ind w:left="0" w:right="0" w:firstLine="30"/>
              <w:jc w:val="left"/>
              <w:rPr/>
            </w:pPr>
            <w:r>
              <w:rPr/>
              <w:t> </w:t>
            </w:r>
          </w:p>
        </w:tc>
        <w:tc>
          <w:tcPr>
            <w:tcW w:w="18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1" w:type="dxa"/>
            <w:tcBorders/>
            <w:shd w:fill="auto" w:val="clear"/>
            <w:vAlign w:val="center"/>
          </w:tcPr>
          <w:p>
            <w:pPr>
              <w:pStyle w:val="TableContents"/>
              <w:spacing w:before="0" w:after="0"/>
              <w:ind w:left="0" w:right="0" w:firstLine="30"/>
              <w:rPr/>
            </w:pPr>
            <w:r>
              <w:rPr/>
              <w:t> </w:t>
            </w:r>
          </w:p>
        </w:tc>
        <w:tc>
          <w:tcPr>
            <w:tcW w:w="22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014" w:type="dxa"/>
            <w:tcBorders/>
            <w:shd w:fill="auto" w:val="clear"/>
            <w:vAlign w:val="center"/>
          </w:tcPr>
          <w:p>
            <w:pPr>
              <w:pStyle w:val="TableContents"/>
              <w:spacing w:before="0" w:after="0"/>
              <w:ind w:left="0" w:right="0" w:firstLine="30"/>
              <w:jc w:val="left"/>
              <w:rPr/>
            </w:pPr>
            <w:r>
              <w:rPr/>
              <w:t> </w:t>
            </w:r>
          </w:p>
        </w:tc>
        <w:tc>
          <w:tcPr>
            <w:tcW w:w="419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04"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236" w:type="dxa"/>
            <w:gridSpan w:val="3"/>
            <w:tcBorders/>
            <w:shd w:fill="CCEEFF" w:val="clear"/>
            <w:vAlign w:val="center"/>
          </w:tcPr>
          <w:p>
            <w:pPr>
              <w:pStyle w:val="TableContents"/>
              <w:spacing w:before="0" w:after="0"/>
              <w:ind w:left="0" w:right="0" w:firstLine="180"/>
              <w:rPr/>
            </w:pPr>
            <w:r>
              <w:rPr/>
              <w:t> </w:t>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shd w:fill="auto" w:val="clear"/>
            <w:vAlign w:val="center"/>
          </w:tcPr>
          <w:p>
            <w:pPr>
              <w:pStyle w:val="TableContents"/>
              <w:spacing w:before="0" w:after="0"/>
              <w:jc w:val="right"/>
              <w:rPr>
                <w:rFonts w:ascii="inherit" w:hAnsi="inherit"/>
                <w:sz w:val="17"/>
              </w:rPr>
            </w:pPr>
            <w:r>
              <w:rPr>
                <w:rFonts w:ascii="inherit" w:hAnsi="inherit"/>
                <w:sz w:val="17"/>
              </w:rPr>
              <w:t>41,567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shd w:fill="auto" w:val="clear"/>
            <w:vAlign w:val="center"/>
          </w:tcPr>
          <w:p>
            <w:pPr>
              <w:pStyle w:val="TableContents"/>
              <w:spacing w:before="0" w:after="0"/>
              <w:jc w:val="right"/>
              <w:rPr>
                <w:rFonts w:ascii="inherit" w:hAnsi="inherit"/>
                <w:sz w:val="17"/>
              </w:rPr>
            </w:pPr>
            <w:r>
              <w:rPr>
                <w:rFonts w:ascii="inherit" w:hAnsi="inherit"/>
                <w:sz w:val="17"/>
              </w:rPr>
              <w:t>25,022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10,576</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8,938</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22,937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15,542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26,901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pPr>
            <w:r>
              <w:rPr/>
              <w:t>—</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1,292</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103,273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49,601</w:t>
            </w:r>
          </w:p>
        </w:tc>
        <w:tc>
          <w:tcPr>
            <w:tcW w:w="682"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22,504</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14,537</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8,111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6,819</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309</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72,349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28,245</w:t>
            </w:r>
          </w:p>
        </w:tc>
        <w:tc>
          <w:tcPr>
            <w:tcW w:w="68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804"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236" w:type="dxa"/>
            <w:gridSpan w:val="3"/>
            <w:tcBorders/>
            <w:shd w:fill="auto" w:val="clear"/>
            <w:vAlign w:val="center"/>
          </w:tcPr>
          <w:p>
            <w:pPr>
              <w:pStyle w:val="TableContents"/>
              <w:spacing w:before="0" w:after="0"/>
              <w:ind w:left="0" w:right="0" w:firstLine="180"/>
              <w:rPr/>
            </w:pPr>
            <w:r>
              <w:rPr/>
              <w:t> </w:t>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37,259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21,260</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3,319</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2,066</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1,370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382</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 net</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(4,507</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34,901</w:t>
            </w:r>
          </w:p>
        </w:tc>
        <w:tc>
          <w:tcPr>
            <w:tcW w:w="25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4,514</w:t>
            </w:r>
          </w:p>
        </w:tc>
        <w:tc>
          <w:tcPr>
            <w:tcW w:w="68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04" w:type="dxa"/>
            <w:gridSpan w:val="3"/>
            <w:tcBorders/>
            <w:shd w:fill="auto" w:val="clear"/>
            <w:vAlign w:val="center"/>
          </w:tcPr>
          <w:p>
            <w:pPr>
              <w:pStyle w:val="TableContents"/>
              <w:spacing w:before="0" w:after="0"/>
              <w:ind w:left="0" w:right="0" w:firstLine="30"/>
              <w:jc w:val="left"/>
              <w:rPr/>
            </w:pPr>
            <w:r>
              <w:rPr/>
              <w:t> </w:t>
            </w:r>
          </w:p>
        </w:tc>
        <w:tc>
          <w:tcPr>
            <w:tcW w:w="151" w:type="dxa"/>
            <w:tcBorders/>
            <w:shd w:fill="auto" w:val="clear"/>
            <w:vAlign w:val="center"/>
          </w:tcPr>
          <w:p>
            <w:pPr>
              <w:pStyle w:val="TableContents"/>
              <w:spacing w:before="0" w:after="0"/>
              <w:ind w:left="0" w:right="0" w:firstLine="30"/>
              <w:rPr/>
            </w:pPr>
            <w:r>
              <w:rPr/>
              <w:t> </w:t>
            </w:r>
          </w:p>
        </w:tc>
        <w:tc>
          <w:tcPr>
            <w:tcW w:w="2236" w:type="dxa"/>
            <w:gridSpan w:val="3"/>
            <w:tcBorders/>
            <w:shd w:fill="auto" w:val="clear"/>
            <w:vAlign w:val="center"/>
          </w:tcPr>
          <w:p>
            <w:pPr>
              <w:pStyle w:val="TableContents"/>
              <w:spacing w:before="0" w:after="0"/>
              <w:ind w:left="0" w:right="0" w:firstLine="300"/>
              <w:jc w:val="left"/>
              <w:rPr/>
            </w:pPr>
            <w:r>
              <w:rPr/>
              <w:t> </w:t>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w:t>
            </w:r>
          </w:p>
        </w:tc>
        <w:tc>
          <w:tcPr>
            <w:tcW w:w="68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w:t>
            </w:r>
          </w:p>
        </w:tc>
        <w:tc>
          <w:tcPr>
            <w:tcW w:w="68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37.1</w:t>
            </w:r>
          </w:p>
        </w:tc>
        <w:tc>
          <w:tcPr>
            <w:tcW w:w="68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shd w:fill="auto" w:val="clear"/>
            <w:vAlign w:val="center"/>
          </w:tcPr>
          <w:p>
            <w:pPr>
              <w:pStyle w:val="TableContents"/>
              <w:spacing w:before="0" w:after="0"/>
              <w:jc w:val="right"/>
              <w:rPr>
                <w:rFonts w:ascii="inherit" w:hAnsi="inherit"/>
                <w:sz w:val="17"/>
              </w:rPr>
            </w:pPr>
            <w:r>
              <w:rPr>
                <w:rFonts w:ascii="inherit" w:hAnsi="inherit"/>
                <w:sz w:val="17"/>
              </w:rPr>
              <w:t>65</w:t>
            </w:r>
          </w:p>
        </w:tc>
        <w:tc>
          <w:tcPr>
            <w:tcW w:w="68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w:t>
            </w:r>
          </w:p>
        </w:tc>
        <w:tc>
          <w:tcPr>
            <w:tcW w:w="68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68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5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5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N/A</w:t>
            </w:r>
          </w:p>
        </w:tc>
        <w:tc>
          <w:tcPr>
            <w:tcW w:w="682" w:type="dxa"/>
            <w:tcBorders>
              <w:bottom w:val="single" w:sz="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rPr>
                <w:sz w:val="4"/>
                <w:szCs w:val="4"/>
              </w:rPr>
            </w:pPr>
            <w:r>
              <w:rPr>
                <w:sz w:val="4"/>
                <w:szCs w:val="4"/>
              </w:rPr>
            </w:r>
          </w:p>
        </w:tc>
        <w:tc>
          <w:tcPr>
            <w:tcW w:w="9836" w:type="dxa"/>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vAlign w:val="center"/>
          </w:tcPr>
          <w:p>
            <w:pPr>
              <w:pStyle w:val="TableContents"/>
              <w:spacing w:lineRule="auto" w:line="288" w:before="0" w:after="0"/>
              <w:ind w:left="0" w:right="0" w:firstLine="135"/>
              <w:rPr>
                <w:rFonts w:ascii="inherit" w:hAnsi="inherit"/>
                <w:sz w:val="15"/>
              </w:rPr>
            </w:pPr>
            <w:r>
              <w:rPr>
                <w:rFonts w:ascii="inherit" w:hAnsi="inherit"/>
                <w:sz w:val="15"/>
              </w:rPr>
              <w:t>(a)</w:t>
            </w:r>
          </w:p>
        </w:tc>
        <w:tc>
          <w:tcPr>
            <w:tcW w:w="9836" w:type="dxa"/>
            <w:tcBorders/>
            <w:shd w:fill="auto" w:val="clear"/>
            <w:vAlign w:val="center"/>
          </w:tcPr>
          <w:p>
            <w:pPr>
              <w:pStyle w:val="TableContents"/>
              <w:spacing w:lineRule="auto" w:line="288" w:before="0" w:after="0"/>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jc w:val="left"/>
        <w:rPr>
          <w:rFonts w:ascii="inherit" w:hAnsi="inherit"/>
          <w:sz w:val="17"/>
        </w:rPr>
      </w:pPr>
      <w:r>
        <w:rPr>
          <w:rFonts w:ascii="inherit" w:hAnsi="inherit"/>
          <w:sz w:val="17"/>
        </w:rPr>
        <w:t xml:space="preserve">The average exchange rate used to translate Latin America's results from Mexican pesos to U.S. dollars was 13.3 to 1, pesos to the dollar, 9% higher than the prior year's rate of 12.1 to 1. In fiscal 2012, we opened 52 de novo pawn stores, and on January 30, 2012, we acquired a 60% interest in Crediamigo, a specialty consumer finance company headquartered in Mexico City with 45 loan servicing locations throughout the county. Crediamigo is included in our current year results for eight months of the twelve-month period. </w:t>
      </w:r>
    </w:p>
    <w:p>
      <w:pPr>
        <w:pStyle w:val="TextBody"/>
        <w:spacing w:lineRule="auto" w:line="288" w:before="0" w:after="0"/>
        <w:jc w:val="left"/>
        <w:rPr>
          <w:sz w:val="17"/>
        </w:rPr>
      </w:pPr>
      <w:r>
        <w:rPr>
          <w:rFonts w:ascii="inherit" w:hAnsi="inherit"/>
          <w:sz w:val="17"/>
        </w:rPr>
        <w:t xml:space="preserve">The Latin America segment's total revenues increased </w:t>
      </w:r>
      <w:r>
        <w:rPr>
          <w:rFonts w:ascii="inherit" w:hAnsi="inherit"/>
          <w:strike w:val="false"/>
          <w:dstrike w:val="false"/>
          <w:color w:val="000000"/>
          <w:sz w:val="17"/>
          <w:u w:val="none"/>
          <w:effect w:val="none"/>
        </w:rPr>
        <w:t>$53.7 million</w:t>
      </w:r>
      <w:r>
        <w:rPr>
          <w:rFonts w:ascii="inherit" w:hAnsi="inherit"/>
          <w:sz w:val="17"/>
        </w:rPr>
        <w:t xml:space="preserve">, or </w:t>
      </w:r>
      <w:r>
        <w:rPr>
          <w:rFonts w:ascii="inherit" w:hAnsi="inherit"/>
          <w:strike w:val="false"/>
          <w:dstrike w:val="false"/>
          <w:color w:val="000000"/>
          <w:sz w:val="17"/>
          <w:u w:val="none"/>
          <w:effect w:val="none"/>
        </w:rPr>
        <w:t>108%</w:t>
      </w:r>
      <w:r>
        <w:rPr>
          <w:rFonts w:ascii="inherit" w:hAnsi="inherit"/>
          <w:sz w:val="17"/>
        </w:rPr>
        <w:t xml:space="preserve">, in fiscal 2012 to </w:t>
      </w:r>
      <w:r>
        <w:rPr>
          <w:rFonts w:ascii="inherit" w:hAnsi="inherit"/>
          <w:strike w:val="false"/>
          <w:dstrike w:val="false"/>
          <w:color w:val="000000"/>
          <w:sz w:val="17"/>
          <w:u w:val="none"/>
          <w:effect w:val="none"/>
        </w:rPr>
        <w:t>$103.3 million</w:t>
      </w:r>
      <w:r>
        <w:rPr>
          <w:rFonts w:ascii="inherit" w:hAnsi="inherit"/>
          <w:sz w:val="17"/>
        </w:rPr>
        <w:t xml:space="preserve">. Same store total revenues increased $6.1 million, or 12%, and new and acquired stores contributed $47.5 million. The overall increase in total revenues was mostly due to the </w:t>
      </w:r>
      <w:r>
        <w:rPr>
          <w:rFonts w:ascii="inherit" w:hAnsi="inherit"/>
          <w:strike w:val="false"/>
          <w:dstrike w:val="false"/>
          <w:color w:val="000000"/>
          <w:sz w:val="17"/>
          <w:u w:val="none"/>
          <w:effect w:val="none"/>
        </w:rPr>
        <w:t>$26.9 million</w:t>
      </w:r>
      <w:r>
        <w:rPr>
          <w:sz w:val="17"/>
        </w:rPr>
        <w:t xml:space="preserve"> </w:t>
      </w:r>
      <w:r>
        <w:rPr>
          <w:rFonts w:ascii="inherit" w:hAnsi="inherit"/>
          <w:sz w:val="17"/>
        </w:rPr>
        <w:t xml:space="preserve">in Crediamigo consumer loan fees, </w:t>
      </w:r>
      <w:r>
        <w:rPr>
          <w:rFonts w:ascii="inherit" w:hAnsi="inherit"/>
          <w:strike w:val="false"/>
          <w:dstrike w:val="false"/>
          <w:color w:val="000000"/>
          <w:sz w:val="17"/>
          <w:u w:val="none"/>
          <w:effect w:val="none"/>
        </w:rPr>
        <w:t>$18.2 million</w:t>
      </w:r>
      <w:r>
        <w:rPr>
          <w:sz w:val="17"/>
        </w:rPr>
        <w:t xml:space="preserve"> </w:t>
      </w:r>
      <w:r>
        <w:rPr>
          <w:rFonts w:ascii="inherit" w:hAnsi="inherit"/>
          <w:sz w:val="17"/>
        </w:rPr>
        <w:t xml:space="preserve">increase in merchandise and jewelry scrapping sales, a </w:t>
      </w:r>
      <w:r>
        <w:rPr>
          <w:rFonts w:ascii="inherit" w:hAnsi="inherit"/>
          <w:strike w:val="false"/>
          <w:dstrike w:val="false"/>
          <w:color w:val="000000"/>
          <w:sz w:val="17"/>
          <w:u w:val="none"/>
          <w:effect w:val="none"/>
        </w:rPr>
        <w:t>$7.4 million</w:t>
      </w:r>
      <w:r>
        <w:rPr>
          <w:sz w:val="17"/>
        </w:rPr>
        <w:t xml:space="preserve"> </w:t>
      </w:r>
      <w:r>
        <w:rPr>
          <w:rFonts w:ascii="inherit" w:hAnsi="inherit"/>
          <w:sz w:val="17"/>
        </w:rPr>
        <w:t xml:space="preserve">increase in pawn service charges and a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increase in other revenues. </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Latin America segment's pawn service charge revenues increased </w:t>
      </w:r>
      <w:r>
        <w:rPr>
          <w:rFonts w:ascii="inherit" w:hAnsi="inherit"/>
          <w:strike w:val="false"/>
          <w:dstrike w:val="false"/>
          <w:color w:val="000000"/>
          <w:sz w:val="17"/>
          <w:u w:val="none"/>
          <w:effect w:val="none"/>
        </w:rPr>
        <w:t>$7.4 million</w:t>
      </w:r>
      <w:r>
        <w:rPr>
          <w:rFonts w:ascii="inherit" w:hAnsi="inherit"/>
          <w:sz w:val="17"/>
        </w:rPr>
        <w:t xml:space="preserve">, or </w:t>
      </w:r>
      <w:r>
        <w:rPr>
          <w:rFonts w:ascii="inherit" w:hAnsi="inherit"/>
          <w:strike w:val="false"/>
          <w:dstrike w:val="false"/>
          <w:color w:val="000000"/>
          <w:sz w:val="17"/>
          <w:u w:val="none"/>
          <w:effect w:val="none"/>
        </w:rPr>
        <w:t>48%</w:t>
      </w:r>
      <w:r>
        <w:rPr>
          <w:rFonts w:ascii="inherit" w:hAnsi="inherit"/>
          <w:sz w:val="17"/>
        </w:rPr>
        <w:t xml:space="preserve">, in fiscal 2012 to </w:t>
      </w:r>
      <w:r>
        <w:rPr>
          <w:rFonts w:ascii="inherit" w:hAnsi="inherit"/>
          <w:strike w:val="false"/>
          <w:dstrike w:val="false"/>
          <w:color w:val="000000"/>
          <w:sz w:val="17"/>
          <w:u w:val="none"/>
          <w:effect w:val="none"/>
        </w:rPr>
        <w:t>$22.9 million</w:t>
      </w:r>
      <w:r>
        <w:rPr>
          <w:rFonts w:ascii="inherit" w:hAnsi="inherit"/>
          <w:sz w:val="17"/>
        </w:rPr>
        <w:t xml:space="preserve">. Same store pawn service charges increased $2.0 million, or 13%, and new and acquired stores contributed $5.4 million. The total increase was due to a 56% increase in the outstanding pawn loan balance coupled with an 2 percentage point increase in the pawn yield. The yield increased primarily due to a 3 percentage point increase in the loan redemption rate as we continued to focus on loan values. </w:t>
      </w:r>
    </w:p>
    <w:p>
      <w:pPr>
        <w:pStyle w:val="TextBody"/>
        <w:spacing w:lineRule="auto" w:line="288" w:before="0" w:after="0"/>
        <w:jc w:val="left"/>
        <w:rPr>
          <w:sz w:val="17"/>
        </w:rPr>
      </w:pPr>
      <w:r>
        <w:rPr>
          <w:rFonts w:ascii="inherit" w:hAnsi="inherit"/>
          <w:sz w:val="17"/>
        </w:rPr>
        <w:t xml:space="preserve">Merchandise gross profit increased $8.6 million, or 82%, from the prior year to $19.1 million. The increase was due to a $5.3 million, or 21%, same store sales increase and a $11.2 million increase in sales from new and acquired stores coupled with a </w:t>
      </w:r>
      <w:r>
        <w:rPr>
          <w:rFonts w:ascii="inherit" w:hAnsi="inherit"/>
          <w:strike w:val="false"/>
          <w:dstrike w:val="false"/>
          <w:color w:val="000000"/>
          <w:sz w:val="17"/>
          <w:u w:val="none"/>
          <w:effect w:val="none"/>
        </w:rPr>
        <w:t>4.0</w:t>
      </w:r>
      <w:r>
        <w:rPr>
          <w:sz w:val="17"/>
        </w:rPr>
        <w:t xml:space="preserve"> </w:t>
      </w:r>
      <w:r>
        <w:rPr>
          <w:rFonts w:ascii="inherit" w:hAnsi="inherit"/>
          <w:sz w:val="17"/>
        </w:rPr>
        <w:t xml:space="preserve">percentage point increase in gross margins to </w:t>
      </w:r>
      <w:r>
        <w:rPr>
          <w:rFonts w:ascii="inherit" w:hAnsi="inherit"/>
          <w:strike w:val="false"/>
          <w:dstrike w:val="false"/>
          <w:color w:val="000000"/>
          <w:sz w:val="17"/>
          <w:u w:val="none"/>
          <w:effect w:val="none"/>
        </w:rPr>
        <w:t>46%</w:t>
      </w:r>
      <w:r>
        <w:rPr>
          <w:rFonts w:ascii="inherit" w:hAnsi="inherit"/>
          <w:sz w:val="17"/>
        </w:rPr>
        <w:t xml:space="preserve">. </w:t>
      </w:r>
    </w:p>
    <w:p>
      <w:pPr>
        <w:pStyle w:val="TextBody"/>
        <w:spacing w:lineRule="auto" w:line="288" w:before="0" w:after="0"/>
        <w:jc w:val="left"/>
        <w:rPr>
          <w:sz w:val="17"/>
        </w:rPr>
      </w:pPr>
      <w:r>
        <w:rPr>
          <w:rFonts w:ascii="inherit" w:hAnsi="inherit"/>
          <w:sz w:val="17"/>
        </w:rPr>
        <w:t xml:space="preserve">Gross profit on jewelry scrapping sales increased </w:t>
      </w:r>
      <w:r>
        <w:rPr>
          <w:rFonts w:ascii="inherit" w:hAnsi="inherit"/>
          <w:strike w:val="false"/>
          <w:dstrike w:val="false"/>
          <w:color w:val="000000"/>
          <w:sz w:val="17"/>
          <w:u w:val="none"/>
          <w:effect w:val="none"/>
        </w:rPr>
        <w:t>$0.3 million</w:t>
      </w:r>
      <w:r>
        <w:rPr>
          <w:rFonts w:ascii="inherit" w:hAnsi="inherit"/>
          <w:sz w:val="17"/>
        </w:rPr>
        <w:t xml:space="preserve">, or </w:t>
      </w:r>
      <w:r>
        <w:rPr>
          <w:rFonts w:ascii="inherit" w:hAnsi="inherit"/>
          <w:strike w:val="false"/>
          <w:dstrike w:val="false"/>
          <w:color w:val="000000"/>
          <w:sz w:val="17"/>
          <w:u w:val="none"/>
          <w:effect w:val="none"/>
        </w:rPr>
        <w:t>16%</w:t>
      </w:r>
      <w:r>
        <w:rPr>
          <w:rFonts w:ascii="inherit" w:hAnsi="inherit"/>
          <w:sz w:val="17"/>
        </w:rPr>
        <w:t xml:space="preserve">, from the prior year to </w:t>
      </w:r>
      <w:r>
        <w:rPr>
          <w:rFonts w:ascii="inherit" w:hAnsi="inherit"/>
          <w:strike w:val="false"/>
          <w:dstrike w:val="false"/>
          <w:color w:val="000000"/>
          <w:sz w:val="17"/>
          <w:u w:val="none"/>
          <w:effect w:val="none"/>
        </w:rPr>
        <w:t>$2.5 million</w:t>
      </w:r>
      <w:r>
        <w:rPr>
          <w:rFonts w:ascii="inherit" w:hAnsi="inherit"/>
          <w:sz w:val="17"/>
        </w:rPr>
        <w:t xml:space="preserve">. Jewelry scrapping revenues increased </w:t>
      </w:r>
      <w:r>
        <w:rPr>
          <w:rFonts w:ascii="inherit" w:hAnsi="inherit"/>
          <w:strike w:val="false"/>
          <w:dstrike w:val="false"/>
          <w:color w:val="000000"/>
          <w:sz w:val="17"/>
          <w:u w:val="none"/>
          <w:effect w:val="none"/>
        </w:rPr>
        <w:t>$1.6 million</w:t>
      </w:r>
      <w:r>
        <w:rPr>
          <w:rFonts w:ascii="inherit" w:hAnsi="inherit"/>
          <w:sz w:val="17"/>
        </w:rPr>
        <w:t xml:space="preserve">, or </w:t>
      </w:r>
      <w:r>
        <w:rPr>
          <w:rFonts w:ascii="inherit" w:hAnsi="inherit"/>
          <w:strike w:val="false"/>
          <w:dstrike w:val="false"/>
          <w:color w:val="000000"/>
          <w:sz w:val="17"/>
          <w:u w:val="none"/>
          <w:effect w:val="none"/>
        </w:rPr>
        <w:t>18%</w:t>
      </w:r>
      <w:r>
        <w:rPr>
          <w:rFonts w:ascii="inherit" w:hAnsi="inherit"/>
          <w:sz w:val="17"/>
        </w:rPr>
        <w:t xml:space="preserve">, in fiscal 2012 to </w:t>
      </w:r>
      <w:r>
        <w:rPr>
          <w:rFonts w:ascii="inherit" w:hAnsi="inherit"/>
          <w:strike w:val="false"/>
          <w:dstrike w:val="false"/>
          <w:color w:val="000000"/>
          <w:sz w:val="17"/>
          <w:u w:val="none"/>
          <w:effect w:val="none"/>
        </w:rPr>
        <w:t>$10.6 million</w:t>
      </w:r>
      <w:r>
        <w:rPr>
          <w:rFonts w:ascii="inherit" w:hAnsi="inherit"/>
          <w:sz w:val="17"/>
        </w:rPr>
        <w:t xml:space="preserve">. The 10% increase in proceeds realized per gram of gold jewelry scrapped was partially offset by the 22% decrease in gold volume processed. Same store jewelry scrapping sales decreased $1.5 million, or 16%, and new and acquired stores contributed $3.1 million. Scrap cost of goods increased </w:t>
      </w:r>
      <w:r>
        <w:rPr>
          <w:rFonts w:ascii="inherit" w:hAnsi="inherit"/>
          <w:strike w:val="false"/>
          <w:dstrike w:val="false"/>
          <w:color w:val="000000"/>
          <w:sz w:val="17"/>
          <w:u w:val="none"/>
          <w:effect w:val="none"/>
        </w:rPr>
        <w:t>$1.3 million</w:t>
      </w:r>
      <w:r>
        <w:rPr>
          <w:rFonts w:ascii="inherit" w:hAnsi="inherit"/>
          <w:sz w:val="17"/>
        </w:rPr>
        <w:t xml:space="preserve">, or </w:t>
      </w:r>
      <w:r>
        <w:rPr>
          <w:rFonts w:ascii="inherit" w:hAnsi="inherit"/>
          <w:strike w:val="false"/>
          <w:dstrike w:val="false"/>
          <w:color w:val="000000"/>
          <w:sz w:val="17"/>
          <w:u w:val="none"/>
          <w:effect w:val="none"/>
        </w:rPr>
        <w:t>19%</w:t>
      </w:r>
      <w:r>
        <w:rPr>
          <w:rFonts w:ascii="inherit" w:hAnsi="inherit"/>
          <w:sz w:val="17"/>
        </w:rPr>
        <w:t xml:space="preserve">, due to the 10% increase in cost per gram. </w:t>
      </w:r>
    </w:p>
    <w:p>
      <w:pPr>
        <w:pStyle w:val="TextBody"/>
        <w:spacing w:lineRule="auto" w:line="288" w:before="0" w:after="0"/>
        <w:jc w:val="left"/>
        <w:rPr>
          <w:sz w:val="17"/>
        </w:rPr>
      </w:pPr>
      <w:r>
        <w:rPr>
          <w:rFonts w:ascii="inherit" w:hAnsi="inherit"/>
          <w:sz w:val="17"/>
        </w:rPr>
        <w:t xml:space="preserve">Total segment items increased to </w:t>
      </w:r>
      <w:r>
        <w:rPr>
          <w:rFonts w:ascii="inherit" w:hAnsi="inherit"/>
          <w:strike w:val="false"/>
          <w:dstrike w:val="false"/>
          <w:color w:val="000000"/>
          <w:sz w:val="17"/>
          <w:u w:val="none"/>
          <w:effect w:val="none"/>
        </w:rPr>
        <w:t>$37.4 million</w:t>
      </w:r>
      <w:r>
        <w:rPr>
          <w:sz w:val="17"/>
        </w:rPr>
        <w:t xml:space="preserve"> </w:t>
      </w:r>
      <w:r>
        <w:rPr>
          <w:rFonts w:ascii="inherit" w:hAnsi="inherit"/>
          <w:sz w:val="17"/>
        </w:rPr>
        <w:t>(</w:t>
      </w:r>
      <w:r>
        <w:rPr>
          <w:rFonts w:ascii="inherit" w:hAnsi="inherit"/>
          <w:strike w:val="false"/>
          <w:dstrike w:val="false"/>
          <w:color w:val="000000"/>
          <w:sz w:val="17"/>
          <w:u w:val="none"/>
          <w:effect w:val="none"/>
        </w:rPr>
        <w:t>36%</w:t>
      </w:r>
      <w:r>
        <w:rPr>
          <w:sz w:val="17"/>
        </w:rPr>
        <w:t xml:space="preserve"> </w:t>
      </w:r>
      <w:r>
        <w:rPr>
          <w:rFonts w:ascii="inherit" w:hAnsi="inherit"/>
          <w:sz w:val="17"/>
        </w:rPr>
        <w:t xml:space="preserve">of revenues) in fiscal 2012 from </w:t>
      </w:r>
      <w:r>
        <w:rPr>
          <w:rFonts w:ascii="inherit" w:hAnsi="inherit"/>
          <w:strike w:val="false"/>
          <w:dstrike w:val="false"/>
          <w:color w:val="000000"/>
          <w:sz w:val="17"/>
          <w:u w:val="none"/>
          <w:effect w:val="none"/>
        </w:rPr>
        <w:t>$23.7 million</w:t>
      </w:r>
      <w:r>
        <w:rPr>
          <w:sz w:val="17"/>
        </w:rPr>
        <w:t xml:space="preserve"> </w:t>
      </w:r>
      <w:r>
        <w:rPr>
          <w:rFonts w:ascii="inherit" w:hAnsi="inherit"/>
          <w:sz w:val="17"/>
        </w:rPr>
        <w:t>(</w:t>
      </w:r>
      <w:r>
        <w:rPr>
          <w:rFonts w:ascii="inherit" w:hAnsi="inherit"/>
          <w:strike w:val="false"/>
          <w:dstrike w:val="false"/>
          <w:color w:val="000000"/>
          <w:sz w:val="17"/>
          <w:u w:val="none"/>
          <w:effect w:val="none"/>
        </w:rPr>
        <w:t>48%</w:t>
      </w:r>
      <w:r>
        <w:rPr>
          <w:sz w:val="17"/>
        </w:rPr>
        <w:t xml:space="preserve"> </w:t>
      </w:r>
      <w:r>
        <w:rPr>
          <w:rFonts w:ascii="inherit" w:hAnsi="inherit"/>
          <w:sz w:val="17"/>
        </w:rPr>
        <w:t xml:space="preserve">of revenues) in the prior year. The dollar increase was due to a </w:t>
      </w:r>
      <w:r>
        <w:rPr>
          <w:rFonts w:ascii="inherit" w:hAnsi="inherit"/>
          <w:strike w:val="false"/>
          <w:dstrike w:val="false"/>
          <w:color w:val="000000"/>
          <w:sz w:val="17"/>
          <w:u w:val="none"/>
          <w:effect w:val="none"/>
        </w:rPr>
        <w:t>75.3%</w:t>
      </w:r>
      <w:r>
        <w:rPr>
          <w:rFonts w:ascii="inherit" w:hAnsi="inherit"/>
          <w:sz w:val="17"/>
        </w:rPr>
        <w:t xml:space="preserve">, or </w:t>
      </w:r>
      <w:r>
        <w:rPr>
          <w:rFonts w:ascii="inherit" w:hAnsi="inherit"/>
          <w:strike w:val="false"/>
          <w:dstrike w:val="false"/>
          <w:color w:val="000000"/>
          <w:sz w:val="17"/>
          <w:u w:val="none"/>
          <w:effect w:val="none"/>
        </w:rPr>
        <w:t>$16.0 million</w:t>
      </w:r>
      <w:r>
        <w:rPr>
          <w:rFonts w:ascii="inherit" w:hAnsi="inherit"/>
          <w:sz w:val="17"/>
        </w:rPr>
        <w:t xml:space="preserve">, increase in operations expenses due to higher operating costs resulting from the addition of 51 Empeño Fácil stores since the prior period, other acquisitions costs and Crediamigo administrative expenses. Depreciation and amortization increased </w:t>
      </w:r>
      <w:r>
        <w:rPr>
          <w:rFonts w:ascii="inherit" w:hAnsi="inherit"/>
          <w:strike w:val="false"/>
          <w:dstrike w:val="false"/>
          <w:color w:val="000000"/>
          <w:sz w:val="17"/>
          <w:u w:val="none"/>
          <w:effect w:val="none"/>
        </w:rPr>
        <w:t>$2.2 million</w:t>
      </w:r>
      <w:r>
        <w:rPr>
          <w:sz w:val="17"/>
        </w:rPr>
        <w:t xml:space="preserve"> </w:t>
      </w:r>
      <w:r>
        <w:rPr>
          <w:rFonts w:ascii="inherit" w:hAnsi="inherit"/>
          <w:sz w:val="17"/>
        </w:rPr>
        <w:t xml:space="preserve">from the prior year to </w:t>
      </w:r>
      <w:r>
        <w:rPr>
          <w:rFonts w:ascii="inherit" w:hAnsi="inherit"/>
          <w:strike w:val="false"/>
          <w:dstrike w:val="false"/>
          <w:color w:val="000000"/>
          <w:sz w:val="17"/>
          <w:u w:val="none"/>
          <w:effect w:val="none"/>
        </w:rPr>
        <w:t>$4.7 million</w:t>
      </w:r>
      <w:r>
        <w:rPr>
          <w:rFonts w:ascii="inherit" w:hAnsi="inherit"/>
          <w:sz w:val="17"/>
        </w:rPr>
        <w:t xml:space="preserve">, mainly due to depreciation of assets placed in service at new stores and amortization of acquisition related intangible assets. The increase in total expense was partially offset by a </w:t>
      </w:r>
      <w:r>
        <w:rPr>
          <w:rFonts w:ascii="inherit" w:hAnsi="inherit"/>
          <w:strike w:val="false"/>
          <w:dstrike w:val="false"/>
          <w:color w:val="000000"/>
          <w:sz w:val="17"/>
          <w:u w:val="none"/>
          <w:effect w:val="none"/>
        </w:rPr>
        <w:t>$4.5 million</w:t>
      </w:r>
      <w:r>
        <w:rPr>
          <w:sz w:val="17"/>
        </w:rPr>
        <w:t xml:space="preserve"> </w:t>
      </w:r>
      <w:r>
        <w:rPr>
          <w:rFonts w:ascii="inherit" w:hAnsi="inherit"/>
          <w:sz w:val="17"/>
        </w:rPr>
        <w:t xml:space="preserve">reduction to interest expense due to the accelerated amortization of debt premium associated with Crediamigo's refinanced debt. The weighted average rate on Crediamigo's third party debt was 11% at September 30, 2012 compared to 19% at the time of acquisition. </w:t>
      </w:r>
    </w:p>
    <w:p>
      <w:pPr>
        <w:pStyle w:val="TextBody"/>
        <w:spacing w:lineRule="auto" w:line="288" w:before="0" w:after="0"/>
        <w:jc w:val="left"/>
        <w:rPr>
          <w:rFonts w:ascii="inherit" w:hAnsi="inherit"/>
          <w:sz w:val="17"/>
        </w:rPr>
      </w:pPr>
      <w:r>
        <w:rPr>
          <w:rFonts w:ascii="inherit" w:hAnsi="inherit"/>
          <w:sz w:val="17"/>
        </w:rPr>
        <w:t xml:space="preserve">Within the segment, purchase accounting pre-tax income impact during the year totaled $9.3 million, of which $5.6 million was attributable to EZCORP, Inc. with the majority of the adjustment coming from the accelerated amortization of debt premium associated with the refinanced debt at Crediamigo. </w:t>
      </w:r>
    </w:p>
    <w:p>
      <w:pPr>
        <w:pStyle w:val="TextBody"/>
        <w:spacing w:lineRule="auto" w:line="288" w:before="0" w:after="0"/>
        <w:jc w:val="left"/>
        <w:rPr>
          <w:sz w:val="17"/>
        </w:rPr>
      </w:pPr>
      <w:r>
        <w:rPr>
          <w:rFonts w:ascii="inherit" w:hAnsi="inherit"/>
          <w:sz w:val="17"/>
        </w:rPr>
        <w:t xml:space="preserve">In fiscal 2012, the </w:t>
      </w:r>
      <w:r>
        <w:rPr>
          <w:rFonts w:ascii="inherit" w:hAnsi="inherit"/>
          <w:strike w:val="false"/>
          <w:dstrike w:val="false"/>
          <w:color w:val="000000"/>
          <w:sz w:val="17"/>
          <w:u w:val="none"/>
          <w:effect w:val="none"/>
        </w:rPr>
        <w:t>$44.1 million</w:t>
      </w:r>
      <w:r>
        <w:rPr>
          <w:sz w:val="17"/>
        </w:rPr>
        <w:t xml:space="preserve"> </w:t>
      </w:r>
      <w:r>
        <w:rPr>
          <w:rFonts w:ascii="inherit" w:hAnsi="inherit"/>
          <w:sz w:val="17"/>
        </w:rPr>
        <w:t xml:space="preserve">greater net revenues were partially offset by the $13.7 million in segment expenses, resulting in a </w:t>
      </w:r>
      <w:r>
        <w:rPr>
          <w:rFonts w:ascii="inherit" w:hAnsi="inherit"/>
          <w:strike w:val="false"/>
          <w:dstrike w:val="false"/>
          <w:color w:val="000000"/>
          <w:sz w:val="17"/>
          <w:u w:val="none"/>
          <w:effect w:val="none"/>
        </w:rPr>
        <w:t>$30.4 million</w:t>
      </w:r>
      <w:r>
        <w:rPr>
          <w:sz w:val="17"/>
        </w:rPr>
        <w:t xml:space="preserve"> </w:t>
      </w:r>
      <w:r>
        <w:rPr>
          <w:rFonts w:ascii="inherit" w:hAnsi="inherit"/>
          <w:sz w:val="17"/>
        </w:rPr>
        <w:t xml:space="preserve">increase in contribution for the Latin America segment. Contribution margin increased 24.7 percentage points to 34%. For fiscal 2012, Latin America's segment contribution represents 12% of consolidated segment contribution compared to 2% a year ago, this 10 percentage point increase makes Latin America our fastest growing segment. </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Other International </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Other International segment:</w:t>
      </w:r>
    </w:p>
    <w:tbl>
      <w:tblPr>
        <w:tblW w:w="10205" w:type="dxa"/>
        <w:jc w:val="left"/>
        <w:tblInd w:w="0" w:type="dxa"/>
        <w:tblCellMar>
          <w:top w:w="0" w:type="dxa"/>
          <w:left w:w="0" w:type="dxa"/>
          <w:bottom w:w="0" w:type="dxa"/>
          <w:right w:w="0" w:type="dxa"/>
        </w:tblCellMar>
      </w:tblPr>
      <w:tblGrid>
        <w:gridCol w:w="5993"/>
        <w:gridCol w:w="181"/>
        <w:gridCol w:w="1345"/>
        <w:gridCol w:w="250"/>
        <w:gridCol w:w="149"/>
        <w:gridCol w:w="181"/>
        <w:gridCol w:w="1345"/>
        <w:gridCol w:w="76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99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93" w:type="dxa"/>
            <w:tcBorders/>
            <w:shd w:fill="auto" w:val="clear"/>
            <w:vAlign w:val="center"/>
          </w:tcPr>
          <w:p>
            <w:pPr>
              <w:pStyle w:val="TableContents"/>
              <w:spacing w:before="0" w:after="0"/>
              <w:ind w:left="0" w:right="0" w:firstLine="30"/>
              <w:jc w:val="left"/>
              <w:rPr/>
            </w:pPr>
            <w:r>
              <w:rPr/>
              <w:t> </w:t>
            </w:r>
          </w:p>
        </w:tc>
        <w:tc>
          <w:tcPr>
            <w:tcW w:w="421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993" w:type="dxa"/>
            <w:tcBorders/>
            <w:shd w:fill="auto" w:val="clear"/>
            <w:vAlign w:val="center"/>
          </w:tcPr>
          <w:p>
            <w:pPr>
              <w:pStyle w:val="TableContents"/>
              <w:spacing w:before="0" w:after="0"/>
              <w:ind w:left="0" w:right="0" w:firstLine="30"/>
              <w:jc w:val="left"/>
              <w:rPr/>
            </w:pPr>
            <w:r>
              <w:rPr/>
              <w:t> </w:t>
            </w:r>
          </w:p>
        </w:tc>
        <w:tc>
          <w:tcPr>
            <w:tcW w:w="17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9" w:type="dxa"/>
            <w:tcBorders/>
            <w:shd w:fill="auto" w:val="clear"/>
            <w:vAlign w:val="center"/>
          </w:tcPr>
          <w:p>
            <w:pPr>
              <w:pStyle w:val="TableContents"/>
              <w:spacing w:before="0" w:after="0"/>
              <w:ind w:left="0" w:right="0" w:firstLine="30"/>
              <w:rPr/>
            </w:pPr>
            <w:r>
              <w:rPr/>
              <w:t> </w:t>
            </w:r>
          </w:p>
        </w:tc>
        <w:tc>
          <w:tcPr>
            <w:tcW w:w="228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993" w:type="dxa"/>
            <w:tcBorders/>
            <w:shd w:fill="auto" w:val="clear"/>
            <w:vAlign w:val="center"/>
          </w:tcPr>
          <w:p>
            <w:pPr>
              <w:pStyle w:val="TableContents"/>
              <w:spacing w:before="0" w:after="0"/>
              <w:ind w:left="0" w:right="0" w:firstLine="30"/>
              <w:jc w:val="left"/>
              <w:rPr/>
            </w:pPr>
            <w:r>
              <w:rPr/>
              <w:t> </w:t>
            </w:r>
          </w:p>
        </w:tc>
        <w:tc>
          <w:tcPr>
            <w:tcW w:w="421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76"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287" w:type="dxa"/>
            <w:gridSpan w:val="3"/>
            <w:tcBorders/>
            <w:shd w:fill="CCEEFF" w:val="clear"/>
            <w:vAlign w:val="center"/>
          </w:tcPr>
          <w:p>
            <w:pPr>
              <w:pStyle w:val="TableContents"/>
              <w:spacing w:before="0" w:after="0"/>
              <w:ind w:left="0" w:right="0" w:firstLine="180"/>
              <w:rPr/>
            </w:pPr>
            <w:r>
              <w:rPr/>
              <w:t> </w:t>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shd w:fill="auto" w:val="clear"/>
            <w:vAlign w:val="center"/>
          </w:tcPr>
          <w:p>
            <w:pPr>
              <w:pStyle w:val="TableContents"/>
              <w:spacing w:before="0" w:after="0"/>
              <w:jc w:val="right"/>
              <w:rPr>
                <w:rFonts w:ascii="inherit" w:hAnsi="inherit"/>
                <w:sz w:val="17"/>
              </w:rPr>
            </w:pPr>
            <w:r>
              <w:rPr>
                <w:rFonts w:ascii="inherit" w:hAnsi="inherit"/>
                <w:sz w:val="17"/>
              </w:rPr>
              <w:t>9,884</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308</w:t>
            </w:r>
          </w:p>
        </w:tc>
        <w:tc>
          <w:tcPr>
            <w:tcW w:w="2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61"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10,192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761" w:type="dxa"/>
            <w:tcBorders>
              <w:top w:val="single" w:sz="2" w:space="0" w:color="000000"/>
            </w:tcBorders>
            <w:shd w:fill="auto"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3,663</w:t>
            </w:r>
          </w:p>
        </w:tc>
        <w:tc>
          <w:tcPr>
            <w:tcW w:w="2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61"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6,529</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776"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287" w:type="dxa"/>
            <w:gridSpan w:val="3"/>
            <w:tcBorders/>
            <w:shd w:fill="CCEEFF" w:val="clear"/>
            <w:vAlign w:val="center"/>
          </w:tcPr>
          <w:p>
            <w:pPr>
              <w:pStyle w:val="TableContents"/>
              <w:spacing w:before="0" w:after="0"/>
              <w:ind w:left="0" w:right="0" w:firstLine="180"/>
              <w:rPr/>
            </w:pPr>
            <w:r>
              <w:rPr/>
              <w:t> </w:t>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6,718</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795</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net</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(17,400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(16,237</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5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(559</w:t>
            </w:r>
          </w:p>
        </w:tc>
        <w:tc>
          <w:tcPr>
            <w:tcW w:w="2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761" w:type="dxa"/>
            <w:tcBorders>
              <w:bottom w:val="single" w:sz="2" w:space="0" w:color="000000"/>
            </w:tcBorders>
            <w:shd w:fill="auto"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17,325</w:t>
            </w:r>
          </w:p>
        </w:tc>
        <w:tc>
          <w:tcPr>
            <w:tcW w:w="25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15,610</w:t>
            </w:r>
          </w:p>
        </w:tc>
        <w:tc>
          <w:tcPr>
            <w:tcW w:w="761"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76" w:type="dxa"/>
            <w:gridSpan w:val="3"/>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2287" w:type="dxa"/>
            <w:gridSpan w:val="3"/>
            <w:tcBorders/>
            <w:shd w:fill="auto" w:val="clear"/>
            <w:vAlign w:val="center"/>
          </w:tcPr>
          <w:p>
            <w:pPr>
              <w:pStyle w:val="TableContents"/>
              <w:spacing w:before="0" w:after="0"/>
              <w:ind w:left="0" w:right="0" w:firstLine="300"/>
              <w:jc w:val="left"/>
              <w:rPr/>
            </w:pPr>
            <w:r>
              <w:rPr/>
              <w:t> </w:t>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76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In the first quarter of fiscal 2012, we began offering consumer loans online in the U.K. On April 14, 2012, we acquired a 72% interest in Cash Genie, an online lending business in the U.K. and consolidated it with our existing U.K. operations. In fiscal 2012, consumer loan fees were </w:t>
      </w:r>
      <w:r>
        <w:rPr>
          <w:rFonts w:ascii="inherit" w:hAnsi="inherit"/>
          <w:strike w:val="false"/>
          <w:dstrike w:val="false"/>
          <w:color w:val="000000"/>
          <w:sz w:val="17"/>
          <w:u w:val="none"/>
          <w:effect w:val="none"/>
        </w:rPr>
        <w:t>$9.9 million</w:t>
      </w:r>
      <w:r>
        <w:rPr>
          <w:rFonts w:ascii="inherit" w:hAnsi="inherit"/>
          <w:sz w:val="17"/>
        </w:rPr>
        <w:t xml:space="preserve">, with bad debt as a percentage of fees at </w:t>
      </w:r>
      <w:r>
        <w:rPr>
          <w:rFonts w:ascii="inherit" w:hAnsi="inherit"/>
          <w:strike w:val="false"/>
          <w:dstrike w:val="false"/>
          <w:color w:val="000000"/>
          <w:sz w:val="17"/>
          <w:u w:val="none"/>
          <w:effect w:val="none"/>
        </w:rPr>
        <w:t>37%</w:t>
      </w:r>
      <w:r>
        <w:rPr>
          <w:rFonts w:ascii="inherit" w:hAnsi="inherit"/>
          <w:sz w:val="17"/>
        </w:rPr>
        <w:t xml:space="preserve">. </w:t>
      </w:r>
    </w:p>
    <w:p>
      <w:pPr>
        <w:pStyle w:val="TextBody"/>
        <w:spacing w:lineRule="auto" w:line="288" w:before="0" w:after="0"/>
        <w:jc w:val="left"/>
        <w:rPr>
          <w:sz w:val="17"/>
        </w:rPr>
      </w:pPr>
      <w:r>
        <w:rPr>
          <w:rFonts w:ascii="inherit" w:hAnsi="inherit"/>
          <w:sz w:val="17"/>
        </w:rPr>
        <w:t xml:space="preserve">Our equity in the net income of unconsolidated affiliates increased </w:t>
      </w:r>
      <w:r>
        <w:rPr>
          <w:rFonts w:ascii="inherit" w:hAnsi="inherit"/>
          <w:strike w:val="false"/>
          <w:dstrike w:val="false"/>
          <w:color w:val="000000"/>
          <w:sz w:val="17"/>
          <w:u w:val="none"/>
          <w:effect w:val="none"/>
        </w:rPr>
        <w:t>$1.2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xml:space="preserve">, from the prior year to </w:t>
      </w:r>
      <w:r>
        <w:rPr>
          <w:rFonts w:ascii="inherit" w:hAnsi="inherit"/>
          <w:strike w:val="false"/>
          <w:dstrike w:val="false"/>
          <w:color w:val="000000"/>
          <w:sz w:val="17"/>
          <w:u w:val="none"/>
          <w:effect w:val="none"/>
        </w:rPr>
        <w:t>$17.4 million</w:t>
      </w:r>
      <w:r>
        <w:rPr>
          <w:rFonts w:ascii="inherit" w:hAnsi="inherit"/>
          <w:sz w:val="17"/>
        </w:rPr>
        <w:t xml:space="preserve">. The increase is due to strong performance by Cash Converters International and a slight increase by Albermarle &amp; Bond. </w:t>
      </w:r>
    </w:p>
    <w:p>
      <w:pPr>
        <w:pStyle w:val="TextBody"/>
        <w:spacing w:lineRule="auto" w:line="288" w:before="0" w:after="0"/>
        <w:jc w:val="left"/>
        <w:rPr>
          <w:sz w:val="17"/>
        </w:rPr>
      </w:pPr>
      <w:r>
        <w:rPr>
          <w:rFonts w:ascii="inherit" w:hAnsi="inherit"/>
          <w:sz w:val="17"/>
        </w:rPr>
        <w:t xml:space="preserve">In fiscal 2012, the </w:t>
      </w:r>
      <w:r>
        <w:rPr>
          <w:rFonts w:ascii="inherit" w:hAnsi="inherit"/>
          <w:strike w:val="false"/>
          <w:dstrike w:val="false"/>
          <w:color w:val="000000"/>
          <w:sz w:val="17"/>
          <w:u w:val="none"/>
          <w:effect w:val="none"/>
        </w:rPr>
        <w:t>$6.5 million</w:t>
      </w:r>
      <w:r>
        <w:rPr>
          <w:sz w:val="17"/>
        </w:rPr>
        <w:t xml:space="preserve"> </w:t>
      </w:r>
      <w:r>
        <w:rPr>
          <w:rFonts w:ascii="inherit" w:hAnsi="inherit"/>
          <w:sz w:val="17"/>
        </w:rPr>
        <w:t xml:space="preserve">net revenues, the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increase in our equity in the net income of unconsolidated affiliates and $0.4 million increase in other income were mostly offset by a $6.4 million increase in other segment expenses, resulting in a </w:t>
      </w:r>
      <w:r>
        <w:rPr>
          <w:rFonts w:ascii="inherit" w:hAnsi="inherit"/>
          <w:strike w:val="false"/>
          <w:dstrike w:val="false"/>
          <w:color w:val="000000"/>
          <w:sz w:val="17"/>
          <w:u w:val="none"/>
          <w:effect w:val="none"/>
        </w:rPr>
        <w:t>$1.7 million</w:t>
      </w:r>
      <w:r>
        <w:rPr>
          <w:sz w:val="17"/>
        </w:rPr>
        <w:t xml:space="preserve"> </w:t>
      </w:r>
      <w:r>
        <w:rPr>
          <w:rFonts w:ascii="inherit" w:hAnsi="inherit"/>
          <w:sz w:val="17"/>
        </w:rPr>
        <w:t xml:space="preserve">increase in contribution for the Other International segment. Operations expenses include $6.1 million of Cash Genie expenses. For fiscal 2012, segment contribution from the Other International segment stayed relatively constant at 6% of consolidated segment contribution.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Items</w:t>
      </w:r>
    </w:p>
    <w:p>
      <w:pPr>
        <w:pStyle w:val="TextBody"/>
        <w:spacing w:lineRule="auto" w:line="288" w:before="0" w:after="0"/>
        <w:jc w:val="left"/>
        <w:rPr>
          <w:rFonts w:ascii="inherit" w:hAnsi="inherit"/>
          <w:sz w:val="17"/>
        </w:rPr>
      </w:pPr>
      <w:r>
        <w:rPr>
          <w:rFonts w:ascii="inherit" w:hAnsi="inherit"/>
          <w:sz w:val="17"/>
        </w:rPr>
        <w:t>The following table reconciles our consolidated segment contribution discussed above to net income attributable to EZCORP, INC., including items that affect our consolidated financial results but are not allocated among segments:</w:t>
      </w:r>
    </w:p>
    <w:tbl>
      <w:tblPr>
        <w:tblW w:w="10205" w:type="dxa"/>
        <w:jc w:val="left"/>
        <w:tblInd w:w="0" w:type="dxa"/>
        <w:tblCellMar>
          <w:top w:w="0" w:type="dxa"/>
          <w:left w:w="0" w:type="dxa"/>
          <w:bottom w:w="0" w:type="dxa"/>
          <w:right w:w="0" w:type="dxa"/>
        </w:tblCellMar>
      </w:tblPr>
      <w:tblGrid>
        <w:gridCol w:w="6005"/>
        <w:gridCol w:w="180"/>
        <w:gridCol w:w="1442"/>
        <w:gridCol w:w="166"/>
        <w:gridCol w:w="148"/>
        <w:gridCol w:w="180"/>
        <w:gridCol w:w="1442"/>
        <w:gridCol w:w="64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05" w:type="dxa"/>
            <w:tcBorders/>
            <w:shd w:fill="auto" w:val="clear"/>
            <w:vAlign w:val="center"/>
          </w:tcPr>
          <w:p>
            <w:pPr>
              <w:pStyle w:val="TableContents"/>
              <w:spacing w:before="0" w:after="0"/>
              <w:ind w:left="0" w:right="0" w:firstLine="30"/>
              <w:jc w:val="left"/>
              <w:rPr/>
            </w:pPr>
            <w:r>
              <w:rPr/>
              <w:t> </w:t>
            </w:r>
          </w:p>
        </w:tc>
        <w:tc>
          <w:tcPr>
            <w:tcW w:w="42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05" w:type="dxa"/>
            <w:tcBorders/>
            <w:shd w:fill="auto" w:val="clear"/>
            <w:vAlign w:val="center"/>
          </w:tcPr>
          <w:p>
            <w:pPr>
              <w:pStyle w:val="TableContents"/>
              <w:spacing w:before="0" w:after="0"/>
              <w:ind w:left="0" w:right="0" w:firstLine="30"/>
              <w:jc w:val="left"/>
              <w:rPr/>
            </w:pPr>
            <w:r>
              <w:rPr/>
              <w:t> </w:t>
            </w:r>
          </w:p>
        </w:tc>
        <w:tc>
          <w:tcPr>
            <w:tcW w:w="17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8" w:type="dxa"/>
            <w:tcBorders/>
            <w:shd w:fill="auto" w:val="clear"/>
            <w:vAlign w:val="center"/>
          </w:tcPr>
          <w:p>
            <w:pPr>
              <w:pStyle w:val="TableContents"/>
              <w:spacing w:before="0" w:after="0"/>
              <w:ind w:left="0" w:right="0" w:firstLine="30"/>
              <w:rPr/>
            </w:pPr>
            <w:r>
              <w:rPr/>
              <w:t> </w:t>
            </w:r>
          </w:p>
        </w:tc>
        <w:tc>
          <w:tcPr>
            <w:tcW w:w="22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005" w:type="dxa"/>
            <w:tcBorders/>
            <w:shd w:fill="auto" w:val="clear"/>
            <w:vAlign w:val="center"/>
          </w:tcPr>
          <w:p>
            <w:pPr>
              <w:pStyle w:val="TableContents"/>
              <w:spacing w:before="0" w:after="0"/>
              <w:ind w:left="0" w:right="0" w:firstLine="30"/>
              <w:jc w:val="left"/>
              <w:rPr/>
            </w:pPr>
            <w:r>
              <w:rPr/>
              <w:t> </w:t>
            </w:r>
          </w:p>
        </w:tc>
        <w:tc>
          <w:tcPr>
            <w:tcW w:w="420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shd w:fill="CCEEFF" w:val="clear"/>
            <w:vAlign w:val="center"/>
          </w:tcPr>
          <w:p>
            <w:pPr>
              <w:pStyle w:val="TableContents"/>
              <w:spacing w:before="0" w:after="0"/>
              <w:jc w:val="right"/>
              <w:rPr>
                <w:rFonts w:ascii="inherit" w:hAnsi="inherit"/>
                <w:sz w:val="17"/>
              </w:rPr>
            </w:pPr>
            <w:r>
              <w:rPr>
                <w:rFonts w:ascii="inherit" w:hAnsi="inherit"/>
                <w:sz w:val="17"/>
              </w:rPr>
              <w:t>282,710</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shd w:fill="CCEEFF" w:val="clear"/>
            <w:vAlign w:val="center"/>
          </w:tcPr>
          <w:p>
            <w:pPr>
              <w:pStyle w:val="TableContents"/>
              <w:spacing w:before="0" w:after="0"/>
              <w:jc w:val="right"/>
              <w:rPr>
                <w:rFonts w:ascii="inherit" w:hAnsi="inherit"/>
                <w:sz w:val="17"/>
              </w:rPr>
            </w:pPr>
            <w:r>
              <w:rPr>
                <w:rFonts w:ascii="inherit" w:hAnsi="inherit"/>
                <w:sz w:val="17"/>
              </w:rPr>
              <w:t>246,224</w:t>
            </w:r>
          </w:p>
        </w:tc>
        <w:tc>
          <w:tcPr>
            <w:tcW w:w="6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788"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264" w:type="dxa"/>
            <w:gridSpan w:val="3"/>
            <w:tcBorders/>
            <w:shd w:fill="auto" w:val="clear"/>
            <w:vAlign w:val="center"/>
          </w:tcPr>
          <w:p>
            <w:pPr>
              <w:pStyle w:val="TableContents"/>
              <w:spacing w:before="0" w:after="0"/>
              <w:ind w:left="0" w:right="0" w:firstLine="180"/>
              <w:rPr/>
            </w:pPr>
            <w:r>
              <w:rPr/>
              <w:t> </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47,912</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50,584</w:t>
            </w:r>
          </w:p>
        </w:tc>
        <w:tc>
          <w:tcPr>
            <w:tcW w:w="6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5,457</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3,832</w:t>
            </w:r>
          </w:p>
        </w:tc>
        <w:tc>
          <w:tcPr>
            <w:tcW w:w="6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pPr>
            <w:r>
              <w:rPr/>
              <w:t>—</w:t>
            </w:r>
          </w:p>
        </w:tc>
        <w:tc>
          <w:tcPr>
            <w:tcW w:w="6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shd w:fill="auto" w:val="clear"/>
            <w:vAlign w:val="center"/>
          </w:tcPr>
          <w:p>
            <w:pPr>
              <w:pStyle w:val="TableContents"/>
              <w:spacing w:before="0" w:after="0"/>
              <w:jc w:val="right"/>
              <w:rPr/>
            </w:pPr>
            <w:r>
              <w:rPr/>
              <w:t>—</w:t>
            </w:r>
          </w:p>
        </w:tc>
        <w:tc>
          <w:tcPr>
            <w:tcW w:w="6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2,961</w:t>
            </w:r>
          </w:p>
        </w:tc>
        <w:tc>
          <w:tcPr>
            <w:tcW w:w="1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1,619</w:t>
            </w:r>
          </w:p>
        </w:tc>
        <w:tc>
          <w:tcPr>
            <w:tcW w:w="642"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income from continuing operations before income taxes</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226,362</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190,189</w:t>
            </w:r>
          </w:p>
        </w:tc>
        <w:tc>
          <w:tcPr>
            <w:tcW w:w="64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1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6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155,110</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123,717</w:t>
            </w:r>
          </w:p>
        </w:tc>
        <w:tc>
          <w:tcPr>
            <w:tcW w:w="6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16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642" w:type="dxa"/>
            <w:tcBorders>
              <w:bottom w:val="single" w:sz="2" w:space="0" w:color="000000"/>
            </w:tcBorders>
            <w:shd w:fill="CCEEFF"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6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150,577</w:t>
            </w:r>
          </w:p>
        </w:tc>
        <w:tc>
          <w:tcPr>
            <w:tcW w:w="16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642" w:type="dxa"/>
            <w:tcBorders>
              <w:top w:val="single" w:sz="2" w:space="0" w:color="000000"/>
            </w:tcBorders>
            <w:shd w:fill="auto" w:val="clear"/>
            <w:tcMar>
              <w:top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6,869</w:t>
            </w:r>
          </w:p>
        </w:tc>
        <w:tc>
          <w:tcPr>
            <w:tcW w:w="1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pPr>
            <w:r>
              <w:rPr/>
              <w:t>—</w:t>
            </w:r>
          </w:p>
        </w:tc>
        <w:tc>
          <w:tcPr>
            <w:tcW w:w="6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attributable to EZCORP, Inc. </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6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Total corporate expenses increased $0.3 million to $56.3 million as the </w:t>
      </w:r>
      <w:r>
        <w:rPr>
          <w:rFonts w:ascii="inherit" w:hAnsi="inherit"/>
          <w:strike w:val="false"/>
          <w:dstrike w:val="false"/>
          <w:color w:val="000000"/>
          <w:sz w:val="17"/>
          <w:u w:val="none"/>
          <w:effect w:val="none"/>
        </w:rPr>
        <w:t>$1.6 million</w:t>
      </w:r>
      <w:r>
        <w:rPr>
          <w:sz w:val="17"/>
        </w:rPr>
        <w:t xml:space="preserve"> </w:t>
      </w:r>
      <w:r>
        <w:rPr>
          <w:rFonts w:ascii="inherit" w:hAnsi="inherit"/>
          <w:sz w:val="17"/>
        </w:rPr>
        <w:t xml:space="preserve">increase in depreciation expense and </w:t>
      </w:r>
      <w:r>
        <w:rPr>
          <w:rFonts w:ascii="inherit" w:hAnsi="inherit"/>
          <w:strike w:val="false"/>
          <w:dstrike w:val="false"/>
          <w:color w:val="000000"/>
          <w:sz w:val="17"/>
          <w:u w:val="none"/>
          <w:effect w:val="none"/>
        </w:rPr>
        <w:t>$1.3 million</w:t>
      </w:r>
      <w:r>
        <w:rPr>
          <w:sz w:val="17"/>
        </w:rPr>
        <w:t xml:space="preserve"> </w:t>
      </w:r>
      <w:r>
        <w:rPr>
          <w:rFonts w:ascii="inherit" w:hAnsi="inherit"/>
          <w:sz w:val="17"/>
        </w:rPr>
        <w:t xml:space="preserve">increase in interest expense, were mostly offset by a </w:t>
      </w:r>
      <w:r>
        <w:rPr>
          <w:rFonts w:ascii="inherit" w:hAnsi="inherit"/>
          <w:strike w:val="false"/>
          <w:dstrike w:val="false"/>
          <w:color w:val="000000"/>
          <w:sz w:val="17"/>
          <w:u w:val="none"/>
          <w:effect w:val="none"/>
        </w:rPr>
        <w:t>$2.7 million</w:t>
      </w:r>
      <w:r>
        <w:rPr>
          <w:sz w:val="17"/>
        </w:rPr>
        <w:t xml:space="preserve"> </w:t>
      </w:r>
      <w:r>
        <w:rPr>
          <w:rFonts w:ascii="inherit" w:hAnsi="inherit"/>
          <w:sz w:val="17"/>
        </w:rPr>
        <w:t xml:space="preserve">decrease in administrative expense. The decrease in administrative expense is primarily due to a pre-tax charge of $10.9 million related to the retirement of our former Chief Executive officer in fiscal 2011. This charge included a $3.4 million attributable to a cash payment and $7.5 million attributable to the accelerated vesting of restricted stock. Excluding this charge, administrative expenses increased $8.2 million, or 21%, which was primarily associated with supporting accelerated growth of the de novo and international operations. In fiscal 2012, interest expense increased 83% due to greater utilization of our revolver and depreciation expense increased 42% due to assets placed in service as we continue to invest in the infrastructure to support our growth. </w:t>
      </w:r>
    </w:p>
    <w:p>
      <w:pPr>
        <w:pStyle w:val="TextBody"/>
        <w:spacing w:lineRule="auto" w:line="288" w:before="0" w:after="0"/>
        <w:jc w:val="left"/>
        <w:rPr>
          <w:sz w:val="17"/>
        </w:rPr>
      </w:pPr>
      <w:r>
        <w:rPr>
          <w:rFonts w:ascii="inherit" w:hAnsi="inherit"/>
          <w:sz w:val="17"/>
        </w:rPr>
        <w:t xml:space="preserve">Consolidated income from continued operations before taxes increased </w:t>
      </w:r>
      <w:r>
        <w:rPr>
          <w:rFonts w:ascii="inherit" w:hAnsi="inherit"/>
          <w:strike w:val="false"/>
          <w:dstrike w:val="false"/>
          <w:color w:val="000000"/>
          <w:sz w:val="17"/>
          <w:u w:val="none"/>
          <w:effect w:val="none"/>
        </w:rPr>
        <w:t>$36.2 million</w:t>
      </w:r>
      <w:r>
        <w:rPr>
          <w:rFonts w:ascii="inherit" w:hAnsi="inherit"/>
          <w:sz w:val="17"/>
        </w:rPr>
        <w:t xml:space="preserve">, or </w:t>
      </w:r>
      <w:r>
        <w:rPr>
          <w:rFonts w:ascii="inherit" w:hAnsi="inherit"/>
          <w:strike w:val="false"/>
          <w:dstrike w:val="false"/>
          <w:color w:val="000000"/>
          <w:sz w:val="17"/>
          <w:u w:val="none"/>
          <w:effect w:val="none"/>
        </w:rPr>
        <w:t>19%</w:t>
      </w:r>
      <w:r>
        <w:rPr>
          <w:rFonts w:ascii="inherit" w:hAnsi="inherit"/>
          <w:sz w:val="17"/>
        </w:rPr>
        <w:t xml:space="preserve">, to </w:t>
      </w:r>
      <w:r>
        <w:rPr>
          <w:rFonts w:ascii="inherit" w:hAnsi="inherit"/>
          <w:strike w:val="false"/>
          <w:dstrike w:val="false"/>
          <w:color w:val="000000"/>
          <w:sz w:val="17"/>
          <w:u w:val="none"/>
          <w:effect w:val="none"/>
        </w:rPr>
        <w:t>$226.4 million</w:t>
      </w:r>
      <w:r>
        <w:rPr>
          <w:sz w:val="17"/>
        </w:rPr>
        <w:t xml:space="preserve"> </w:t>
      </w:r>
      <w:r>
        <w:rPr>
          <w:rFonts w:ascii="inherit" w:hAnsi="inherit"/>
          <w:sz w:val="17"/>
        </w:rPr>
        <w:t xml:space="preserve">mostly due to a </w:t>
      </w:r>
      <w:r>
        <w:rPr>
          <w:rFonts w:ascii="inherit" w:hAnsi="inherit"/>
          <w:strike w:val="false"/>
          <w:dstrike w:val="false"/>
          <w:color w:val="000000"/>
          <w:sz w:val="17"/>
          <w:u w:val="none"/>
          <w:effect w:val="none"/>
        </w:rPr>
        <w:t>$4.4 million</w:t>
      </w:r>
      <w:r>
        <w:rPr>
          <w:rFonts w:ascii="inherit" w:hAnsi="inherit"/>
          <w:sz w:val="17"/>
        </w:rPr>
        <w:t xml:space="preserve">, </w:t>
      </w:r>
      <w:r>
        <w:rPr>
          <w:rFonts w:ascii="inherit" w:hAnsi="inherit"/>
          <w:strike w:val="false"/>
          <w:dstrike w:val="false"/>
          <w:color w:val="000000"/>
          <w:sz w:val="17"/>
          <w:u w:val="none"/>
          <w:effect w:val="none"/>
        </w:rPr>
        <w:t>$30.4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$1.7 million</w:t>
      </w:r>
      <w:r>
        <w:rPr>
          <w:sz w:val="17"/>
        </w:rPr>
        <w:t xml:space="preserve"> </w:t>
      </w:r>
      <w:r>
        <w:rPr>
          <w:rFonts w:ascii="inherit" w:hAnsi="inherit"/>
          <w:sz w:val="17"/>
        </w:rPr>
        <w:t xml:space="preserve">increase in contribution from the U.S. &amp; Canada, Latin America and Other International segments, partially, offset by a $0.3 million increase in corporate expenses. </w:t>
      </w:r>
    </w:p>
    <w:p>
      <w:pPr>
        <w:pStyle w:val="TextBody"/>
        <w:spacing w:lineRule="auto" w:line="288" w:before="0" w:after="0"/>
        <w:jc w:val="left"/>
        <w:rPr>
          <w:sz w:val="17"/>
        </w:rPr>
      </w:pPr>
      <w:r>
        <w:rPr>
          <w:rFonts w:ascii="inherit" w:hAnsi="inherit"/>
          <w:sz w:val="17"/>
        </w:rPr>
        <w:t xml:space="preserve">In fiscal 2012, income tax expense increased </w:t>
      </w:r>
      <w:r>
        <w:rPr>
          <w:rFonts w:ascii="inherit" w:hAnsi="inherit"/>
          <w:strike w:val="false"/>
          <w:dstrike w:val="false"/>
          <w:color w:val="000000"/>
          <w:sz w:val="17"/>
          <w:u w:val="none"/>
          <w:effect w:val="none"/>
        </w:rPr>
        <w:t>$4.8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xml:space="preserve">, to </w:t>
      </w:r>
      <w:r>
        <w:rPr>
          <w:rFonts w:ascii="inherit" w:hAnsi="inherit"/>
          <w:strike w:val="false"/>
          <w:dstrike w:val="false"/>
          <w:color w:val="000000"/>
          <w:sz w:val="17"/>
          <w:u w:val="none"/>
          <w:effect w:val="none"/>
        </w:rPr>
        <w:t>$71.3 million</w:t>
      </w:r>
      <w:r>
        <w:rPr>
          <w:rFonts w:ascii="inherit" w:hAnsi="inherit"/>
          <w:sz w:val="17"/>
        </w:rPr>
        <w:t xml:space="preserve">. The fiscal 2012 effective tax rate is </w:t>
      </w:r>
      <w:r>
        <w:rPr>
          <w:rFonts w:ascii="inherit" w:hAnsi="inherit"/>
          <w:strike w:val="false"/>
          <w:dstrike w:val="false"/>
          <w:color w:val="000000"/>
          <w:sz w:val="17"/>
          <w:u w:val="none"/>
          <w:effect w:val="none"/>
        </w:rPr>
        <w:t>32%</w:t>
      </w:r>
      <w:r>
        <w:rPr>
          <w:rFonts w:ascii="inherit" w:hAnsi="inherit"/>
          <w:sz w:val="17"/>
        </w:rPr>
        <w:t xml:space="preserve">, compared to </w:t>
      </w:r>
      <w:r>
        <w:rPr>
          <w:rFonts w:ascii="inherit" w:hAnsi="inherit"/>
          <w:strike w:val="false"/>
          <w:dstrike w:val="false"/>
          <w:color w:val="000000"/>
          <w:sz w:val="17"/>
          <w:u w:val="none"/>
          <w:effect w:val="none"/>
        </w:rPr>
        <w:t>35%</w:t>
      </w:r>
      <w:r>
        <w:rPr>
          <w:sz w:val="17"/>
        </w:rPr>
        <w:t xml:space="preserve"> </w:t>
      </w:r>
      <w:r>
        <w:rPr>
          <w:rFonts w:ascii="inherit" w:hAnsi="inherit"/>
          <w:sz w:val="17"/>
        </w:rPr>
        <w:t>in the prior year. The decrease is primarily due to a larger portion of income being derived from countries outside the United States, as well as the recognition of state net operation losses.</w:t>
      </w:r>
    </w:p>
    <w:p>
      <w:pPr>
        <w:pStyle w:val="TextBody"/>
        <w:spacing w:lineRule="auto" w:line="288" w:before="0" w:after="0"/>
        <w:jc w:val="left"/>
        <w:rPr>
          <w:sz w:val="17"/>
        </w:rPr>
      </w:pPr>
      <w:r>
        <w:rPr>
          <w:rFonts w:ascii="inherit" w:hAnsi="inherit"/>
          <w:sz w:val="17"/>
        </w:rPr>
        <w:t xml:space="preserve">After a $3.0 million increase in loss from discontinued operations and </w:t>
      </w:r>
      <w:r>
        <w:rPr>
          <w:rFonts w:ascii="inherit" w:hAnsi="inherit"/>
          <w:strike w:val="false"/>
          <w:dstrike w:val="false"/>
          <w:color w:val="000000"/>
          <w:sz w:val="17"/>
          <w:u w:val="none"/>
          <w:effect w:val="none"/>
        </w:rPr>
        <w:t>$6.9 million</w:t>
      </w:r>
      <w:r>
        <w:rPr>
          <w:sz w:val="17"/>
        </w:rPr>
        <w:t xml:space="preserve"> </w:t>
      </w:r>
      <w:r>
        <w:rPr>
          <w:rFonts w:ascii="inherit" w:hAnsi="inherit"/>
          <w:sz w:val="17"/>
        </w:rPr>
        <w:t xml:space="preserve">of net income attributable to the noncontrolling interests, net income attributable to EZCORP, Inc. increased </w:t>
      </w:r>
      <w:r>
        <w:rPr>
          <w:rFonts w:ascii="inherit" w:hAnsi="inherit"/>
          <w:strike w:val="false"/>
          <w:dstrike w:val="false"/>
          <w:color w:val="000000"/>
          <w:sz w:val="17"/>
          <w:u w:val="none"/>
          <w:effect w:val="none"/>
        </w:rPr>
        <w:t>$21.5 million</w:t>
      </w:r>
      <w:r>
        <w:rPr>
          <w:rFonts w:ascii="inherit" w:hAnsi="inherit"/>
          <w:sz w:val="17"/>
        </w:rPr>
        <w:t xml:space="preserve">, or </w:t>
      </w:r>
      <w:r>
        <w:rPr>
          <w:rFonts w:ascii="inherit" w:hAnsi="inherit"/>
          <w:strike w:val="false"/>
          <w:dstrike w:val="false"/>
          <w:color w:val="000000"/>
          <w:sz w:val="17"/>
          <w:u w:val="none"/>
          <w:effect w:val="none"/>
        </w:rPr>
        <w:t>18%</w:t>
      </w:r>
      <w:r>
        <w:rPr>
          <w:rFonts w:ascii="inherit" w:hAnsi="inherit"/>
          <w:sz w:val="17"/>
        </w:rPr>
        <w:t xml:space="preserve">, to </w:t>
      </w:r>
      <w:r>
        <w:rPr>
          <w:rFonts w:ascii="inherit" w:hAnsi="inherit"/>
          <w:strike w:val="false"/>
          <w:dstrike w:val="false"/>
          <w:color w:val="000000"/>
          <w:sz w:val="17"/>
          <w:u w:val="none"/>
          <w:effect w:val="none"/>
        </w:rPr>
        <w:t>$143.7 million</w:t>
      </w:r>
      <w:r>
        <w:rPr>
          <w:sz w:val="17"/>
        </w:rPr>
        <w:t xml:space="preserve"> </w:t>
      </w:r>
      <w:r>
        <w:rPr>
          <w:rFonts w:ascii="inherit" w:hAnsi="inherit"/>
          <w:sz w:val="17"/>
        </w:rPr>
        <w:t xml:space="preserve">in fiscal 2012.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i/>
          <w:sz w:val="17"/>
        </w:rPr>
      </w:pPr>
      <w:r>
        <w:rPr>
          <w:rFonts w:ascii="inherit" w:hAnsi="inherit"/>
          <w:i/>
          <w:sz w:val="17"/>
        </w:rPr>
        <w:t xml:space="preserve">Fiscal 2011 Compared to Fiscal 2010 </w:t>
      </w:r>
    </w:p>
    <w:p>
      <w:pPr>
        <w:pStyle w:val="TextBody"/>
        <w:spacing w:lineRule="auto" w:line="288" w:before="0" w:after="0"/>
        <w:jc w:val="left"/>
        <w:rPr>
          <w:sz w:val="17"/>
        </w:rPr>
      </w:pPr>
      <w:r>
        <w:rPr>
          <w:rFonts w:ascii="inherit" w:hAnsi="inherit"/>
          <w:sz w:val="17"/>
        </w:rPr>
        <w:t xml:space="preserve">The following discussion compares our results of operations for the year ended </w:t>
      </w:r>
      <w:r>
        <w:rPr>
          <w:rFonts w:ascii="inherit" w:hAnsi="inherit"/>
          <w:strike w:val="false"/>
          <w:dstrike w:val="false"/>
          <w:color w:val="000000"/>
          <w:sz w:val="17"/>
          <w:u w:val="none"/>
          <w:effect w:val="none"/>
        </w:rPr>
        <w:t>September 30, 2011</w:t>
      </w:r>
      <w:r>
        <w:rPr>
          <w:sz w:val="17"/>
        </w:rPr>
        <w:t xml:space="preserve"> </w:t>
      </w:r>
      <w:r>
        <w:rPr>
          <w:rFonts w:ascii="inherit" w:hAnsi="inherit"/>
          <w:sz w:val="17"/>
        </w:rPr>
        <w:t xml:space="preserve">to the year ended </w:t>
      </w:r>
      <w:r>
        <w:rPr>
          <w:rFonts w:ascii="inherit" w:hAnsi="inherit"/>
          <w:strike w:val="false"/>
          <w:dstrike w:val="false"/>
          <w:color w:val="000000"/>
          <w:sz w:val="17"/>
          <w:u w:val="none"/>
          <w:effect w:val="none"/>
        </w:rPr>
        <w:t>September 30, 2010</w:t>
      </w:r>
      <w:r>
        <w:rPr>
          <w:rFonts w:ascii="inherit" w:hAnsi="inherit"/>
          <w:sz w:val="17"/>
        </w:rPr>
        <w:t>. It should be read with the accompanying consolidated financial statements and related notes.</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xml:space="preserve">, consolidated total revenues increased </w:t>
      </w:r>
      <w:r>
        <w:rPr>
          <w:rFonts w:ascii="inherit" w:hAnsi="inherit"/>
          <w:strike w:val="false"/>
          <w:dstrike w:val="false"/>
          <w:color w:val="000000"/>
          <w:sz w:val="17"/>
          <w:u w:val="none"/>
          <w:effect w:val="none"/>
        </w:rPr>
        <w:t>18%</w:t>
      </w:r>
      <w:r>
        <w:rPr>
          <w:rFonts w:ascii="inherit" w:hAnsi="inherit"/>
          <w:sz w:val="17"/>
        </w:rPr>
        <w:t>, or $</w:t>
      </w:r>
      <w:r>
        <w:rPr>
          <w:rFonts w:ascii="inherit" w:hAnsi="inherit"/>
          <w:strike w:val="false"/>
          <w:dstrike w:val="false"/>
          <w:color w:val="000000"/>
          <w:sz w:val="17"/>
          <w:u w:val="none"/>
          <w:effect w:val="none"/>
        </w:rPr>
        <w:t>127.6 million</w:t>
      </w:r>
      <w:r>
        <w:rPr>
          <w:rFonts w:ascii="inherit" w:hAnsi="inherit"/>
          <w:sz w:val="17"/>
        </w:rPr>
        <w:t>, to $</w:t>
      </w:r>
      <w:r>
        <w:rPr>
          <w:rFonts w:ascii="inherit" w:hAnsi="inherit"/>
          <w:strike w:val="false"/>
          <w:dstrike w:val="false"/>
          <w:color w:val="000000"/>
          <w:sz w:val="17"/>
          <w:u w:val="none"/>
          <w:effect w:val="none"/>
        </w:rPr>
        <w:t>852.8 million</w:t>
      </w:r>
      <w:r>
        <w:rPr>
          <w:rFonts w:ascii="inherit" w:hAnsi="inherit"/>
          <w:sz w:val="17"/>
        </w:rPr>
        <w:t xml:space="preserve">, compared to </w:t>
      </w:r>
      <w:r>
        <w:rPr>
          <w:rFonts w:ascii="inherit" w:hAnsi="inherit"/>
          <w:strike w:val="false"/>
          <w:dstrike w:val="false"/>
          <w:color w:val="000000"/>
          <w:sz w:val="17"/>
          <w:u w:val="none"/>
          <w:effect w:val="none"/>
        </w:rPr>
        <w:t>fiscal 2010</w:t>
      </w:r>
      <w:r>
        <w:rPr>
          <w:rFonts w:ascii="inherit" w:hAnsi="inherit"/>
          <w:sz w:val="17"/>
        </w:rPr>
        <w:t xml:space="preserve">. Same store total revenues increased $67.0 million, or 9%, and new and acquired stores contributed $60.6 million. Net income increased </w:t>
      </w:r>
      <w:r>
        <w:rPr>
          <w:rFonts w:ascii="inherit" w:hAnsi="inherit"/>
          <w:strike w:val="false"/>
          <w:dstrike w:val="false"/>
          <w:color w:val="000000"/>
          <w:sz w:val="17"/>
          <w:u w:val="none"/>
          <w:effect w:val="none"/>
        </w:rPr>
        <w:t>26%</w:t>
      </w:r>
      <w:r>
        <w:rPr>
          <w:rFonts w:ascii="inherit" w:hAnsi="inherit"/>
          <w:sz w:val="17"/>
        </w:rPr>
        <w:t>, or $</w:t>
      </w:r>
      <w:r>
        <w:rPr>
          <w:rFonts w:ascii="inherit" w:hAnsi="inherit"/>
          <w:strike w:val="false"/>
          <w:dstrike w:val="false"/>
          <w:color w:val="000000"/>
          <w:sz w:val="17"/>
          <w:u w:val="none"/>
          <w:effect w:val="none"/>
        </w:rPr>
        <w:t>24.9 million</w:t>
      </w:r>
      <w:r>
        <w:rPr>
          <w:rFonts w:ascii="inherit" w:hAnsi="inherit"/>
          <w:sz w:val="17"/>
        </w:rPr>
        <w:t>. Excluding the one-time $10.9 million charge related to the retirement of our former Chief Executive Officer and the related tax benefit in the first quarter of fiscal 2011, net income increased 33% to $129.3 million from $</w:t>
      </w:r>
      <w:r>
        <w:rPr>
          <w:rFonts w:ascii="inherit" w:hAnsi="inherit"/>
          <w:strike w:val="false"/>
          <w:dstrike w:val="false"/>
          <w:color w:val="000000"/>
          <w:sz w:val="17"/>
          <w:u w:val="none"/>
          <w:effect w:val="none"/>
        </w:rPr>
        <w:t>97.3 million</w:t>
      </w:r>
      <w:r>
        <w:rPr>
          <w:sz w:val="17"/>
        </w:rPr>
        <w:t xml:space="preserve"> </w:t>
      </w:r>
      <w:r>
        <w:rPr>
          <w:rFonts w:ascii="inherit" w:hAnsi="inherit"/>
          <w:sz w:val="17"/>
        </w:rPr>
        <w:t xml:space="preserve">in </w:t>
      </w:r>
      <w:r>
        <w:rPr>
          <w:rFonts w:ascii="inherit" w:hAnsi="inherit"/>
          <w:strike w:val="false"/>
          <w:dstrike w:val="false"/>
          <w:color w:val="000000"/>
          <w:sz w:val="17"/>
          <w:u w:val="none"/>
          <w:effect w:val="none"/>
        </w:rPr>
        <w:t>fiscal 2010</w:t>
      </w:r>
      <w:r>
        <w:rPr>
          <w:rFonts w:ascii="inherit" w:hAnsi="inherit"/>
          <w:sz w:val="17"/>
        </w:rPr>
        <w:t>.</w:t>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U.S. &amp; Canada segment:</w:t>
      </w:r>
    </w:p>
    <w:tbl>
      <w:tblPr>
        <w:tblW w:w="10205" w:type="dxa"/>
        <w:jc w:val="left"/>
        <w:tblInd w:w="0" w:type="dxa"/>
        <w:tblCellMar>
          <w:top w:w="0" w:type="dxa"/>
          <w:left w:w="0" w:type="dxa"/>
          <w:bottom w:w="0" w:type="dxa"/>
          <w:right w:w="0" w:type="dxa"/>
        </w:tblCellMar>
      </w:tblPr>
      <w:tblGrid>
        <w:gridCol w:w="5873"/>
        <w:gridCol w:w="181"/>
        <w:gridCol w:w="1445"/>
        <w:gridCol w:w="249"/>
        <w:gridCol w:w="149"/>
        <w:gridCol w:w="181"/>
        <w:gridCol w:w="1445"/>
        <w:gridCol w:w="68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8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73" w:type="dxa"/>
            <w:tcBorders/>
            <w:shd w:fill="auto" w:val="clear"/>
            <w:vAlign w:val="center"/>
          </w:tcPr>
          <w:p>
            <w:pPr>
              <w:pStyle w:val="TableContents"/>
              <w:spacing w:before="0" w:after="0"/>
              <w:ind w:left="0" w:right="0" w:firstLine="30"/>
              <w:jc w:val="left"/>
              <w:rPr/>
            </w:pPr>
            <w:r>
              <w:rPr/>
              <w:t> </w:t>
            </w:r>
          </w:p>
        </w:tc>
        <w:tc>
          <w:tcPr>
            <w:tcW w:w="433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73" w:type="dxa"/>
            <w:tcBorders/>
            <w:shd w:fill="auto" w:val="clear"/>
            <w:vAlign w:val="center"/>
          </w:tcPr>
          <w:p>
            <w:pPr>
              <w:pStyle w:val="TableContents"/>
              <w:spacing w:before="0" w:after="0"/>
              <w:ind w:left="0" w:right="0" w:firstLine="30"/>
              <w:jc w:val="left"/>
              <w:rPr/>
            </w:pPr>
            <w:r>
              <w:rPr/>
              <w:t> </w:t>
            </w:r>
          </w:p>
        </w:tc>
        <w:tc>
          <w:tcPr>
            <w:tcW w:w="18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9" w:type="dxa"/>
            <w:tcBorders/>
            <w:shd w:fill="auto" w:val="clear"/>
            <w:vAlign w:val="center"/>
          </w:tcPr>
          <w:p>
            <w:pPr>
              <w:pStyle w:val="TableContents"/>
              <w:spacing w:before="0" w:after="0"/>
              <w:ind w:left="0" w:right="0" w:firstLine="30"/>
              <w:rPr/>
            </w:pPr>
            <w:r>
              <w:rPr/>
              <w:t> </w:t>
            </w:r>
          </w:p>
        </w:tc>
        <w:tc>
          <w:tcPr>
            <w:tcW w:w="230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873" w:type="dxa"/>
            <w:tcBorders/>
            <w:shd w:fill="auto" w:val="clear"/>
            <w:vAlign w:val="center"/>
          </w:tcPr>
          <w:p>
            <w:pPr>
              <w:pStyle w:val="TableContents"/>
              <w:spacing w:before="0" w:after="0"/>
              <w:ind w:left="0" w:right="0" w:firstLine="30"/>
              <w:jc w:val="left"/>
              <w:rPr/>
            </w:pPr>
            <w:r>
              <w:rPr/>
              <w:t> </w:t>
            </w:r>
          </w:p>
        </w:tc>
        <w:tc>
          <w:tcPr>
            <w:tcW w:w="433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75"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308" w:type="dxa"/>
            <w:gridSpan w:val="3"/>
            <w:tcBorders/>
            <w:shd w:fill="CCEEFF" w:val="clear"/>
            <w:vAlign w:val="center"/>
          </w:tcPr>
          <w:p>
            <w:pPr>
              <w:pStyle w:val="TableContents"/>
              <w:spacing w:before="0" w:after="0"/>
              <w:ind w:left="0" w:right="0" w:firstLine="180"/>
              <w:rPr/>
            </w:pPr>
            <w:r>
              <w:rPr/>
              <w:t> </w:t>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45" w:type="dxa"/>
            <w:tcBorders/>
            <w:shd w:fill="auto" w:val="clear"/>
            <w:vAlign w:val="center"/>
          </w:tcPr>
          <w:p>
            <w:pPr>
              <w:pStyle w:val="TableContents"/>
              <w:spacing w:before="0" w:after="0"/>
              <w:jc w:val="right"/>
              <w:rPr>
                <w:rFonts w:ascii="inherit" w:hAnsi="inherit"/>
                <w:sz w:val="17"/>
              </w:rPr>
            </w:pPr>
            <w:r>
              <w:rPr>
                <w:rFonts w:ascii="inherit" w:hAnsi="inherit"/>
                <w:sz w:val="17"/>
              </w:rPr>
              <w:t>256,694</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45" w:type="dxa"/>
            <w:tcBorders/>
            <w:shd w:fill="auto" w:val="clear"/>
            <w:vAlign w:val="center"/>
          </w:tcPr>
          <w:p>
            <w:pPr>
              <w:pStyle w:val="TableContents"/>
              <w:spacing w:before="0" w:after="0"/>
              <w:jc w:val="right"/>
              <w:rPr>
                <w:rFonts w:ascii="inherit" w:hAnsi="inherit"/>
                <w:sz w:val="17"/>
              </w:rPr>
            </w:pPr>
            <w:r>
              <w:rPr>
                <w:rFonts w:ascii="inherit" w:hAnsi="inherit"/>
                <w:sz w:val="17"/>
              </w:rPr>
              <w:t>226,404</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195,920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163,938</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184,204</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154,501</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164,895</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152,163</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6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1,484</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459</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803,197</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697,465</w:t>
            </w:r>
          </w:p>
        </w:tc>
        <w:tc>
          <w:tcPr>
            <w:tcW w:w="682"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147,297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131,808</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121,051</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104,658</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6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36,791</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32,969</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498,058</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428,030</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875"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308" w:type="dxa"/>
            <w:gridSpan w:val="3"/>
            <w:tcBorders/>
            <w:shd w:fill="auto" w:val="clear"/>
            <w:vAlign w:val="center"/>
          </w:tcPr>
          <w:p>
            <w:pPr>
              <w:pStyle w:val="TableContents"/>
              <w:spacing w:before="0" w:after="0"/>
              <w:ind w:left="0" w:right="0" w:firstLine="180"/>
              <w:rPr/>
            </w:pPr>
            <w:r>
              <w:rPr/>
              <w:t> </w:t>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260,340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238,309</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10,858</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9,271</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452</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275</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1,545</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pPr>
            <w:r>
              <w:rPr/>
              <w:t>—</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6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226,100</w:t>
            </w:r>
          </w:p>
        </w:tc>
        <w:tc>
          <w:tcPr>
            <w:tcW w:w="24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178,627</w:t>
            </w:r>
          </w:p>
        </w:tc>
        <w:tc>
          <w:tcPr>
            <w:tcW w:w="68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75" w:type="dxa"/>
            <w:gridSpan w:val="3"/>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2308" w:type="dxa"/>
            <w:gridSpan w:val="3"/>
            <w:tcBorders/>
            <w:shd w:fill="auto" w:val="clear"/>
            <w:vAlign w:val="center"/>
          </w:tcPr>
          <w:p>
            <w:pPr>
              <w:pStyle w:val="TableContents"/>
              <w:spacing w:before="0" w:after="0"/>
              <w:ind w:left="0" w:right="0" w:firstLine="180"/>
              <w:jc w:val="left"/>
              <w:rPr/>
            </w:pPr>
            <w:r>
              <w:rPr/>
              <w:t> </w:t>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42.6</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41.8</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40.7</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39.4</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45" w:type="dxa"/>
            <w:tcBorders/>
            <w:shd w:fill="auto" w:val="clear"/>
            <w:vAlign w:val="center"/>
          </w:tcPr>
          <w:p>
            <w:pPr>
              <w:pStyle w:val="TableContents"/>
              <w:spacing w:before="0" w:after="0"/>
              <w:jc w:val="right"/>
              <w:rPr>
                <w:rFonts w:ascii="inherit" w:hAnsi="inherit"/>
                <w:sz w:val="17"/>
              </w:rPr>
            </w:pPr>
            <w:r>
              <w:rPr>
                <w:rFonts w:ascii="inherit" w:hAnsi="inherit"/>
                <w:sz w:val="17"/>
              </w:rPr>
              <w:t>311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45" w:type="dxa"/>
            <w:tcBorders/>
            <w:shd w:fill="auto" w:val="clear"/>
            <w:vAlign w:val="center"/>
          </w:tcPr>
          <w:p>
            <w:pPr>
              <w:pStyle w:val="TableContents"/>
              <w:spacing w:before="0" w:after="0"/>
              <w:jc w:val="right"/>
              <w:rPr>
                <w:rFonts w:ascii="inherit" w:hAnsi="inherit"/>
                <w:sz w:val="17"/>
              </w:rPr>
            </w:pPr>
            <w:r>
              <w:rPr>
                <w:rFonts w:ascii="inherit" w:hAnsi="inherit"/>
                <w:sz w:val="17"/>
              </w:rPr>
              <w:t>292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7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6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2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6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68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366"/>
        <w:gridCol w:w="9839"/>
      </w:tblGrid>
      <w:tr>
        <w:trPr/>
        <w:tc>
          <w:tcPr>
            <w:tcW w:w="366" w:type="dxa"/>
            <w:tcBorders/>
            <w:shd w:fill="auto" w:val="clear"/>
            <w:vAlign w:val="center"/>
          </w:tcPr>
          <w:p>
            <w:pPr>
              <w:pStyle w:val="TableContents"/>
              <w:spacing w:before="0" w:after="283"/>
              <w:rPr>
                <w:sz w:val="4"/>
                <w:szCs w:val="4"/>
              </w:rPr>
            </w:pPr>
            <w:r>
              <w:rPr>
                <w:sz w:val="4"/>
                <w:szCs w:val="4"/>
              </w:rPr>
            </w:r>
          </w:p>
        </w:tc>
        <w:tc>
          <w:tcPr>
            <w:tcW w:w="9839" w:type="dxa"/>
            <w:tcBorders/>
            <w:shd w:fill="auto" w:val="clear"/>
            <w:vAlign w:val="center"/>
          </w:tcPr>
          <w:p>
            <w:pPr>
              <w:pStyle w:val="TableContents"/>
              <w:spacing w:before="0" w:after="283"/>
              <w:rPr>
                <w:sz w:val="4"/>
                <w:szCs w:val="4"/>
              </w:rPr>
            </w:pPr>
            <w:r>
              <w:rPr>
                <w:sz w:val="4"/>
                <w:szCs w:val="4"/>
              </w:rPr>
            </w:r>
          </w:p>
        </w:tc>
      </w:tr>
      <w:tr>
        <w:trPr/>
        <w:tc>
          <w:tcPr>
            <w:tcW w:w="366" w:type="dxa"/>
            <w:tcBorders/>
            <w:shd w:fill="auto" w:val="clear"/>
            <w:vAlign w:val="center"/>
          </w:tcPr>
          <w:p>
            <w:pPr>
              <w:pStyle w:val="TableContents"/>
              <w:spacing w:lineRule="auto" w:line="288" w:before="0" w:after="0"/>
              <w:ind w:left="0" w:right="0" w:firstLine="135"/>
              <w:rPr>
                <w:rFonts w:ascii="inherit" w:hAnsi="inherit"/>
                <w:sz w:val="15"/>
              </w:rPr>
            </w:pPr>
            <w:r>
              <w:rPr>
                <w:rFonts w:ascii="inherit" w:hAnsi="inherit"/>
                <w:sz w:val="15"/>
              </w:rPr>
              <w:t>(a)</w:t>
            </w:r>
          </w:p>
        </w:tc>
        <w:tc>
          <w:tcPr>
            <w:tcW w:w="9839" w:type="dxa"/>
            <w:tcBorders/>
            <w:shd w:fill="auto" w:val="clear"/>
            <w:vAlign w:val="center"/>
          </w:tcPr>
          <w:p>
            <w:pPr>
              <w:pStyle w:val="TableContents"/>
              <w:spacing w:lineRule="auto" w:line="288" w:before="0" w:after="0"/>
              <w:rPr>
                <w:rFonts w:ascii="inherit" w:hAnsi="inherit"/>
                <w:sz w:val="15"/>
              </w:rPr>
            </w:pPr>
            <w:r>
              <w:rPr>
                <w:rFonts w:ascii="inherit" w:hAnsi="inherit"/>
                <w:sz w:val="15"/>
              </w:rPr>
              <w:t>Average yield on pawn loan portfolio is calculated as annualized pawn service charge revenue for the period divided by the average pawn loan balance during the period.</w:t>
            </w:r>
          </w:p>
        </w:tc>
      </w:tr>
    </w:tbl>
    <w:p>
      <w:pPr>
        <w:pStyle w:val="TextBody"/>
        <w:spacing w:lineRule="auto" w:line="288" w:before="0" w:after="0"/>
        <w:jc w:val="left"/>
        <w:rPr>
          <w:sz w:val="17"/>
        </w:rPr>
      </w:pPr>
      <w:r>
        <w:rPr>
          <w:rFonts w:ascii="inherit" w:hAnsi="inherit"/>
          <w:sz w:val="17"/>
        </w:rPr>
        <w:t>The U.S. &amp; Canada segment total revenues increased $</w:t>
      </w:r>
      <w:r>
        <w:rPr>
          <w:rFonts w:ascii="inherit" w:hAnsi="inherit"/>
          <w:strike w:val="false"/>
          <w:dstrike w:val="false"/>
          <w:color w:val="000000"/>
          <w:sz w:val="17"/>
          <w:u w:val="none"/>
          <w:effect w:val="none"/>
        </w:rPr>
        <w:t>105.7 million</w:t>
      </w:r>
      <w:r>
        <w:rPr>
          <w:rFonts w:ascii="inherit" w:hAnsi="inherit"/>
          <w:sz w:val="17"/>
        </w:rPr>
        <w:t xml:space="preserve">, or </w:t>
      </w:r>
      <w:r>
        <w:rPr>
          <w:rFonts w:ascii="inherit" w:hAnsi="inherit"/>
          <w:strike w:val="false"/>
          <w:dstrike w:val="false"/>
          <w:color w:val="000000"/>
          <w:sz w:val="17"/>
          <w:u w:val="none"/>
          <w:effect w:val="none"/>
        </w:rPr>
        <w:t>15%</w:t>
      </w:r>
      <w:r>
        <w:rPr>
          <w:rFonts w:ascii="inherit" w:hAnsi="inherit"/>
          <w:sz w:val="17"/>
        </w:rPr>
        <w:t xml:space="preserve">, from fiscal </w:t>
      </w:r>
      <w:r>
        <w:rPr>
          <w:rFonts w:ascii="inherit" w:hAnsi="inherit"/>
          <w:strike w:val="false"/>
          <w:dstrike w:val="false"/>
          <w:color w:val="000000"/>
          <w:sz w:val="17"/>
          <w:u w:val="none"/>
          <w:effect w:val="none"/>
        </w:rPr>
        <w:t>2010</w:t>
      </w:r>
      <w:r>
        <w:rPr>
          <w:sz w:val="17"/>
        </w:rPr>
        <w:t xml:space="preserve"> </w:t>
      </w:r>
      <w:r>
        <w:rPr>
          <w:rFonts w:ascii="inherit" w:hAnsi="inherit"/>
          <w:sz w:val="17"/>
        </w:rPr>
        <w:t>to $</w:t>
      </w:r>
      <w:r>
        <w:rPr>
          <w:rFonts w:ascii="inherit" w:hAnsi="inherit"/>
          <w:strike w:val="false"/>
          <w:dstrike w:val="false"/>
          <w:color w:val="000000"/>
          <w:sz w:val="17"/>
          <w:u w:val="none"/>
          <w:effect w:val="none"/>
        </w:rPr>
        <w:t>803.2 million</w:t>
      </w:r>
      <w:r>
        <w:rPr>
          <w:sz w:val="17"/>
        </w:rPr>
        <w:t xml:space="preserve"> </w:t>
      </w:r>
      <w:r>
        <w:rPr>
          <w:rFonts w:ascii="inherit" w:hAnsi="inherit"/>
          <w:sz w:val="17"/>
        </w:rPr>
        <w:t xml:space="preserve">in </w:t>
      </w:r>
      <w:r>
        <w:rPr>
          <w:rFonts w:ascii="inherit" w:hAnsi="inherit"/>
          <w:strike w:val="false"/>
          <w:dstrike w:val="false"/>
          <w:color w:val="000000"/>
          <w:sz w:val="17"/>
          <w:u w:val="none"/>
          <w:effect w:val="none"/>
        </w:rPr>
        <w:t>fiscal 2011</w:t>
      </w:r>
      <w:r>
        <w:rPr>
          <w:rFonts w:ascii="inherit" w:hAnsi="inherit"/>
          <w:sz w:val="17"/>
        </w:rPr>
        <w:t>. Same store total revenues increased $58.3 million, or 8%, and new and acquired stores net of closed stores contributed $55.7 million. The overall increase in total revenues consisted of a $62.3 million increase in merchandise and jewelry scrapping sales, a $</w:t>
      </w:r>
      <w:r>
        <w:rPr>
          <w:rFonts w:ascii="inherit" w:hAnsi="inherit"/>
          <w:strike w:val="false"/>
          <w:dstrike w:val="false"/>
          <w:color w:val="000000"/>
          <w:sz w:val="17"/>
          <w:u w:val="none"/>
          <w:effect w:val="none"/>
        </w:rPr>
        <w:t>29.7 million</w:t>
      </w:r>
      <w:r>
        <w:rPr>
          <w:sz w:val="17"/>
        </w:rPr>
        <w:t xml:space="preserve"> </w:t>
      </w:r>
      <w:r>
        <w:rPr>
          <w:rFonts w:ascii="inherit" w:hAnsi="inherit"/>
          <w:sz w:val="17"/>
        </w:rPr>
        <w:t xml:space="preserve">increase in pawn service charges and a $13.7 million increase in consumer loan fees and other revenues. In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fiscal </w:t>
      </w:r>
      <w:r>
        <w:rPr>
          <w:rFonts w:ascii="inherit" w:hAnsi="inherit"/>
          <w:strike w:val="false"/>
          <w:dstrike w:val="false"/>
          <w:color w:val="000000"/>
          <w:sz w:val="17"/>
          <w:u w:val="none"/>
          <w:effect w:val="none"/>
        </w:rPr>
        <w:t>2011</w:t>
      </w:r>
      <w:r>
        <w:rPr>
          <w:rFonts w:ascii="inherit" w:hAnsi="inherit"/>
          <w:sz w:val="17"/>
        </w:rPr>
        <w:t xml:space="preserve">, we acquired </w:t>
      </w:r>
      <w:r>
        <w:rPr>
          <w:rFonts w:ascii="inherit" w:hAnsi="inherit"/>
          <w:strike w:val="false"/>
          <w:dstrike w:val="false"/>
          <w:color w:val="000000"/>
          <w:sz w:val="17"/>
          <w:u w:val="none"/>
          <w:effect w:val="none"/>
        </w:rPr>
        <w:t>34</w:t>
      </w:r>
      <w:r>
        <w:rPr>
          <w:sz w:val="17"/>
        </w:rPr>
        <w:t xml:space="preserve"> </w:t>
      </w:r>
      <w:r>
        <w:rPr>
          <w:rFonts w:ascii="inherit" w:hAnsi="inherit"/>
          <w:sz w:val="17"/>
        </w:rPr>
        <w:t>U.S. pawn stores for an aggregate of $68.3 million. As part of these acquisitions, we began operations in three new states: Iowa, Utah and Wisconsin. We also opened 10 new de novo pawn stores in the U.S. and 15 new de novo buy/sell and financial services stores in Canada.</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xml:space="preserve">, pawn service charge revenue increased </w:t>
      </w:r>
      <w:r>
        <w:rPr>
          <w:rFonts w:ascii="Times New Roman" w:hAnsi="Times New Roman"/>
          <w:strike w:val="false"/>
          <w:dstrike w:val="false"/>
          <w:color w:val="000000"/>
          <w:sz w:val="17"/>
          <w:u w:val="none"/>
          <w:effect w:val="none"/>
        </w:rPr>
        <w:t>19%</w:t>
      </w:r>
      <w:r>
        <w:rPr>
          <w:rFonts w:ascii="inherit" w:hAnsi="inherit"/>
          <w:sz w:val="17"/>
        </w:rPr>
        <w:t>, or $</w:t>
      </w:r>
      <w:r>
        <w:rPr>
          <w:rFonts w:ascii="Times New Roman" w:hAnsi="Times New Roman"/>
          <w:strike w:val="false"/>
          <w:dstrike w:val="false"/>
          <w:color w:val="000000"/>
          <w:sz w:val="17"/>
          <w:u w:val="none"/>
          <w:effect w:val="none"/>
        </w:rPr>
        <w:t>29.7 million</w:t>
      </w:r>
      <w:r>
        <w:rPr>
          <w:rFonts w:ascii="inherit" w:hAnsi="inherit"/>
          <w:sz w:val="17"/>
        </w:rPr>
        <w:t>, from the prior year to $</w:t>
      </w:r>
      <w:r>
        <w:rPr>
          <w:rFonts w:ascii="Times New Roman" w:hAnsi="Times New Roman"/>
          <w:strike w:val="false"/>
          <w:dstrike w:val="false"/>
          <w:color w:val="000000"/>
          <w:sz w:val="17"/>
          <w:u w:val="none"/>
          <w:effect w:val="none"/>
        </w:rPr>
        <w:t>184.2 million</w:t>
      </w:r>
      <w:r>
        <w:rPr>
          <w:rFonts w:ascii="inherit" w:hAnsi="inherit"/>
          <w:sz w:val="17"/>
        </w:rPr>
        <w:t xml:space="preserve">. Same store pawn service charges increased $18.4 million, or 12%, with new and acquired stores, net of closed stores, contributing $11.3 million. The same store improvement was due to a higher average same store pawn loan balance coupled with higher yield. The yield improved primarily due to a slightly higher loan redemption rate as we continued to focus on loan values and better qualifying customers to determine those that prefer to sell their merchandise rather than use it as collateral for a loan. </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merchandise sales gross profit increased $</w:t>
      </w:r>
      <w:r>
        <w:rPr>
          <w:rFonts w:ascii="inherit" w:hAnsi="inherit"/>
          <w:strike w:val="false"/>
          <w:dstrike w:val="false"/>
          <w:color w:val="000000"/>
          <w:sz w:val="17"/>
          <w:u w:val="none"/>
          <w:effect w:val="none"/>
        </w:rPr>
        <w:t>14.8 million</w:t>
      </w:r>
      <w:r>
        <w:rPr>
          <w:rFonts w:ascii="inherit" w:hAnsi="inherit"/>
          <w:sz w:val="17"/>
        </w:rPr>
        <w:t xml:space="preserve">, or </w:t>
      </w:r>
      <w:r>
        <w:rPr>
          <w:rFonts w:ascii="inherit" w:hAnsi="inherit"/>
          <w:strike w:val="false"/>
          <w:dstrike w:val="false"/>
          <w:color w:val="000000"/>
          <w:sz w:val="17"/>
          <w:u w:val="none"/>
          <w:effect w:val="none"/>
        </w:rPr>
        <w:t>16%</w:t>
      </w:r>
      <w:r>
        <w:rPr>
          <w:rFonts w:ascii="inherit" w:hAnsi="inherit"/>
          <w:sz w:val="17"/>
        </w:rPr>
        <w:t xml:space="preserve">, from the prior year to </w:t>
      </w:r>
      <w:r>
        <w:rPr>
          <w:rFonts w:ascii="inherit" w:hAnsi="inherit"/>
          <w:strike w:val="false"/>
          <w:dstrike w:val="false"/>
          <w:color w:val="000000"/>
          <w:sz w:val="17"/>
          <w:u w:val="none"/>
          <w:effect w:val="none"/>
        </w:rPr>
        <w:t>$109.4 million</w:t>
      </w:r>
      <w:r>
        <w:rPr>
          <w:rFonts w:ascii="inherit" w:hAnsi="inherit"/>
          <w:sz w:val="17"/>
        </w:rPr>
        <w:t>. This was due to a $12.4 million, or 6%, increase in same store sales, a $17.9 million increase in sales from new and acquired stores net of closed stores and a 0.8 percentage point improvement in gross margins.</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gross profit on jewelry scrapping sales increased $</w:t>
      </w:r>
      <w:r>
        <w:rPr>
          <w:rFonts w:ascii="inherit" w:hAnsi="inherit"/>
          <w:strike w:val="false"/>
          <w:dstrike w:val="false"/>
          <w:color w:val="000000"/>
          <w:sz w:val="17"/>
          <w:u w:val="none"/>
          <w:effect w:val="none"/>
        </w:rPr>
        <w:t>15.6 million</w:t>
      </w:r>
      <w:r>
        <w:rPr>
          <w:rFonts w:ascii="inherit" w:hAnsi="inherit"/>
          <w:sz w:val="17"/>
        </w:rPr>
        <w:t xml:space="preserve">, or </w:t>
      </w:r>
      <w:r>
        <w:rPr>
          <w:rFonts w:ascii="inherit" w:hAnsi="inherit"/>
          <w:strike w:val="false"/>
          <w:dstrike w:val="false"/>
          <w:color w:val="000000"/>
          <w:sz w:val="17"/>
          <w:u w:val="none"/>
          <w:effect w:val="none"/>
        </w:rPr>
        <w:t>26%</w:t>
      </w:r>
      <w:r>
        <w:rPr>
          <w:rFonts w:ascii="inherit" w:hAnsi="inherit"/>
          <w:sz w:val="17"/>
        </w:rPr>
        <w:t>, from the prior year to $</w:t>
      </w:r>
      <w:r>
        <w:rPr>
          <w:rFonts w:ascii="inherit" w:hAnsi="inherit"/>
          <w:strike w:val="false"/>
          <w:dstrike w:val="false"/>
          <w:color w:val="000000"/>
          <w:sz w:val="17"/>
          <w:u w:val="none"/>
          <w:effect w:val="none"/>
        </w:rPr>
        <w:t>74.9 million</w:t>
      </w:r>
      <w:r>
        <w:rPr>
          <w:rFonts w:ascii="inherit" w:hAnsi="inherit"/>
          <w:sz w:val="17"/>
        </w:rPr>
        <w:t>. Jewelry scrapping revenues increased $</w:t>
      </w:r>
      <w:r>
        <w:rPr>
          <w:rFonts w:ascii="inherit" w:hAnsi="inherit"/>
          <w:strike w:val="false"/>
          <w:dstrike w:val="false"/>
          <w:color w:val="000000"/>
          <w:sz w:val="17"/>
          <w:u w:val="none"/>
          <w:effect w:val="none"/>
        </w:rPr>
        <w:t>32.0 million</w:t>
      </w:r>
      <w:r>
        <w:rPr>
          <w:rFonts w:ascii="inherit" w:hAnsi="inherit"/>
          <w:sz w:val="17"/>
        </w:rPr>
        <w:t xml:space="preserve">, or </w:t>
      </w:r>
      <w:r>
        <w:rPr>
          <w:rFonts w:ascii="inherit" w:hAnsi="inherit"/>
          <w:strike w:val="false"/>
          <w:dstrike w:val="false"/>
          <w:color w:val="000000"/>
          <w:sz w:val="17"/>
          <w:u w:val="none"/>
          <w:effect w:val="none"/>
        </w:rPr>
        <w:t>20%</w:t>
      </w:r>
      <w:r>
        <w:rPr>
          <w:rFonts w:ascii="inherit" w:hAnsi="inherit"/>
          <w:sz w:val="17"/>
        </w:rPr>
        <w:t xml:space="preserve">, due to a 28% increase in proceeds realized per gram of gold jewelry scrapped, partially offset by a 9% decrease in gold volume. Same store jewelry scrapping sales increased $15.6 million, or 10%, and new and acquired stores net of closed stores contributed $16.4 million. Jewelry scrapping sales include the sale of approximately $8.1 million of loose diamonds removed from scrap jewelry in fiscal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$3.2 million in </w:t>
      </w:r>
      <w:r>
        <w:rPr>
          <w:rFonts w:ascii="inherit" w:hAnsi="inherit"/>
          <w:strike w:val="false"/>
          <w:dstrike w:val="false"/>
          <w:color w:val="000000"/>
          <w:sz w:val="17"/>
          <w:u w:val="none"/>
          <w:effect w:val="none"/>
        </w:rPr>
        <w:t>fiscal 2010</w:t>
      </w:r>
      <w:r>
        <w:rPr>
          <w:rFonts w:ascii="inherit" w:hAnsi="inherit"/>
          <w:sz w:val="17"/>
        </w:rPr>
        <w:t>. As a result of the higher average cost per gram of jewelry scrapped, scrap cost of goods increased $16.4 million, or 16%.</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consumer loan fees increased $</w:t>
      </w:r>
      <w:r>
        <w:rPr>
          <w:rFonts w:ascii="inherit" w:hAnsi="inherit"/>
          <w:strike w:val="false"/>
          <w:dstrike w:val="false"/>
          <w:color w:val="000000"/>
          <w:sz w:val="17"/>
          <w:u w:val="none"/>
          <w:effect w:val="none"/>
        </w:rPr>
        <w:t>12.7 million</w:t>
      </w:r>
      <w:r>
        <w:rPr>
          <w:rFonts w:ascii="inherit" w:hAnsi="inherit"/>
          <w:sz w:val="17"/>
        </w:rPr>
        <w:t xml:space="preserve">, or </w:t>
      </w:r>
      <w:r>
        <w:rPr>
          <w:rFonts w:ascii="inherit" w:hAnsi="inherit"/>
          <w:strike w:val="false"/>
          <w:dstrike w:val="false"/>
          <w:color w:val="000000"/>
          <w:sz w:val="17"/>
          <w:u w:val="none"/>
          <w:effect w:val="none"/>
        </w:rPr>
        <w:t>8%</w:t>
      </w:r>
      <w:r>
        <w:rPr>
          <w:rFonts w:ascii="inherit" w:hAnsi="inherit"/>
          <w:sz w:val="17"/>
        </w:rPr>
        <w:t>, from the prior year to $</w:t>
      </w:r>
      <w:r>
        <w:rPr>
          <w:rFonts w:ascii="inherit" w:hAnsi="inherit"/>
          <w:strike w:val="false"/>
          <w:dstrike w:val="false"/>
          <w:color w:val="000000"/>
          <w:sz w:val="17"/>
          <w:u w:val="none"/>
          <w:effect w:val="none"/>
        </w:rPr>
        <w:t>164.9 million</w:t>
      </w:r>
      <w:r>
        <w:rPr>
          <w:rFonts w:ascii="inherit" w:hAnsi="inherit"/>
          <w:sz w:val="17"/>
        </w:rPr>
        <w:t xml:space="preserve">. Net fees increased 7%, reflecting a significant improvement in bad debt performance. Consumer loan bad debt as a percentage of fees stayed constant at 22%. </w:t>
      </w:r>
    </w:p>
    <w:p>
      <w:pPr>
        <w:pStyle w:val="TextBody"/>
        <w:spacing w:lineRule="auto" w:line="288" w:before="0" w:after="0"/>
        <w:jc w:val="left"/>
        <w:rPr>
          <w:sz w:val="17"/>
        </w:rPr>
      </w:pPr>
      <w:r>
        <w:rPr>
          <w:rFonts w:ascii="inherit" w:hAnsi="inherit"/>
          <w:sz w:val="17"/>
        </w:rPr>
        <w:t xml:space="preserve">Total segment expenses increased to </w:t>
      </w:r>
      <w:r>
        <w:rPr>
          <w:rFonts w:ascii="inherit" w:hAnsi="inherit"/>
          <w:strike w:val="false"/>
          <w:dstrike w:val="false"/>
          <w:color w:val="000000"/>
          <w:sz w:val="17"/>
          <w:u w:val="none"/>
          <w:effect w:val="none"/>
        </w:rPr>
        <w:t>$272.0 million</w:t>
      </w:r>
      <w:r>
        <w:rPr>
          <w:sz w:val="17"/>
        </w:rPr>
        <w:t xml:space="preserve"> </w:t>
      </w:r>
      <w:r>
        <w:rPr>
          <w:rFonts w:ascii="inherit" w:hAnsi="inherit"/>
          <w:sz w:val="17"/>
        </w:rPr>
        <w:t>(</w:t>
      </w:r>
      <w:r>
        <w:rPr>
          <w:rFonts w:ascii="inherit" w:hAnsi="inherit"/>
          <w:strike w:val="false"/>
          <w:dstrike w:val="false"/>
          <w:color w:val="000000"/>
          <w:sz w:val="17"/>
          <w:u w:val="none"/>
          <w:effect w:val="none"/>
        </w:rPr>
        <w:t>34%</w:t>
      </w:r>
      <w:r>
        <w:rPr>
          <w:sz w:val="17"/>
        </w:rPr>
        <w:t xml:space="preserve"> </w:t>
      </w:r>
      <w:r>
        <w:rPr>
          <w:rFonts w:ascii="inherit" w:hAnsi="inherit"/>
          <w:sz w:val="17"/>
        </w:rPr>
        <w:t xml:space="preserve">of revenues) in fiscal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$249.4 million</w:t>
      </w:r>
      <w:r>
        <w:rPr>
          <w:sz w:val="17"/>
        </w:rPr>
        <w:t xml:space="preserve"> </w:t>
      </w:r>
      <w:r>
        <w:rPr>
          <w:rFonts w:ascii="inherit" w:hAnsi="inherit"/>
          <w:sz w:val="17"/>
        </w:rPr>
        <w:t>(</w:t>
      </w:r>
      <w:r>
        <w:rPr>
          <w:rFonts w:ascii="inherit" w:hAnsi="inherit"/>
          <w:strike w:val="false"/>
          <w:dstrike w:val="false"/>
          <w:color w:val="000000"/>
          <w:sz w:val="17"/>
          <w:u w:val="none"/>
          <w:effect w:val="none"/>
        </w:rPr>
        <w:t>36%</w:t>
      </w:r>
      <w:r>
        <w:rPr>
          <w:sz w:val="17"/>
        </w:rPr>
        <w:t xml:space="preserve">  </w:t>
      </w:r>
      <w:r>
        <w:rPr>
          <w:rFonts w:ascii="inherit" w:hAnsi="inherit"/>
          <w:sz w:val="17"/>
        </w:rPr>
        <w:t xml:space="preserve">of revenues) in fiscal 2010. The total increase was due to a </w:t>
      </w:r>
      <w:r>
        <w:rPr>
          <w:rFonts w:ascii="inherit" w:hAnsi="inherit"/>
          <w:strike w:val="false"/>
          <w:dstrike w:val="false"/>
          <w:color w:val="000000"/>
          <w:sz w:val="17"/>
          <w:u w:val="none"/>
          <w:effect w:val="none"/>
        </w:rPr>
        <w:t>$22.0 million</w:t>
      </w:r>
      <w:r>
        <w:rPr>
          <w:rFonts w:ascii="inherit" w:hAnsi="inherit"/>
          <w:sz w:val="17"/>
        </w:rPr>
        <w:t xml:space="preserve">, or </w:t>
      </w:r>
      <w:r>
        <w:rPr>
          <w:rFonts w:ascii="inherit" w:hAnsi="inherit"/>
          <w:strike w:val="false"/>
          <w:dstrike w:val="false"/>
          <w:color w:val="000000"/>
          <w:sz w:val="17"/>
          <w:u w:val="none"/>
          <w:effect w:val="none"/>
        </w:rPr>
        <w:t>9%</w:t>
      </w:r>
      <w:r>
        <w:rPr>
          <w:rFonts w:ascii="inherit" w:hAnsi="inherit"/>
          <w:sz w:val="17"/>
        </w:rPr>
        <w:t xml:space="preserve">, increase in operations expense due to higher operating costs resulting from new and acquired stores and increased labor, benefits and additional investments made in infrastructure to support our growth. Depreciation and amortization increased </w:t>
      </w:r>
      <w:r>
        <w:rPr>
          <w:rFonts w:ascii="inherit" w:hAnsi="inherit"/>
          <w:strike w:val="false"/>
          <w:dstrike w:val="false"/>
          <w:color w:val="000000"/>
          <w:sz w:val="17"/>
          <w:u w:val="none"/>
          <w:effect w:val="none"/>
        </w:rPr>
        <w:t>18%</w:t>
      </w:r>
      <w:r>
        <w:rPr>
          <w:rFonts w:ascii="inherit" w:hAnsi="inherit"/>
          <w:sz w:val="17"/>
        </w:rPr>
        <w:t xml:space="preserve">, or </w:t>
      </w:r>
      <w:r>
        <w:rPr>
          <w:rFonts w:ascii="inherit" w:hAnsi="inherit"/>
          <w:strike w:val="false"/>
          <w:dstrike w:val="false"/>
          <w:color w:val="000000"/>
          <w:sz w:val="17"/>
          <w:u w:val="none"/>
          <w:effect w:val="none"/>
        </w:rPr>
        <w:t>$1.8 million</w:t>
      </w:r>
      <w:r>
        <w:rPr>
          <w:rFonts w:ascii="inherit" w:hAnsi="inherit"/>
          <w:sz w:val="17"/>
        </w:rPr>
        <w:t xml:space="preserve">, from fiscal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$11.3 million</w:t>
      </w:r>
      <w:r>
        <w:rPr>
          <w:rFonts w:ascii="inherit" w:hAnsi="inherit"/>
          <w:sz w:val="17"/>
        </w:rPr>
        <w:t xml:space="preserve">, mainly due to assets placed in service at new and acquired stores. Loss on sale or disposal of assets decreased </w:t>
      </w:r>
      <w:r>
        <w:rPr>
          <w:rFonts w:ascii="inherit" w:hAnsi="inherit"/>
          <w:strike w:val="false"/>
          <w:dstrike w:val="false"/>
          <w:color w:val="000000"/>
          <w:sz w:val="17"/>
          <w:u w:val="none"/>
          <w:effect w:val="none"/>
        </w:rPr>
        <w:t>$1.3 million</w:t>
      </w:r>
      <w:r>
        <w:rPr>
          <w:rFonts w:ascii="inherit" w:hAnsi="inherit"/>
          <w:sz w:val="17"/>
        </w:rPr>
        <w:t xml:space="preserve">, or </w:t>
      </w:r>
      <w:r>
        <w:rPr>
          <w:rFonts w:ascii="inherit" w:hAnsi="inherit"/>
          <w:strike w:val="false"/>
          <w:dstrike w:val="false"/>
          <w:color w:val="000000"/>
          <w:sz w:val="17"/>
          <w:u w:val="none"/>
          <w:effect w:val="none"/>
        </w:rPr>
        <w:t>82%</w:t>
      </w:r>
      <w:r>
        <w:rPr>
          <w:rFonts w:ascii="inherit" w:hAnsi="inherit"/>
          <w:sz w:val="17"/>
        </w:rPr>
        <w:t xml:space="preserve">, as fiscal 2010 included a $1.5 million loss on the closure or consolidation of several financial services stores in the states of Colorado and Wisconsin. </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the U.S. &amp; Canada's segment contribution increased $</w:t>
      </w:r>
      <w:r>
        <w:rPr>
          <w:rFonts w:ascii="Times New Roman" w:hAnsi="Times New Roman"/>
          <w:strike w:val="false"/>
          <w:dstrike w:val="false"/>
          <w:color w:val="000000"/>
          <w:sz w:val="17"/>
          <w:u w:val="none"/>
          <w:effect w:val="none"/>
        </w:rPr>
        <w:t>47.5 million</w:t>
      </w:r>
      <w:r>
        <w:rPr>
          <w:rFonts w:ascii="inherit" w:hAnsi="inherit"/>
          <w:sz w:val="17"/>
        </w:rPr>
        <w:t xml:space="preserve">, or </w:t>
      </w:r>
      <w:r>
        <w:rPr>
          <w:rFonts w:ascii="inherit" w:hAnsi="inherit"/>
          <w:strike w:val="false"/>
          <w:dstrike w:val="false"/>
          <w:color w:val="000000"/>
          <w:sz w:val="17"/>
          <w:u w:val="none"/>
          <w:effect w:val="none"/>
        </w:rPr>
        <w:t>27%</w:t>
      </w:r>
      <w:r>
        <w:rPr>
          <w:rFonts w:ascii="inherit" w:hAnsi="inherit"/>
          <w:sz w:val="17"/>
        </w:rPr>
        <w:t>, to $</w:t>
      </w:r>
      <w:r>
        <w:rPr>
          <w:rFonts w:ascii="Times New Roman" w:hAnsi="Times New Roman"/>
          <w:strike w:val="false"/>
          <w:dstrike w:val="false"/>
          <w:color w:val="000000"/>
          <w:sz w:val="17"/>
          <w:u w:val="none"/>
          <w:effect w:val="none"/>
        </w:rPr>
        <w:t>226.1 million</w:t>
      </w:r>
      <w:r>
        <w:rPr>
          <w:rFonts w:ascii="inherit" w:hAnsi="inherit"/>
          <w:sz w:val="17"/>
        </w:rPr>
        <w:t xml:space="preserve">. Contribution margin increased 2.6 percentage points to 28.2%. In fiscal </w:t>
      </w:r>
      <w:r>
        <w:rPr>
          <w:rFonts w:ascii="inherit" w:hAnsi="inherit"/>
          <w:strike w:val="false"/>
          <w:dstrike w:val="false"/>
          <w:color w:val="000000"/>
          <w:sz w:val="17"/>
          <w:u w:val="none"/>
          <w:effect w:val="none"/>
        </w:rPr>
        <w:t>2011</w:t>
      </w:r>
      <w:r>
        <w:rPr>
          <w:rFonts w:ascii="inherit" w:hAnsi="inherit"/>
          <w:sz w:val="17"/>
        </w:rPr>
        <w:t xml:space="preserve">, the U.S &amp; Canada's segment contribution comprised </w:t>
      </w:r>
      <w:r>
        <w:rPr>
          <w:rFonts w:ascii="inherit" w:hAnsi="inherit"/>
          <w:strike w:val="false"/>
          <w:dstrike w:val="false"/>
          <w:color w:val="000000"/>
          <w:sz w:val="17"/>
          <w:u w:val="none"/>
          <w:effect w:val="none"/>
        </w:rPr>
        <w:t>92%</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94%</w:t>
      </w:r>
      <w:r>
        <w:rPr>
          <w:sz w:val="17"/>
        </w:rPr>
        <w:t xml:space="preserve"> </w:t>
      </w:r>
      <w:r>
        <w:rPr>
          <w:rFonts w:ascii="inherit" w:hAnsi="inherit"/>
          <w:sz w:val="17"/>
        </w:rPr>
        <w:t>in fiscal 2010.</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Latin America segment after translation to U.S. dollars from its functional currency of the Mexican peso:</w:t>
      </w:r>
    </w:p>
    <w:tbl>
      <w:tblPr>
        <w:tblW w:w="10205" w:type="dxa"/>
        <w:jc w:val="left"/>
        <w:tblInd w:w="0" w:type="dxa"/>
        <w:tblCellMar>
          <w:top w:w="0" w:type="dxa"/>
          <w:left w:w="0" w:type="dxa"/>
          <w:bottom w:w="0" w:type="dxa"/>
          <w:right w:w="0" w:type="dxa"/>
        </w:tblCellMar>
      </w:tblPr>
      <w:tblGrid>
        <w:gridCol w:w="5944"/>
        <w:gridCol w:w="183"/>
        <w:gridCol w:w="1365"/>
        <w:gridCol w:w="251"/>
        <w:gridCol w:w="151"/>
        <w:gridCol w:w="183"/>
        <w:gridCol w:w="1365"/>
        <w:gridCol w:w="76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94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44" w:type="dxa"/>
            <w:tcBorders/>
            <w:shd w:fill="auto" w:val="clear"/>
            <w:vAlign w:val="center"/>
          </w:tcPr>
          <w:p>
            <w:pPr>
              <w:pStyle w:val="TableContents"/>
              <w:spacing w:before="0" w:after="0"/>
              <w:ind w:left="0" w:right="0" w:firstLine="30"/>
              <w:jc w:val="left"/>
              <w:rPr/>
            </w:pPr>
            <w:r>
              <w:rPr/>
              <w:t> </w:t>
            </w:r>
          </w:p>
        </w:tc>
        <w:tc>
          <w:tcPr>
            <w:tcW w:w="426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944" w:type="dxa"/>
            <w:tcBorders/>
            <w:shd w:fill="auto" w:val="clear"/>
            <w:vAlign w:val="center"/>
          </w:tcPr>
          <w:p>
            <w:pPr>
              <w:pStyle w:val="TableContents"/>
              <w:spacing w:before="0" w:after="0"/>
              <w:ind w:left="0" w:right="0" w:firstLine="30"/>
              <w:jc w:val="left"/>
              <w:rPr/>
            </w:pPr>
            <w:r>
              <w:rPr/>
              <w:t> </w:t>
            </w:r>
          </w:p>
        </w:tc>
        <w:tc>
          <w:tcPr>
            <w:tcW w:w="17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51" w:type="dxa"/>
            <w:tcBorders/>
            <w:shd w:fill="auto" w:val="clear"/>
            <w:vAlign w:val="center"/>
          </w:tcPr>
          <w:p>
            <w:pPr>
              <w:pStyle w:val="TableContents"/>
              <w:spacing w:before="0" w:after="0"/>
              <w:ind w:left="0" w:right="0" w:firstLine="30"/>
              <w:rPr/>
            </w:pPr>
            <w:r>
              <w:rPr/>
              <w:t> </w:t>
            </w:r>
          </w:p>
        </w:tc>
        <w:tc>
          <w:tcPr>
            <w:tcW w:w="23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944" w:type="dxa"/>
            <w:tcBorders/>
            <w:shd w:fill="auto" w:val="clear"/>
            <w:vAlign w:val="center"/>
          </w:tcPr>
          <w:p>
            <w:pPr>
              <w:pStyle w:val="TableContents"/>
              <w:spacing w:before="0" w:after="0"/>
              <w:ind w:left="0" w:right="0" w:firstLine="30"/>
              <w:jc w:val="left"/>
              <w:rPr/>
            </w:pPr>
            <w:r>
              <w:rPr/>
              <w:t> </w:t>
            </w:r>
          </w:p>
        </w:tc>
        <w:tc>
          <w:tcPr>
            <w:tcW w:w="426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99"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311" w:type="dxa"/>
            <w:gridSpan w:val="3"/>
            <w:tcBorders/>
            <w:shd w:fill="CCEEFF" w:val="clear"/>
            <w:vAlign w:val="center"/>
          </w:tcPr>
          <w:p>
            <w:pPr>
              <w:pStyle w:val="TableContents"/>
              <w:spacing w:before="0" w:after="0"/>
              <w:ind w:left="0" w:right="0" w:firstLine="180"/>
              <w:rPr/>
            </w:pPr>
            <w:r>
              <w:rPr/>
              <w:t> </w:t>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shd w:fill="auto" w:val="clear"/>
            <w:vAlign w:val="center"/>
          </w:tcPr>
          <w:p>
            <w:pPr>
              <w:pStyle w:val="TableContents"/>
              <w:spacing w:before="0" w:after="0"/>
              <w:jc w:val="right"/>
              <w:rPr>
                <w:rFonts w:ascii="inherit" w:hAnsi="inherit"/>
                <w:sz w:val="17"/>
              </w:rPr>
            </w:pPr>
            <w:r>
              <w:rPr>
                <w:rFonts w:ascii="inherit" w:hAnsi="inherit"/>
                <w:sz w:val="17"/>
              </w:rPr>
              <w:t>25,022</w:t>
            </w:r>
          </w:p>
        </w:tc>
        <w:tc>
          <w:tcPr>
            <w:tcW w:w="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shd w:fill="auto" w:val="clear"/>
            <w:vAlign w:val="center"/>
          </w:tcPr>
          <w:p>
            <w:pPr>
              <w:pStyle w:val="TableContents"/>
              <w:spacing w:before="0" w:after="0"/>
              <w:jc w:val="right"/>
              <w:rPr>
                <w:rFonts w:ascii="inherit" w:hAnsi="inherit"/>
                <w:sz w:val="17"/>
              </w:rPr>
            </w:pPr>
            <w:r>
              <w:rPr>
                <w:rFonts w:ascii="inherit" w:hAnsi="inherit"/>
                <w:sz w:val="17"/>
              </w:rPr>
              <w:t>13,937</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8,938</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4,988</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15,542</w:t>
            </w:r>
          </w:p>
        </w:tc>
        <w:tc>
          <w:tcPr>
            <w:tcW w:w="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8,778</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w:t>
            </w:r>
          </w:p>
        </w:tc>
        <w:tc>
          <w:tcPr>
            <w:tcW w:w="2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63"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49,601</w:t>
            </w:r>
          </w:p>
        </w:tc>
        <w:tc>
          <w:tcPr>
            <w:tcW w:w="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27,703</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14,537</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8,320</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5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6,819</w:t>
            </w:r>
          </w:p>
        </w:tc>
        <w:tc>
          <w:tcPr>
            <w:tcW w:w="2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4,158</w:t>
            </w:r>
          </w:p>
        </w:tc>
        <w:tc>
          <w:tcPr>
            <w:tcW w:w="763"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28,245</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15,225</w:t>
            </w:r>
          </w:p>
        </w:tc>
        <w:tc>
          <w:tcPr>
            <w:tcW w:w="7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799"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311" w:type="dxa"/>
            <w:gridSpan w:val="3"/>
            <w:tcBorders/>
            <w:shd w:fill="auto" w:val="clear"/>
            <w:vAlign w:val="center"/>
          </w:tcPr>
          <w:p>
            <w:pPr>
              <w:pStyle w:val="TableContents"/>
              <w:spacing w:before="0" w:after="0"/>
              <w:ind w:left="0" w:right="0" w:firstLine="180"/>
              <w:rPr/>
            </w:pPr>
            <w:r>
              <w:rPr/>
              <w:t> </w:t>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21,260</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12,547</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2,066</w:t>
            </w:r>
          </w:p>
        </w:tc>
        <w:tc>
          <w:tcPr>
            <w:tcW w:w="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1,277</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382</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347</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 (income)</w:t>
            </w:r>
          </w:p>
        </w:tc>
        <w:tc>
          <w:tcPr>
            <w:tcW w:w="15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2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763" w:type="dxa"/>
            <w:tcBorders>
              <w:bottom w:val="single" w:sz="2" w:space="0" w:color="000000"/>
            </w:tcBorders>
            <w:shd w:fill="auto"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4,514</w:t>
            </w:r>
          </w:p>
        </w:tc>
        <w:tc>
          <w:tcPr>
            <w:tcW w:w="25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1,057</w:t>
            </w:r>
          </w:p>
        </w:tc>
        <w:tc>
          <w:tcPr>
            <w:tcW w:w="763"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99" w:type="dxa"/>
            <w:gridSpan w:val="3"/>
            <w:tcBorders/>
            <w:shd w:fill="auto" w:val="clear"/>
            <w:vAlign w:val="center"/>
          </w:tcPr>
          <w:p>
            <w:pPr>
              <w:pStyle w:val="TableContents"/>
              <w:spacing w:before="0" w:after="0"/>
              <w:ind w:left="0" w:right="0" w:firstLine="30"/>
              <w:jc w:val="left"/>
              <w:rPr/>
            </w:pPr>
            <w:r>
              <w:rPr/>
              <w:t> </w:t>
            </w:r>
          </w:p>
        </w:tc>
        <w:tc>
          <w:tcPr>
            <w:tcW w:w="151" w:type="dxa"/>
            <w:tcBorders/>
            <w:shd w:fill="auto" w:val="clear"/>
            <w:vAlign w:val="center"/>
          </w:tcPr>
          <w:p>
            <w:pPr>
              <w:pStyle w:val="TableContents"/>
              <w:spacing w:before="0" w:after="0"/>
              <w:ind w:left="0" w:right="0" w:firstLine="30"/>
              <w:rPr/>
            </w:pPr>
            <w:r>
              <w:rPr/>
              <w:t> </w:t>
            </w:r>
          </w:p>
        </w:tc>
        <w:tc>
          <w:tcPr>
            <w:tcW w:w="2311" w:type="dxa"/>
            <w:gridSpan w:val="3"/>
            <w:tcBorders/>
            <w:shd w:fill="auto" w:val="clear"/>
            <w:vAlign w:val="center"/>
          </w:tcPr>
          <w:p>
            <w:pPr>
              <w:pStyle w:val="TableContents"/>
              <w:spacing w:before="0" w:after="0"/>
              <w:ind w:left="0" w:right="0" w:firstLine="300"/>
              <w:jc w:val="left"/>
              <w:rPr/>
            </w:pPr>
            <w:r>
              <w:rPr/>
              <w:t> </w:t>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w:t>
            </w:r>
          </w:p>
        </w:tc>
        <w:tc>
          <w:tcPr>
            <w:tcW w:w="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16.6</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37.1</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34.1</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shd w:fill="auto" w:val="clear"/>
            <w:vAlign w:val="center"/>
          </w:tcPr>
          <w:p>
            <w:pPr>
              <w:pStyle w:val="TableContents"/>
              <w:spacing w:before="0" w:after="0"/>
              <w:jc w:val="right"/>
              <w:rPr>
                <w:rFonts w:ascii="inherit" w:hAnsi="inherit"/>
                <w:sz w:val="17"/>
              </w:rPr>
            </w:pPr>
            <w:r>
              <w:rPr>
                <w:rFonts w:ascii="inherit" w:hAnsi="inherit"/>
                <w:sz w:val="17"/>
              </w:rPr>
              <w:t>65</w:t>
            </w:r>
          </w:p>
        </w:tc>
        <w:tc>
          <w:tcPr>
            <w:tcW w:w="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5" w:type="dxa"/>
            <w:tcBorders/>
            <w:shd w:fill="auto" w:val="clear"/>
            <w:vAlign w:val="center"/>
          </w:tcPr>
          <w:p>
            <w:pPr>
              <w:pStyle w:val="TableContents"/>
              <w:spacing w:before="0" w:after="0"/>
              <w:jc w:val="right"/>
              <w:rPr>
                <w:rFonts w:ascii="inherit" w:hAnsi="inherit"/>
                <w:sz w:val="17"/>
              </w:rPr>
            </w:pPr>
            <w:r>
              <w:rPr>
                <w:rFonts w:ascii="inherit" w:hAnsi="inherit"/>
                <w:sz w:val="17"/>
              </w:rPr>
              <w:t>60</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w:t>
            </w:r>
          </w:p>
        </w:tc>
        <w:tc>
          <w:tcPr>
            <w:tcW w:w="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9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73.5</w:t>
            </w:r>
          </w:p>
        </w:tc>
        <w:tc>
          <w:tcPr>
            <w:tcW w:w="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75.2</w:t>
            </w:r>
          </w:p>
        </w:tc>
        <w:tc>
          <w:tcPr>
            <w:tcW w:w="7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rPr>
                <w:sz w:val="4"/>
                <w:szCs w:val="4"/>
              </w:rPr>
            </w:pPr>
            <w:r>
              <w:rPr>
                <w:sz w:val="4"/>
                <w:szCs w:val="4"/>
              </w:rPr>
            </w:r>
          </w:p>
        </w:tc>
        <w:tc>
          <w:tcPr>
            <w:tcW w:w="9836" w:type="dxa"/>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vAlign w:val="center"/>
          </w:tcPr>
          <w:p>
            <w:pPr>
              <w:pStyle w:val="TableContents"/>
              <w:spacing w:lineRule="auto" w:line="288" w:before="0" w:after="0"/>
              <w:ind w:left="0" w:right="0" w:firstLine="135"/>
              <w:rPr>
                <w:rFonts w:ascii="inherit" w:hAnsi="inherit"/>
                <w:sz w:val="15"/>
              </w:rPr>
            </w:pPr>
            <w:r>
              <w:rPr>
                <w:rFonts w:ascii="inherit" w:hAnsi="inherit"/>
                <w:sz w:val="15"/>
              </w:rPr>
              <w:t>(a)</w:t>
            </w:r>
          </w:p>
        </w:tc>
        <w:tc>
          <w:tcPr>
            <w:tcW w:w="9836" w:type="dxa"/>
            <w:tcBorders/>
            <w:shd w:fill="auto" w:val="clear"/>
            <w:vAlign w:val="center"/>
          </w:tcPr>
          <w:p>
            <w:pPr>
              <w:pStyle w:val="TableContents"/>
              <w:spacing w:lineRule="auto" w:line="288" w:before="0" w:after="0"/>
              <w:rPr>
                <w:rFonts w:ascii="inherit" w:hAnsi="inherit"/>
                <w:sz w:val="15"/>
              </w:rPr>
            </w:pPr>
            <w:r>
              <w:rPr>
                <w:rFonts w:ascii="inherit" w:hAnsi="inherit"/>
                <w:sz w:val="15"/>
              </w:rPr>
              <w:t>Average yield on pawn loan portfolio is calculated as pawn service charge revenue for the period divided by the average pawn loan balance during the period.</w:t>
            </w:r>
          </w:p>
        </w:tc>
      </w:tr>
    </w:tbl>
    <w:p>
      <w:pPr>
        <w:pStyle w:val="TextBody"/>
        <w:spacing w:lineRule="auto" w:line="288" w:before="0" w:after="0"/>
        <w:jc w:val="left"/>
        <w:rPr>
          <w:sz w:val="17"/>
        </w:rPr>
      </w:pPr>
      <w:r>
        <w:rPr>
          <w:rFonts w:ascii="inherit" w:hAnsi="inherit"/>
          <w:sz w:val="17"/>
        </w:rPr>
        <w:t xml:space="preserve">The average exchange rate used to translate Latin America's current year results from Mexican pesos to U.S. dollars was 12.1 pesos to the dollar, 6% stronger than in the prior year. We expect new stores will be a drag on earnings until they become profitable in their second year of operation. Approximately 34% of the stores open at </w:t>
      </w:r>
      <w:r>
        <w:rPr>
          <w:rFonts w:ascii="Times New Roman" w:hAnsi="Times New Roman"/>
          <w:strike w:val="false"/>
          <w:dstrike w:val="false"/>
          <w:color w:val="000000"/>
          <w:sz w:val="17"/>
          <w:u w:val="none"/>
          <w:effect w:val="none"/>
        </w:rPr>
        <w:t>September 30, 2011</w:t>
      </w:r>
      <w:r>
        <w:rPr>
          <w:sz w:val="17"/>
        </w:rPr>
        <w:t xml:space="preserve"> </w:t>
      </w:r>
      <w:r>
        <w:rPr>
          <w:rFonts w:ascii="inherit" w:hAnsi="inherit"/>
          <w:sz w:val="17"/>
        </w:rPr>
        <w:t xml:space="preserve">had been open less than one year. </w:t>
      </w:r>
    </w:p>
    <w:p>
      <w:pPr>
        <w:pStyle w:val="TextBody"/>
        <w:spacing w:lineRule="auto" w:line="288" w:before="0" w:after="0"/>
        <w:jc w:val="left"/>
        <w:rPr>
          <w:sz w:val="17"/>
        </w:rPr>
      </w:pPr>
      <w:r>
        <w:rPr>
          <w:rFonts w:ascii="inherit" w:hAnsi="inherit"/>
          <w:sz w:val="17"/>
        </w:rPr>
        <w:t>The Latin America segment total revenues increased $</w:t>
      </w:r>
      <w:r>
        <w:rPr>
          <w:rFonts w:ascii="Times New Roman" w:hAnsi="Times New Roman"/>
          <w:strike w:val="false"/>
          <w:dstrike w:val="false"/>
          <w:color w:val="000000"/>
          <w:sz w:val="17"/>
          <w:u w:val="none"/>
          <w:effect w:val="none"/>
        </w:rPr>
        <w:t>21.9 million</w:t>
      </w:r>
      <w:r>
        <w:rPr>
          <w:rFonts w:ascii="inherit" w:hAnsi="inherit"/>
          <w:sz w:val="17"/>
        </w:rPr>
        <w:t xml:space="preserve">, or </w:t>
      </w:r>
      <w:r>
        <w:rPr>
          <w:rFonts w:ascii="Times New Roman" w:hAnsi="Times New Roman"/>
          <w:strike w:val="false"/>
          <w:dstrike w:val="false"/>
          <w:color w:val="000000"/>
          <w:sz w:val="17"/>
          <w:u w:val="none"/>
          <w:effect w:val="none"/>
        </w:rPr>
        <w:t>79%</w:t>
      </w:r>
      <w:r>
        <w:rPr>
          <w:rFonts w:ascii="inherit" w:hAnsi="inherit"/>
          <w:sz w:val="17"/>
        </w:rPr>
        <w:t>, in fiscal 2011 to $</w:t>
      </w:r>
      <w:r>
        <w:rPr>
          <w:rFonts w:ascii="Times New Roman" w:hAnsi="Times New Roman"/>
          <w:strike w:val="false"/>
          <w:dstrike w:val="false"/>
          <w:color w:val="000000"/>
          <w:sz w:val="17"/>
          <w:u w:val="none"/>
          <w:effect w:val="none"/>
        </w:rPr>
        <w:t>49.6 million</w:t>
      </w:r>
      <w:r>
        <w:rPr>
          <w:rFonts w:ascii="inherit" w:hAnsi="inherit"/>
          <w:sz w:val="17"/>
        </w:rPr>
        <w:t>. Same store total revenues increased $8.6 million, or 31%, and new and acquired stores contributed $13.3 million. The overall increase in total revenues comprised a $</w:t>
      </w:r>
      <w:r>
        <w:rPr>
          <w:rFonts w:ascii="Times New Roman" w:hAnsi="Times New Roman"/>
          <w:strike w:val="false"/>
          <w:dstrike w:val="false"/>
          <w:color w:val="000000"/>
          <w:sz w:val="17"/>
          <w:u w:val="none"/>
          <w:effect w:val="none"/>
        </w:rPr>
        <w:t>15.0 million</w:t>
      </w:r>
      <w:r>
        <w:rPr>
          <w:sz w:val="17"/>
        </w:rPr>
        <w:t xml:space="preserve"> </w:t>
      </w:r>
      <w:r>
        <w:rPr>
          <w:rFonts w:ascii="inherit" w:hAnsi="inherit"/>
          <w:sz w:val="17"/>
        </w:rPr>
        <w:t>increase in merchandise and jewelry scrapping sales, a $</w:t>
      </w:r>
      <w:r>
        <w:rPr>
          <w:rFonts w:ascii="Times New Roman" w:hAnsi="Times New Roman"/>
          <w:strike w:val="false"/>
          <w:dstrike w:val="false"/>
          <w:color w:val="000000"/>
          <w:sz w:val="17"/>
          <w:u w:val="none"/>
          <w:effect w:val="none"/>
        </w:rPr>
        <w:t>6.8 million</w:t>
      </w:r>
      <w:r>
        <w:rPr>
          <w:sz w:val="17"/>
        </w:rPr>
        <w:t xml:space="preserve"> </w:t>
      </w:r>
      <w:r>
        <w:rPr>
          <w:rFonts w:ascii="inherit" w:hAnsi="inherit"/>
          <w:sz w:val="17"/>
        </w:rPr>
        <w:t>increase in pawn service charges and a $</w:t>
      </w:r>
      <w:r>
        <w:rPr>
          <w:rFonts w:ascii="Times New Roman" w:hAnsi="Times New Roman"/>
          <w:strike w:val="false"/>
          <w:dstrike w:val="false"/>
          <w:color w:val="000000"/>
          <w:sz w:val="17"/>
          <w:u w:val="none"/>
          <w:effect w:val="none"/>
        </w:rPr>
        <w:t>0.1 million</w:t>
      </w:r>
      <w:r>
        <w:rPr>
          <w:sz w:val="17"/>
        </w:rPr>
        <w:t xml:space="preserve"> </w:t>
      </w:r>
      <w:r>
        <w:rPr>
          <w:rFonts w:ascii="inherit" w:hAnsi="inherit"/>
          <w:sz w:val="17"/>
        </w:rPr>
        <w:t xml:space="preserve">increase in other revenues. </w:t>
      </w:r>
    </w:p>
    <w:p>
      <w:pPr>
        <w:pStyle w:val="TextBody"/>
        <w:spacing w:lineRule="auto" w:line="288" w:before="0" w:after="0"/>
        <w:jc w:val="left"/>
        <w:rPr>
          <w:sz w:val="17"/>
        </w:rPr>
      </w:pPr>
      <w:r>
        <w:rPr>
          <w:rFonts w:ascii="inherit" w:hAnsi="inherit"/>
          <w:sz w:val="17"/>
        </w:rPr>
        <w:t>Latin America's pawn service charge revenues increased $</w:t>
      </w:r>
      <w:r>
        <w:rPr>
          <w:rFonts w:ascii="Times New Roman" w:hAnsi="Times New Roman"/>
          <w:strike w:val="false"/>
          <w:dstrike w:val="false"/>
          <w:color w:val="000000"/>
          <w:sz w:val="17"/>
          <w:u w:val="none"/>
          <w:effect w:val="none"/>
        </w:rPr>
        <w:t>6.8 million</w:t>
      </w:r>
      <w:r>
        <w:rPr>
          <w:rFonts w:ascii="inherit" w:hAnsi="inherit"/>
          <w:sz w:val="17"/>
        </w:rPr>
        <w:t xml:space="preserve">, or </w:t>
      </w:r>
      <w:r>
        <w:rPr>
          <w:rFonts w:ascii="Times New Roman" w:hAnsi="Times New Roman"/>
          <w:strike w:val="false"/>
          <w:dstrike w:val="false"/>
          <w:color w:val="000000"/>
          <w:sz w:val="17"/>
          <w:u w:val="none"/>
          <w:effect w:val="none"/>
        </w:rPr>
        <w:t>77%</w:t>
      </w:r>
      <w:r>
        <w:rPr>
          <w:rFonts w:ascii="inherit" w:hAnsi="inherit"/>
          <w:sz w:val="17"/>
        </w:rPr>
        <w:t>, in fiscal 2011 to $</w:t>
      </w:r>
      <w:r>
        <w:rPr>
          <w:rFonts w:ascii="Times New Roman" w:hAnsi="Times New Roman"/>
          <w:strike w:val="false"/>
          <w:dstrike w:val="false"/>
          <w:color w:val="000000"/>
          <w:sz w:val="17"/>
          <w:u w:val="none"/>
          <w:effect w:val="none"/>
        </w:rPr>
        <w:t>15.5 million</w:t>
      </w:r>
      <w:r>
        <w:rPr>
          <w:rFonts w:ascii="inherit" w:hAnsi="inherit"/>
          <w:sz w:val="17"/>
        </w:rPr>
        <w:t xml:space="preserve">. Same store pawn service charges increased approximately $3.0 million, or 34%, and new and acquired stores contributed $3.7 million. The same store increase was due to an improvement in the average pawn loan yield coupled with an increase in average loan balance during the period. The yield increased primarily due to an increase in pawn service charge rates in certain geographic areas compared to the prior year, partially offset by a lower loan redemption rate.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Merchandise gross profit increased $</w:t>
      </w:r>
      <w:r>
        <w:rPr>
          <w:rFonts w:ascii="Times New Roman" w:hAnsi="Times New Roman"/>
          <w:strike w:val="false"/>
          <w:dstrike w:val="false"/>
          <w:color w:val="000000"/>
          <w:sz w:val="17"/>
          <w:u w:val="none"/>
          <w:effect w:val="none"/>
        </w:rPr>
        <w:t>4.9 million</w:t>
      </w:r>
      <w:r>
        <w:rPr>
          <w:rFonts w:ascii="inherit" w:hAnsi="inherit"/>
          <w:sz w:val="17"/>
        </w:rPr>
        <w:t xml:space="preserve">, or </w:t>
      </w:r>
      <w:r>
        <w:rPr>
          <w:rFonts w:ascii="Times New Roman" w:hAnsi="Times New Roman"/>
          <w:strike w:val="false"/>
          <w:dstrike w:val="false"/>
          <w:color w:val="000000"/>
          <w:sz w:val="17"/>
          <w:u w:val="none"/>
          <w:effect w:val="none"/>
        </w:rPr>
        <w:t>87%</w:t>
      </w:r>
      <w:r>
        <w:rPr>
          <w:rFonts w:ascii="inherit" w:hAnsi="inherit"/>
          <w:sz w:val="17"/>
        </w:rPr>
        <w:t xml:space="preserve">, from fiscal </w:t>
      </w:r>
      <w:r>
        <w:rPr>
          <w:rFonts w:ascii="inherit" w:hAnsi="inherit"/>
          <w:strike w:val="false"/>
          <w:dstrike w:val="false"/>
          <w:color w:val="000000"/>
          <w:sz w:val="17"/>
          <w:u w:val="none"/>
          <w:effect w:val="none"/>
        </w:rPr>
        <w:t>2010</w:t>
      </w:r>
      <w:r>
        <w:rPr>
          <w:sz w:val="17"/>
        </w:rPr>
        <w:t xml:space="preserve"> </w:t>
      </w:r>
      <w:r>
        <w:rPr>
          <w:rFonts w:ascii="inherit" w:hAnsi="inherit"/>
          <w:sz w:val="17"/>
        </w:rPr>
        <w:t>to $</w:t>
      </w:r>
      <w:r>
        <w:rPr>
          <w:rFonts w:ascii="Times New Roman" w:hAnsi="Times New Roman"/>
          <w:strike w:val="false"/>
          <w:dstrike w:val="false"/>
          <w:color w:val="000000"/>
          <w:sz w:val="17"/>
          <w:u w:val="none"/>
          <w:effect w:val="none"/>
        </w:rPr>
        <w:t>10.5 million</w:t>
      </w:r>
      <w:r>
        <w:rPr>
          <w:rFonts w:ascii="inherit" w:hAnsi="inherit"/>
          <w:sz w:val="17"/>
        </w:rPr>
        <w:t xml:space="preserve">. This was due to a $4.1 million, or 29%, same store sales increase and $7.0 million in sales from new and acquired stores in addition to a </w:t>
      </w:r>
      <w:r>
        <w:rPr>
          <w:rFonts w:ascii="Times New Roman" w:hAnsi="Times New Roman"/>
          <w:strike w:val="false"/>
          <w:dstrike w:val="false"/>
          <w:color w:val="000000"/>
          <w:sz w:val="17"/>
          <w:u w:val="none"/>
          <w:effect w:val="none"/>
        </w:rPr>
        <w:t>1.6</w:t>
      </w:r>
      <w:r>
        <w:rPr>
          <w:sz w:val="17"/>
        </w:rPr>
        <w:t xml:space="preserve"> </w:t>
      </w:r>
      <w:r>
        <w:rPr>
          <w:rFonts w:ascii="inherit" w:hAnsi="inherit"/>
          <w:sz w:val="17"/>
        </w:rPr>
        <w:t xml:space="preserve">percentage point increase in gross margins to </w:t>
      </w:r>
      <w:r>
        <w:rPr>
          <w:rFonts w:ascii="Times New Roman" w:hAnsi="Times New Roman"/>
          <w:strike w:val="false"/>
          <w:dstrike w:val="false"/>
          <w:color w:val="000000"/>
          <w:sz w:val="17"/>
          <w:u w:val="none"/>
          <w:effect w:val="none"/>
        </w:rPr>
        <w:t>41.9%</w:t>
      </w:r>
      <w:r>
        <w:rPr>
          <w:rFonts w:ascii="inherit" w:hAnsi="inherit"/>
          <w:sz w:val="17"/>
        </w:rPr>
        <w:t>.</w:t>
      </w:r>
    </w:p>
    <w:p>
      <w:pPr>
        <w:pStyle w:val="TextBody"/>
        <w:spacing w:lineRule="auto" w:line="288" w:before="0" w:after="0"/>
        <w:jc w:val="left"/>
        <w:rPr>
          <w:sz w:val="17"/>
        </w:rPr>
      </w:pPr>
      <w:r>
        <w:rPr>
          <w:rFonts w:ascii="inherit" w:hAnsi="inherit"/>
          <w:sz w:val="17"/>
        </w:rPr>
        <w:t>Gross profit on jewelry scrapping sales increased $</w:t>
      </w:r>
      <w:r>
        <w:rPr>
          <w:rFonts w:ascii="Times New Roman" w:hAnsi="Times New Roman"/>
          <w:strike w:val="false"/>
          <w:dstrike w:val="false"/>
          <w:color w:val="000000"/>
          <w:sz w:val="17"/>
          <w:u w:val="none"/>
          <w:effect w:val="none"/>
        </w:rPr>
        <w:t>1.3 million</w:t>
      </w:r>
      <w:r>
        <w:rPr>
          <w:rFonts w:ascii="inherit" w:hAnsi="inherit"/>
          <w:sz w:val="17"/>
        </w:rPr>
        <w:t xml:space="preserve">, or </w:t>
      </w:r>
      <w:r>
        <w:rPr>
          <w:rFonts w:ascii="Times New Roman" w:hAnsi="Times New Roman"/>
          <w:strike w:val="false"/>
          <w:dstrike w:val="false"/>
          <w:color w:val="000000"/>
          <w:sz w:val="17"/>
          <w:u w:val="none"/>
          <w:effect w:val="none"/>
        </w:rPr>
        <w:t>155%</w:t>
      </w:r>
      <w:r>
        <w:rPr>
          <w:rFonts w:ascii="inherit" w:hAnsi="inherit"/>
          <w:sz w:val="17"/>
        </w:rPr>
        <w:t xml:space="preserve">, from fiscal </w:t>
      </w:r>
      <w:r>
        <w:rPr>
          <w:rFonts w:ascii="inherit" w:hAnsi="inherit"/>
          <w:strike w:val="false"/>
          <w:dstrike w:val="false"/>
          <w:color w:val="000000"/>
          <w:sz w:val="17"/>
          <w:u w:val="none"/>
          <w:effect w:val="none"/>
        </w:rPr>
        <w:t>2010</w:t>
      </w:r>
      <w:r>
        <w:rPr>
          <w:sz w:val="17"/>
        </w:rPr>
        <w:t xml:space="preserve"> </w:t>
      </w:r>
      <w:r>
        <w:rPr>
          <w:rFonts w:ascii="inherit" w:hAnsi="inherit"/>
          <w:sz w:val="17"/>
        </w:rPr>
        <w:t>to $</w:t>
      </w:r>
      <w:r>
        <w:rPr>
          <w:rFonts w:ascii="Times New Roman" w:hAnsi="Times New Roman"/>
          <w:strike w:val="false"/>
          <w:dstrike w:val="false"/>
          <w:color w:val="000000"/>
          <w:sz w:val="17"/>
          <w:u w:val="none"/>
          <w:effect w:val="none"/>
        </w:rPr>
        <w:t>2.1 million</w:t>
      </w:r>
      <w:r>
        <w:rPr>
          <w:rFonts w:ascii="inherit" w:hAnsi="inherit"/>
          <w:sz w:val="17"/>
        </w:rPr>
        <w:t>. Jewelry scrapping revenues increased $</w:t>
      </w:r>
      <w:r>
        <w:rPr>
          <w:rFonts w:ascii="Times New Roman" w:hAnsi="Times New Roman"/>
          <w:strike w:val="false"/>
          <w:dstrike w:val="false"/>
          <w:color w:val="000000"/>
          <w:sz w:val="17"/>
          <w:u w:val="none"/>
          <w:effect w:val="none"/>
        </w:rPr>
        <w:t>4.0 million</w:t>
      </w:r>
      <w:r>
        <w:rPr>
          <w:rFonts w:ascii="inherit" w:hAnsi="inherit"/>
          <w:sz w:val="17"/>
        </w:rPr>
        <w:t xml:space="preserve">, or </w:t>
      </w:r>
      <w:r>
        <w:rPr>
          <w:rFonts w:ascii="Times New Roman" w:hAnsi="Times New Roman"/>
          <w:strike w:val="false"/>
          <w:dstrike w:val="false"/>
          <w:color w:val="000000"/>
          <w:sz w:val="17"/>
          <w:u w:val="none"/>
          <w:effect w:val="none"/>
        </w:rPr>
        <w:t>79%</w:t>
      </w:r>
      <w:r>
        <w:rPr>
          <w:rFonts w:ascii="inherit" w:hAnsi="inherit"/>
          <w:sz w:val="17"/>
        </w:rPr>
        <w:t>, due to 74% increase in gold volume and a 32% increase in proceeds realized per gram of gold jewelry scrapped. Same store jewelry scrapping sales increased $1.4 million, or 28%, and new and acquired stores contributed $2.5 million. As a result of the greater volume, scrap cost of goods increased $</w:t>
      </w:r>
      <w:r>
        <w:rPr>
          <w:rFonts w:ascii="Times New Roman" w:hAnsi="Times New Roman"/>
          <w:strike w:val="false"/>
          <w:dstrike w:val="false"/>
          <w:color w:val="000000"/>
          <w:sz w:val="17"/>
          <w:u w:val="none"/>
          <w:effect w:val="none"/>
        </w:rPr>
        <w:t>2.7 million</w:t>
      </w:r>
      <w:r>
        <w:rPr>
          <w:rFonts w:ascii="inherit" w:hAnsi="inherit"/>
          <w:sz w:val="17"/>
        </w:rPr>
        <w:t xml:space="preserve">. </w:t>
      </w:r>
    </w:p>
    <w:p>
      <w:pPr>
        <w:pStyle w:val="TextBody"/>
        <w:spacing w:lineRule="auto" w:line="288" w:before="0" w:after="0"/>
        <w:jc w:val="left"/>
        <w:rPr>
          <w:sz w:val="17"/>
        </w:rPr>
      </w:pPr>
      <w:r>
        <w:rPr>
          <w:rFonts w:ascii="inherit" w:hAnsi="inherit"/>
          <w:sz w:val="17"/>
        </w:rPr>
        <w:t>Total segment expenses increased to $</w:t>
      </w:r>
      <w:r>
        <w:rPr>
          <w:rFonts w:ascii="Times New Roman" w:hAnsi="Times New Roman"/>
          <w:strike w:val="false"/>
          <w:dstrike w:val="false"/>
          <w:color w:val="000000"/>
          <w:sz w:val="17"/>
          <w:u w:val="none"/>
          <w:effect w:val="none"/>
        </w:rPr>
        <w:t>23.7 million</w:t>
      </w:r>
      <w:r>
        <w:rPr>
          <w:sz w:val="17"/>
        </w:rPr>
        <w:t xml:space="preserve"> </w:t>
      </w:r>
      <w:r>
        <w:rPr>
          <w:rFonts w:ascii="inherit" w:hAnsi="inherit"/>
          <w:sz w:val="17"/>
        </w:rPr>
        <w:t>(</w:t>
      </w:r>
      <w:r>
        <w:rPr>
          <w:rFonts w:ascii="Times New Roman" w:hAnsi="Times New Roman"/>
          <w:strike w:val="false"/>
          <w:dstrike w:val="false"/>
          <w:color w:val="000000"/>
          <w:sz w:val="17"/>
          <w:u w:val="none"/>
          <w:effect w:val="none"/>
        </w:rPr>
        <w:t>48%</w:t>
      </w:r>
      <w:r>
        <w:rPr>
          <w:sz w:val="17"/>
        </w:rPr>
        <w:t xml:space="preserve"> </w:t>
      </w:r>
      <w:r>
        <w:rPr>
          <w:rFonts w:ascii="inherit" w:hAnsi="inherit"/>
          <w:sz w:val="17"/>
        </w:rPr>
        <w:t xml:space="preserve">of revenues) in fiscal </w:t>
      </w:r>
      <w:r>
        <w:rPr>
          <w:rFonts w:ascii="inherit" w:hAnsi="inherit"/>
          <w:strike w:val="false"/>
          <w:dstrike w:val="false"/>
          <w:color w:val="000000"/>
          <w:sz w:val="17"/>
          <w:u w:val="none"/>
          <w:effect w:val="none"/>
        </w:rPr>
        <w:t>2011</w:t>
      </w:r>
      <w:r>
        <w:rPr>
          <w:sz w:val="17"/>
        </w:rPr>
        <w:t xml:space="preserve"> </w:t>
      </w:r>
      <w:r>
        <w:rPr>
          <w:rFonts w:ascii="inherit" w:hAnsi="inherit"/>
          <w:sz w:val="17"/>
        </w:rPr>
        <w:t>from $</w:t>
      </w:r>
      <w:r>
        <w:rPr>
          <w:rFonts w:ascii="Times New Roman" w:hAnsi="Times New Roman"/>
          <w:strike w:val="false"/>
          <w:dstrike w:val="false"/>
          <w:color w:val="000000"/>
          <w:sz w:val="17"/>
          <w:u w:val="none"/>
          <w:effect w:val="none"/>
        </w:rPr>
        <w:t>14.2 million</w:t>
      </w:r>
      <w:r>
        <w:rPr>
          <w:sz w:val="17"/>
        </w:rPr>
        <w:t xml:space="preserve"> </w:t>
      </w:r>
      <w:r>
        <w:rPr>
          <w:rFonts w:ascii="inherit" w:hAnsi="inherit"/>
          <w:sz w:val="17"/>
        </w:rPr>
        <w:t>(</w:t>
      </w:r>
      <w:r>
        <w:rPr>
          <w:rFonts w:ascii="Times New Roman" w:hAnsi="Times New Roman"/>
          <w:strike w:val="false"/>
          <w:dstrike w:val="false"/>
          <w:color w:val="000000"/>
          <w:sz w:val="17"/>
          <w:u w:val="none"/>
          <w:effect w:val="none"/>
        </w:rPr>
        <w:t>51%</w:t>
      </w:r>
      <w:r>
        <w:rPr>
          <w:sz w:val="17"/>
        </w:rPr>
        <w:t xml:space="preserve"> </w:t>
      </w:r>
      <w:r>
        <w:rPr>
          <w:rFonts w:ascii="inherit" w:hAnsi="inherit"/>
          <w:sz w:val="17"/>
        </w:rPr>
        <w:t xml:space="preserve">of revenues) in fiscal </w:t>
      </w:r>
      <w:r>
        <w:rPr>
          <w:rFonts w:ascii="inherit" w:hAnsi="inherit"/>
          <w:strike w:val="false"/>
          <w:dstrike w:val="false"/>
          <w:color w:val="000000"/>
          <w:sz w:val="17"/>
          <w:u w:val="none"/>
          <w:effect w:val="none"/>
        </w:rPr>
        <w:t>2010</w:t>
      </w:r>
      <w:r>
        <w:rPr>
          <w:rFonts w:ascii="inherit" w:hAnsi="inherit"/>
          <w:sz w:val="17"/>
        </w:rPr>
        <w:t xml:space="preserve">. The dollar increase was due to a </w:t>
      </w:r>
      <w:r>
        <w:rPr>
          <w:rFonts w:ascii="inherit" w:hAnsi="inherit"/>
          <w:strike w:val="false"/>
          <w:dstrike w:val="false"/>
          <w:color w:val="000000"/>
          <w:sz w:val="17"/>
          <w:u w:val="none"/>
          <w:effect w:val="none"/>
        </w:rPr>
        <w:t>69%</w:t>
      </w:r>
      <w:r>
        <w:rPr>
          <w:rFonts w:ascii="inherit" w:hAnsi="inherit"/>
          <w:sz w:val="17"/>
        </w:rPr>
        <w:t>, or $</w:t>
      </w:r>
      <w:r>
        <w:rPr>
          <w:rFonts w:ascii="inherit" w:hAnsi="inherit"/>
          <w:strike w:val="false"/>
          <w:dstrike w:val="false"/>
          <w:color w:val="000000"/>
          <w:sz w:val="17"/>
          <w:u w:val="none"/>
          <w:effect w:val="none"/>
        </w:rPr>
        <w:t>8.7 million</w:t>
      </w:r>
      <w:r>
        <w:rPr>
          <w:rFonts w:ascii="inherit" w:hAnsi="inherit"/>
          <w:sz w:val="17"/>
        </w:rPr>
        <w:t xml:space="preserve">, increase in operations expenses due to higher operating costs resulting from the addition of 48 new stores. During fiscal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depreciation and amortization increased </w:t>
      </w:r>
      <w:r>
        <w:rPr>
          <w:rFonts w:ascii="inherit" w:hAnsi="inherit"/>
          <w:strike w:val="false"/>
          <w:dstrike w:val="false"/>
          <w:color w:val="000000"/>
          <w:sz w:val="17"/>
          <w:u w:val="none"/>
          <w:effect w:val="none"/>
        </w:rPr>
        <w:t>$0.8 million</w:t>
      </w:r>
      <w:r>
        <w:rPr>
          <w:sz w:val="17"/>
        </w:rPr>
        <w:t xml:space="preserve"> </w:t>
      </w:r>
      <w:r>
        <w:rPr>
          <w:rFonts w:ascii="inherit" w:hAnsi="inherit"/>
          <w:sz w:val="17"/>
        </w:rPr>
        <w:t xml:space="preserve">from fiscal </w:t>
      </w:r>
      <w:r>
        <w:rPr>
          <w:rFonts w:ascii="inherit" w:hAnsi="inherit"/>
          <w:strike w:val="false"/>
          <w:dstrike w:val="false"/>
          <w:color w:val="000000"/>
          <w:sz w:val="17"/>
          <w:u w:val="none"/>
          <w:effect w:val="none"/>
        </w:rPr>
        <w:t>2010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$2.4 million</w:t>
      </w:r>
      <w:r>
        <w:rPr>
          <w:rFonts w:ascii="inherit" w:hAnsi="inherit"/>
          <w:sz w:val="17"/>
        </w:rPr>
        <w:t xml:space="preserve">, mainly due to depreciation of assets place in service at new stores. </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the $</w:t>
      </w:r>
      <w:r>
        <w:rPr>
          <w:rFonts w:ascii="Times New Roman" w:hAnsi="Times New Roman"/>
          <w:strike w:val="false"/>
          <w:dstrike w:val="false"/>
          <w:color w:val="000000"/>
          <w:sz w:val="17"/>
          <w:u w:val="none"/>
          <w:effect w:val="none"/>
        </w:rPr>
        <w:t>13.0 million</w:t>
      </w:r>
      <w:r>
        <w:rPr>
          <w:sz w:val="17"/>
        </w:rPr>
        <w:t xml:space="preserve"> </w:t>
      </w:r>
      <w:r>
        <w:rPr>
          <w:rFonts w:ascii="inherit" w:hAnsi="inherit"/>
          <w:sz w:val="17"/>
        </w:rPr>
        <w:t>greater net revenues were partially offset by the $9.5 million higher segment expenses, resulting in a $</w:t>
      </w:r>
      <w:r>
        <w:rPr>
          <w:rFonts w:ascii="Times New Roman" w:hAnsi="Times New Roman"/>
          <w:strike w:val="false"/>
          <w:dstrike w:val="false"/>
          <w:color w:val="000000"/>
          <w:sz w:val="17"/>
          <w:u w:val="none"/>
          <w:effect w:val="none"/>
        </w:rPr>
        <w:t>3.5 million</w:t>
      </w:r>
      <w:r>
        <w:rPr>
          <w:sz w:val="17"/>
        </w:rPr>
        <w:t xml:space="preserve"> </w:t>
      </w:r>
      <w:r>
        <w:rPr>
          <w:rFonts w:ascii="inherit" w:hAnsi="inherit"/>
          <w:sz w:val="17"/>
        </w:rPr>
        <w:t xml:space="preserve">increase in contribution for the Latin America segment. Contribution margin increased 5 percentage points to 9%. In fiscal </w:t>
      </w:r>
      <w:r>
        <w:rPr>
          <w:rFonts w:ascii="inherit" w:hAnsi="inherit"/>
          <w:strike w:val="false"/>
          <w:dstrike w:val="false"/>
          <w:color w:val="000000"/>
          <w:sz w:val="17"/>
          <w:u w:val="none"/>
          <w:effect w:val="none"/>
        </w:rPr>
        <w:t>2011</w:t>
      </w:r>
      <w:r>
        <w:rPr>
          <w:rFonts w:ascii="inherit" w:hAnsi="inherit"/>
          <w:sz w:val="17"/>
        </w:rPr>
        <w:t xml:space="preserve">, Latin America's segment contribution was 2% of consolidated segment contribution compared to 1% in fiscal </w:t>
      </w:r>
      <w:r>
        <w:rPr>
          <w:rFonts w:ascii="inherit" w:hAnsi="inherit"/>
          <w:strike w:val="false"/>
          <w:dstrike w:val="false"/>
          <w:color w:val="000000"/>
          <w:sz w:val="17"/>
          <w:u w:val="none"/>
          <w:effect w:val="none"/>
        </w:rPr>
        <w:t>2010</w:t>
      </w:r>
      <w:r>
        <w:rPr>
          <w:rFonts w:ascii="inherit" w:hAnsi="inherit"/>
          <w:sz w:val="17"/>
        </w:rPr>
        <w:t xml:space="preserve">. </w:t>
      </w:r>
    </w:p>
    <w:p>
      <w:pPr>
        <w:pStyle w:val="TextBody"/>
        <w:spacing w:lineRule="auto" w:line="288" w:before="0" w:after="0"/>
        <w:jc w:val="center"/>
        <w:rPr>
          <w:rFonts w:ascii="inherit" w:hAnsi="inherit"/>
          <w:b/>
          <w:sz w:val="17"/>
        </w:rPr>
      </w:pPr>
      <w:r>
        <w:rPr>
          <w:rFonts w:ascii="inherit" w:hAnsi="inherit"/>
          <w:b/>
          <w:sz w:val="17"/>
        </w:rPr>
        <w:t>Other International</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Other International segment:</w:t>
      </w:r>
    </w:p>
    <w:tbl>
      <w:tblPr>
        <w:tblW w:w="10205" w:type="dxa"/>
        <w:jc w:val="left"/>
        <w:tblInd w:w="0" w:type="dxa"/>
        <w:tblCellMar>
          <w:top w:w="0" w:type="dxa"/>
          <w:left w:w="0" w:type="dxa"/>
          <w:bottom w:w="0" w:type="dxa"/>
          <w:right w:w="0" w:type="dxa"/>
        </w:tblCellMar>
      </w:tblPr>
      <w:tblGrid>
        <w:gridCol w:w="6143"/>
        <w:gridCol w:w="182"/>
        <w:gridCol w:w="1366"/>
        <w:gridCol w:w="168"/>
        <w:gridCol w:w="150"/>
        <w:gridCol w:w="182"/>
        <w:gridCol w:w="1366"/>
        <w:gridCol w:w="64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4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43" w:type="dxa"/>
            <w:tcBorders/>
            <w:shd w:fill="auto" w:val="clear"/>
            <w:vAlign w:val="center"/>
          </w:tcPr>
          <w:p>
            <w:pPr>
              <w:pStyle w:val="TableContents"/>
              <w:spacing w:before="0" w:after="0"/>
              <w:ind w:left="0" w:right="0" w:firstLine="30"/>
              <w:jc w:val="left"/>
              <w:rPr/>
            </w:pPr>
            <w:r>
              <w:rPr/>
              <w:t> </w:t>
            </w:r>
          </w:p>
        </w:tc>
        <w:tc>
          <w:tcPr>
            <w:tcW w:w="406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143" w:type="dxa"/>
            <w:tcBorders/>
            <w:shd w:fill="auto" w:val="clear"/>
            <w:vAlign w:val="center"/>
          </w:tcPr>
          <w:p>
            <w:pPr>
              <w:pStyle w:val="TableContents"/>
              <w:spacing w:before="0" w:after="0"/>
              <w:ind w:left="0" w:right="0" w:firstLine="30"/>
              <w:jc w:val="left"/>
              <w:rPr/>
            </w:pPr>
            <w:r>
              <w:rPr/>
              <w:t> </w:t>
            </w:r>
          </w:p>
        </w:tc>
        <w:tc>
          <w:tcPr>
            <w:tcW w:w="17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50" w:type="dxa"/>
            <w:tcBorders/>
            <w:shd w:fill="auto" w:val="clear"/>
            <w:vAlign w:val="center"/>
          </w:tcPr>
          <w:p>
            <w:pPr>
              <w:pStyle w:val="TableContents"/>
              <w:spacing w:before="0" w:after="0"/>
              <w:ind w:left="0" w:right="0" w:firstLine="30"/>
              <w:rPr/>
            </w:pPr>
            <w:r>
              <w:rPr/>
              <w:t> </w:t>
            </w:r>
          </w:p>
        </w:tc>
        <w:tc>
          <w:tcPr>
            <w:tcW w:w="219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6143" w:type="dxa"/>
            <w:tcBorders/>
            <w:shd w:fill="auto" w:val="clear"/>
            <w:vAlign w:val="center"/>
          </w:tcPr>
          <w:p>
            <w:pPr>
              <w:pStyle w:val="TableContents"/>
              <w:spacing w:before="0" w:after="0"/>
              <w:ind w:left="0" w:right="0" w:firstLine="30"/>
              <w:jc w:val="left"/>
              <w:rPr/>
            </w:pPr>
            <w:r>
              <w:rPr/>
              <w:t> </w:t>
            </w:r>
          </w:p>
        </w:tc>
        <w:tc>
          <w:tcPr>
            <w:tcW w:w="406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6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66" w:type="dxa"/>
            <w:tcBorders/>
            <w:shd w:fill="CCEEFF" w:val="clear"/>
            <w:vAlign w:val="center"/>
          </w:tcPr>
          <w:p>
            <w:pPr>
              <w:pStyle w:val="TableContents"/>
              <w:spacing w:before="0" w:after="0"/>
              <w:jc w:val="right"/>
              <w:rPr>
                <w:rFonts w:ascii="inherit" w:hAnsi="inherit"/>
                <w:sz w:val="17"/>
              </w:rPr>
            </w:pPr>
            <w:r>
              <w:rPr>
                <w:rFonts w:ascii="inherit" w:hAnsi="inherit"/>
                <w:sz w:val="17"/>
              </w:rPr>
              <w:t>795</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66" w:type="dxa"/>
            <w:tcBorders/>
            <w:shd w:fill="CCEEFF" w:val="clear"/>
            <w:vAlign w:val="center"/>
          </w:tcPr>
          <w:p>
            <w:pPr>
              <w:pStyle w:val="TableContents"/>
              <w:spacing w:before="0" w:after="0"/>
              <w:jc w:val="right"/>
              <w:rPr>
                <w:rFonts w:ascii="inherit" w:hAnsi="inherit"/>
                <w:sz w:val="17"/>
              </w:rPr>
            </w:pPr>
            <w:r>
              <w:rPr>
                <w:rFonts w:ascii="inherit" w:hAnsi="inherit"/>
                <w:sz w:val="17"/>
              </w:rPr>
              <w:t>69</w:t>
            </w:r>
          </w:p>
        </w:tc>
        <w:tc>
          <w:tcPr>
            <w:tcW w:w="6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(16,237</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(10,750</w:t>
            </w:r>
          </w:p>
        </w:tc>
        <w:tc>
          <w:tcPr>
            <w:tcW w:w="6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5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5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w:t>
            </w:r>
          </w:p>
        </w:tc>
        <w:tc>
          <w:tcPr>
            <w:tcW w:w="648" w:type="dxa"/>
            <w:tcBorders>
              <w:bottom w:val="single" w:sz="2" w:space="0" w:color="000000"/>
            </w:tcBorders>
            <w:shd w:fill="CCEEFF"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6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15,610</w:t>
            </w:r>
          </w:p>
        </w:tc>
        <w:tc>
          <w:tcPr>
            <w:tcW w:w="16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10,774</w:t>
            </w:r>
          </w:p>
        </w:tc>
        <w:tc>
          <w:tcPr>
            <w:tcW w:w="64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Administrative expenses increased </w:t>
      </w:r>
      <w:r>
        <w:rPr>
          <w:rFonts w:ascii="inherit" w:hAnsi="inherit"/>
          <w:strike w:val="false"/>
          <w:dstrike w:val="false"/>
          <w:color w:val="000000"/>
          <w:sz w:val="17"/>
          <w:u w:val="none"/>
          <w:effect w:val="none"/>
        </w:rPr>
        <w:t>$0.7 million</w:t>
      </w:r>
      <w:r>
        <w:rPr>
          <w:sz w:val="17"/>
        </w:rPr>
        <w:t xml:space="preserve"> </w:t>
      </w: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xml:space="preserve">, mainly due to transactions costs related to our additional investment in Cash Converters, which was subsequently canceled. </w:t>
      </w:r>
    </w:p>
    <w:p>
      <w:pPr>
        <w:pStyle w:val="TextBody"/>
        <w:spacing w:lineRule="auto" w:line="288" w:before="0" w:after="0"/>
        <w:jc w:val="left"/>
        <w:rPr>
          <w:sz w:val="17"/>
        </w:rPr>
      </w:pPr>
      <w:r>
        <w:rPr>
          <w:rFonts w:ascii="inherit" w:hAnsi="inherit"/>
          <w:sz w:val="17"/>
        </w:rPr>
        <w:t xml:space="preserve">Our equity in the net income of Albemarle &amp; Bond increased $0.5 million, or 7%, in fiscal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to $7.3 million as a result of Albemarle &amp; Bond's higher earnings and a slightly stronger British pound in relation to the U.S. dollar. On November 6, 2009, we acquired 108,218,000 newly issued shares, or approximately 30% of the capital stock of Cash Converters International Limited, a publicly traded company headquartered in Perth, Australia for approximately AUS $54.1 million (approximately U.S. $49.6 million). We acquired 16,200,000 additional shares on May 20, 2010 at a cost of AUS $9.7 million (approximately U.S. $8.2 million), which increased our ownership level to approximately 33%. In fiscal </w:t>
      </w:r>
      <w:r>
        <w:rPr>
          <w:rFonts w:ascii="inherit" w:hAnsi="inherit"/>
          <w:strike w:val="false"/>
          <w:dstrike w:val="false"/>
          <w:color w:val="000000"/>
          <w:sz w:val="17"/>
          <w:u w:val="none"/>
          <w:effect w:val="none"/>
        </w:rPr>
        <w:t>2011</w:t>
      </w:r>
      <w:r>
        <w:rPr>
          <w:rFonts w:ascii="inherit" w:hAnsi="inherit"/>
          <w:sz w:val="17"/>
        </w:rPr>
        <w:t xml:space="preserve">, our equity in the net income of Cash Converters was $8.9 million compared to $3.9 million in fiscal </w:t>
      </w:r>
      <w:r>
        <w:rPr>
          <w:rFonts w:ascii="inherit" w:hAnsi="inherit"/>
          <w:strike w:val="false"/>
          <w:dstrike w:val="false"/>
          <w:color w:val="000000"/>
          <w:sz w:val="17"/>
          <w:u w:val="none"/>
          <w:effect w:val="none"/>
        </w:rPr>
        <w:t>2010</w:t>
      </w:r>
      <w:r>
        <w:rPr>
          <w:rFonts w:ascii="inherit" w:hAnsi="inherit"/>
          <w:sz w:val="17"/>
        </w:rPr>
        <w:t xml:space="preserve">. As we account for our earnings from Cash Converters on a 3-month lag, fiscal </w:t>
      </w:r>
      <w:r>
        <w:rPr>
          <w:rFonts w:ascii="inherit" w:hAnsi="inherit"/>
          <w:strike w:val="false"/>
          <w:dstrike w:val="false"/>
          <w:color w:val="000000"/>
          <w:sz w:val="17"/>
          <w:u w:val="none"/>
          <w:effect w:val="none"/>
        </w:rPr>
        <w:t>2010</w:t>
      </w:r>
      <w:r>
        <w:rPr>
          <w:sz w:val="17"/>
        </w:rPr>
        <w:t xml:space="preserve"> </w:t>
      </w:r>
      <w:r>
        <w:rPr>
          <w:rFonts w:ascii="inherit" w:hAnsi="inherit"/>
          <w:sz w:val="17"/>
        </w:rPr>
        <w:t>included our pro rata share of their results of operations for the 237-day period from our November 6, 2009 initial investment date to the June 30, 2010 end of Cash Converters' period.</w:t>
      </w:r>
    </w:p>
    <w:p>
      <w:pPr>
        <w:pStyle w:val="TextBody"/>
        <w:spacing w:lineRule="auto" w:line="288" w:before="0" w:after="0"/>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the Other International segment contribution increased $</w:t>
      </w:r>
      <w:r>
        <w:rPr>
          <w:rFonts w:ascii="Times New Roman" w:hAnsi="Times New Roman"/>
          <w:strike w:val="false"/>
          <w:dstrike w:val="false"/>
          <w:color w:val="000000"/>
          <w:sz w:val="17"/>
          <w:u w:val="none"/>
          <w:effect w:val="none"/>
        </w:rPr>
        <w:t>4.8 million</w:t>
      </w:r>
      <w:r>
        <w:rPr>
          <w:rFonts w:ascii="inherit" w:hAnsi="inherit"/>
          <w:sz w:val="17"/>
        </w:rPr>
        <w:t xml:space="preserve">, or </w:t>
      </w:r>
      <w:r>
        <w:rPr>
          <w:rFonts w:ascii="Times New Roman" w:hAnsi="Times New Roman"/>
          <w:strike w:val="false"/>
          <w:dstrike w:val="false"/>
          <w:color w:val="000000"/>
          <w:sz w:val="17"/>
          <w:u w:val="none"/>
          <w:effect w:val="none"/>
        </w:rPr>
        <w:t>45%</w:t>
      </w:r>
      <w:r>
        <w:rPr>
          <w:rFonts w:ascii="inherit" w:hAnsi="inherit"/>
          <w:sz w:val="17"/>
        </w:rPr>
        <w:t>, to $</w:t>
      </w:r>
      <w:r>
        <w:rPr>
          <w:rFonts w:ascii="Times New Roman" w:hAnsi="Times New Roman"/>
          <w:strike w:val="false"/>
          <w:dstrike w:val="false"/>
          <w:color w:val="000000"/>
          <w:sz w:val="17"/>
          <w:u w:val="none"/>
          <w:effect w:val="none"/>
        </w:rPr>
        <w:t>15.6 million</w:t>
      </w:r>
      <w:r>
        <w:rPr>
          <w:rFonts w:ascii="inherit" w:hAnsi="inherit"/>
          <w:sz w:val="17"/>
        </w:rPr>
        <w:t>. The $</w:t>
      </w:r>
      <w:r>
        <w:rPr>
          <w:rFonts w:ascii="Times New Roman" w:hAnsi="Times New Roman"/>
          <w:strike w:val="false"/>
          <w:dstrike w:val="false"/>
          <w:color w:val="000000"/>
          <w:sz w:val="17"/>
          <w:u w:val="none"/>
          <w:effect w:val="none"/>
        </w:rPr>
        <w:t>5.5 million</w:t>
      </w:r>
      <w:r>
        <w:rPr>
          <w:rFonts w:ascii="inherit" w:hAnsi="inherit"/>
          <w:sz w:val="17"/>
        </w:rPr>
        <w:t xml:space="preserve">, or </w:t>
      </w:r>
      <w:r>
        <w:rPr>
          <w:rFonts w:ascii="Times New Roman" w:hAnsi="Times New Roman"/>
          <w:strike w:val="false"/>
          <w:dstrike w:val="false"/>
          <w:color w:val="000000"/>
          <w:sz w:val="17"/>
          <w:u w:val="none"/>
          <w:effect w:val="none"/>
        </w:rPr>
        <w:t>51%</w:t>
      </w:r>
      <w:r>
        <w:rPr>
          <w:rFonts w:ascii="inherit" w:hAnsi="inherit"/>
          <w:sz w:val="17"/>
        </w:rPr>
        <w:t>, increase in our equity in the net income of unconsolidated affiliates was partially offset by a $</w:t>
      </w:r>
      <w:r>
        <w:rPr>
          <w:rFonts w:ascii="Times New Roman" w:hAnsi="Times New Roman"/>
          <w:strike w:val="false"/>
          <w:dstrike w:val="false"/>
          <w:color w:val="000000"/>
          <w:sz w:val="17"/>
          <w:u w:val="none"/>
          <w:effect w:val="none"/>
        </w:rPr>
        <w:t>0.7 million</w:t>
      </w:r>
      <w:r>
        <w:rPr>
          <w:sz w:val="17"/>
        </w:rPr>
        <w:t xml:space="preserve"> </w:t>
      </w:r>
      <w:r>
        <w:rPr>
          <w:rFonts w:ascii="inherit" w:hAnsi="inherit"/>
          <w:sz w:val="17"/>
        </w:rPr>
        <w:t xml:space="preserve">increase in administrative and other expenses in the fiscal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compared to fiscal </w:t>
      </w:r>
      <w:r>
        <w:rPr>
          <w:rFonts w:ascii="inherit" w:hAnsi="inherit"/>
          <w:strike w:val="false"/>
          <w:dstrike w:val="false"/>
          <w:color w:val="000000"/>
          <w:sz w:val="17"/>
          <w:u w:val="none"/>
          <w:effect w:val="none"/>
        </w:rPr>
        <w:t>2010</w:t>
      </w:r>
      <w:r>
        <w:rPr>
          <w:rFonts w:ascii="inherit" w:hAnsi="inherit"/>
          <w:sz w:val="17"/>
        </w:rPr>
        <w:t xml:space="preserve">. Segment contribution from the Other International segment remained constant at </w:t>
      </w:r>
      <w:r>
        <w:rPr>
          <w:rFonts w:ascii="inherit" w:hAnsi="inherit"/>
          <w:strike w:val="false"/>
          <w:dstrike w:val="false"/>
          <w:color w:val="000000"/>
          <w:sz w:val="17"/>
          <w:u w:val="none"/>
          <w:effect w:val="none"/>
        </w:rPr>
        <w:t>6%</w:t>
      </w:r>
      <w:r>
        <w:rPr>
          <w:rFonts w:ascii="inherit" w:hAnsi="inherit"/>
          <w:sz w:val="17"/>
        </w:rPr>
        <w: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Items</w:t>
      </w:r>
    </w:p>
    <w:p>
      <w:pPr>
        <w:pStyle w:val="TextBody"/>
        <w:spacing w:lineRule="auto" w:line="288" w:before="0" w:after="0"/>
        <w:jc w:val="left"/>
        <w:rPr>
          <w:rFonts w:ascii="inherit" w:hAnsi="inherit"/>
          <w:sz w:val="17"/>
        </w:rPr>
      </w:pPr>
      <w:r>
        <w:rPr>
          <w:rFonts w:ascii="inherit" w:hAnsi="inherit"/>
          <w:sz w:val="17"/>
        </w:rPr>
        <w:t>The following table reconciles our consolidated segment contribution discussed above to net income attributable to EZCORP, Inc., including items that affect our consolidated financial results but are not allocated among segments:</w:t>
      </w:r>
    </w:p>
    <w:tbl>
      <w:tblPr>
        <w:tblW w:w="10205" w:type="dxa"/>
        <w:jc w:val="left"/>
        <w:tblInd w:w="0" w:type="dxa"/>
        <w:tblCellMar>
          <w:top w:w="0" w:type="dxa"/>
          <w:left w:w="0" w:type="dxa"/>
          <w:bottom w:w="0" w:type="dxa"/>
          <w:right w:w="0" w:type="dxa"/>
        </w:tblCellMar>
      </w:tblPr>
      <w:tblGrid>
        <w:gridCol w:w="5798"/>
        <w:gridCol w:w="181"/>
        <w:gridCol w:w="1423"/>
        <w:gridCol w:w="167"/>
        <w:gridCol w:w="148"/>
        <w:gridCol w:w="181"/>
        <w:gridCol w:w="1423"/>
        <w:gridCol w:w="884"/>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79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98" w:type="dxa"/>
            <w:tcBorders/>
            <w:shd w:fill="auto" w:val="clear"/>
            <w:vAlign w:val="center"/>
          </w:tcPr>
          <w:p>
            <w:pPr>
              <w:pStyle w:val="TableContents"/>
              <w:spacing w:before="0" w:after="0"/>
              <w:ind w:left="0" w:right="0" w:firstLine="30"/>
              <w:jc w:val="left"/>
              <w:rPr/>
            </w:pPr>
            <w:r>
              <w:rPr/>
              <w:t> </w:t>
            </w:r>
          </w:p>
        </w:tc>
        <w:tc>
          <w:tcPr>
            <w:tcW w:w="440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798" w:type="dxa"/>
            <w:tcBorders/>
            <w:shd w:fill="auto" w:val="clear"/>
            <w:vAlign w:val="center"/>
          </w:tcPr>
          <w:p>
            <w:pPr>
              <w:pStyle w:val="TableContents"/>
              <w:spacing w:before="0" w:after="0"/>
              <w:ind w:left="0" w:right="0" w:firstLine="30"/>
              <w:jc w:val="left"/>
              <w:rPr/>
            </w:pPr>
            <w:r>
              <w:rPr/>
              <w:t> </w:t>
            </w:r>
          </w:p>
        </w:tc>
        <w:tc>
          <w:tcPr>
            <w:tcW w:w="17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8" w:type="dxa"/>
            <w:tcBorders/>
            <w:shd w:fill="auto" w:val="clear"/>
            <w:vAlign w:val="center"/>
          </w:tcPr>
          <w:p>
            <w:pPr>
              <w:pStyle w:val="TableContents"/>
              <w:spacing w:before="0" w:after="0"/>
              <w:ind w:left="0" w:right="0" w:firstLine="30"/>
              <w:rPr/>
            </w:pPr>
            <w:r>
              <w:rPr/>
              <w:t> </w:t>
            </w:r>
          </w:p>
        </w:tc>
        <w:tc>
          <w:tcPr>
            <w:tcW w:w="24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798" w:type="dxa"/>
            <w:tcBorders/>
            <w:shd w:fill="auto" w:val="clear"/>
            <w:vAlign w:val="center"/>
          </w:tcPr>
          <w:p>
            <w:pPr>
              <w:pStyle w:val="TableContents"/>
              <w:spacing w:before="0" w:after="0"/>
              <w:ind w:left="0" w:right="0" w:firstLine="30"/>
              <w:jc w:val="left"/>
              <w:rPr/>
            </w:pPr>
            <w:r>
              <w:rPr/>
              <w:t> </w:t>
            </w:r>
          </w:p>
        </w:tc>
        <w:tc>
          <w:tcPr>
            <w:tcW w:w="4407" w:type="dxa"/>
            <w:gridSpan w:val="7"/>
            <w:tcBorders/>
            <w:shd w:fill="auto" w:val="clear"/>
            <w:vAlign w:val="center"/>
          </w:tcPr>
          <w:p>
            <w:pPr>
              <w:pStyle w:val="TableContents"/>
              <w:spacing w:before="0" w:after="0"/>
              <w:ind w:left="0" w:right="0" w:firstLine="180"/>
              <w:jc w:val="center"/>
              <w:rPr>
                <w:rFonts w:ascii="inherit" w:hAnsi="inherit"/>
                <w:i/>
                <w:sz w:val="13"/>
              </w:rPr>
            </w:pPr>
            <w:r>
              <w:rPr>
                <w:rFonts w:ascii="inherit" w:hAnsi="inherit"/>
                <w:i/>
                <w:sz w:val="13"/>
              </w:rPr>
              <w:t>(dollars in thousands)</w:t>
            </w:r>
          </w:p>
        </w:tc>
      </w:tr>
      <w:tr>
        <w:trPr/>
        <w:tc>
          <w:tcPr>
            <w:tcW w:w="5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23" w:type="dxa"/>
            <w:tcBorders/>
            <w:shd w:fill="CCEEFF" w:val="clear"/>
            <w:vAlign w:val="center"/>
          </w:tcPr>
          <w:p>
            <w:pPr>
              <w:pStyle w:val="TableContents"/>
              <w:spacing w:before="0" w:after="0"/>
              <w:jc w:val="right"/>
              <w:rPr>
                <w:rFonts w:ascii="inherit" w:hAnsi="inherit"/>
                <w:sz w:val="17"/>
              </w:rPr>
            </w:pPr>
            <w:r>
              <w:rPr>
                <w:rFonts w:ascii="inherit" w:hAnsi="inherit"/>
                <w:sz w:val="17"/>
              </w:rPr>
              <w:t>246,224</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23" w:type="dxa"/>
            <w:tcBorders/>
            <w:shd w:fill="CCEEFF" w:val="clear"/>
            <w:vAlign w:val="center"/>
          </w:tcPr>
          <w:p>
            <w:pPr>
              <w:pStyle w:val="TableContents"/>
              <w:spacing w:before="0" w:after="0"/>
              <w:jc w:val="right"/>
              <w:rPr>
                <w:rFonts w:ascii="inherit" w:hAnsi="inherit"/>
                <w:sz w:val="17"/>
              </w:rPr>
            </w:pPr>
            <w:r>
              <w:rPr>
                <w:rFonts w:ascii="inherit" w:hAnsi="inherit"/>
                <w:sz w:val="17"/>
              </w:rPr>
              <w:t>190,458</w:t>
            </w:r>
          </w:p>
        </w:tc>
        <w:tc>
          <w:tcPr>
            <w:tcW w:w="88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771"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488" w:type="dxa"/>
            <w:gridSpan w:val="3"/>
            <w:tcBorders/>
            <w:shd w:fill="auto" w:val="clear"/>
            <w:vAlign w:val="center"/>
          </w:tcPr>
          <w:p>
            <w:pPr>
              <w:pStyle w:val="TableContents"/>
              <w:spacing w:before="0" w:after="0"/>
              <w:ind w:left="0" w:right="0" w:firstLine="540"/>
              <w:rPr/>
            </w:pPr>
            <w:r>
              <w:rPr/>
              <w:t> </w:t>
            </w:r>
          </w:p>
        </w:tc>
      </w:tr>
      <w:tr>
        <w:trPr/>
        <w:tc>
          <w:tcPr>
            <w:tcW w:w="5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6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50,584</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33,358</w:t>
            </w:r>
          </w:p>
        </w:tc>
        <w:tc>
          <w:tcPr>
            <w:tcW w:w="884"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6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3,832</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3,134</w:t>
            </w:r>
          </w:p>
        </w:tc>
        <w:tc>
          <w:tcPr>
            <w:tcW w:w="884"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604" w:type="dxa"/>
            <w:gridSpan w:val="2"/>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884"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5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60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1,619</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0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1,197</w:t>
            </w:r>
          </w:p>
        </w:tc>
        <w:tc>
          <w:tcPr>
            <w:tcW w:w="884"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income from continuing operations before income taxes</w:t>
            </w:r>
          </w:p>
        </w:tc>
        <w:tc>
          <w:tcPr>
            <w:tcW w:w="16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190,189</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0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152,785</w:t>
            </w:r>
          </w:p>
        </w:tc>
        <w:tc>
          <w:tcPr>
            <w:tcW w:w="884" w:type="dxa"/>
            <w:tcBorders>
              <w:top w:val="single" w:sz="2" w:space="0" w:color="000000"/>
            </w:tcBorders>
            <w:shd w:fill="CCEEFF" w:val="clear"/>
            <w:tcMar>
              <w:top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60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0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54,142</w:t>
            </w:r>
          </w:p>
        </w:tc>
        <w:tc>
          <w:tcPr>
            <w:tcW w:w="884"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6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123,717</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98,643</w:t>
            </w:r>
          </w:p>
        </w:tc>
        <w:tc>
          <w:tcPr>
            <w:tcW w:w="88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6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(1,558</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6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(1,349</w:t>
            </w:r>
          </w:p>
        </w:tc>
        <w:tc>
          <w:tcPr>
            <w:tcW w:w="88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5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2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6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2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8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Corporate expenses increased $18.4 million, or 49%, to $56.0 million mostly due to a $</w:t>
      </w:r>
      <w:r>
        <w:rPr>
          <w:rFonts w:ascii="Times New Roman" w:hAnsi="Times New Roman"/>
          <w:strike w:val="false"/>
          <w:dstrike w:val="false"/>
          <w:color w:val="000000"/>
          <w:sz w:val="17"/>
          <w:u w:val="none"/>
          <w:effect w:val="none"/>
        </w:rPr>
        <w:t>17.2 million</w:t>
      </w:r>
      <w:r>
        <w:rPr>
          <w:sz w:val="17"/>
        </w:rPr>
        <w:t xml:space="preserve"> </w:t>
      </w:r>
      <w:r>
        <w:rPr>
          <w:rFonts w:ascii="inherit" w:hAnsi="inherit"/>
          <w:sz w:val="17"/>
        </w:rPr>
        <w:t>increase in administrative expenses to $</w:t>
      </w:r>
      <w:r>
        <w:rPr>
          <w:rFonts w:ascii="Times New Roman" w:hAnsi="Times New Roman"/>
          <w:strike w:val="false"/>
          <w:dstrike w:val="false"/>
          <w:color w:val="000000"/>
          <w:sz w:val="17"/>
          <w:u w:val="none"/>
          <w:effect w:val="none"/>
        </w:rPr>
        <w:t>50.6 million</w:t>
      </w:r>
      <w:r>
        <w:rPr>
          <w:rFonts w:ascii="inherit" w:hAnsi="inherit"/>
          <w:sz w:val="17"/>
        </w:rPr>
        <w:t xml:space="preserve">. This increase is primarily due to a pre-tax charge of $10.9 million related to the retirement of our former Chief Executive Officer in the first quarter of fiscal 2011. This charge included $3.4 million attributable to a cash payment and $7.5 million attributable to the accelerated vesting of restricted stock. Excluding this charge, administrative expenses increased $6.3 million, mostly related to an increase in professional fees associated with our continued investment in growth and profitability initiatives. In fiscal </w:t>
      </w:r>
      <w:r>
        <w:rPr>
          <w:rFonts w:ascii="inherit" w:hAnsi="inherit"/>
          <w:strike w:val="false"/>
          <w:dstrike w:val="false"/>
          <w:color w:val="000000"/>
          <w:sz w:val="17"/>
          <w:u w:val="none"/>
          <w:effect w:val="none"/>
        </w:rPr>
        <w:t>2011</w:t>
      </w:r>
      <w:r>
        <w:rPr>
          <w:rFonts w:ascii="inherit" w:hAnsi="inherit"/>
          <w:sz w:val="17"/>
        </w:rPr>
        <w:t>, interest expense increased $</w:t>
      </w:r>
      <w:r>
        <w:rPr>
          <w:rFonts w:ascii="Times New Roman" w:hAnsi="Times New Roman"/>
          <w:strike w:val="false"/>
          <w:dstrike w:val="false"/>
          <w:color w:val="000000"/>
          <w:sz w:val="17"/>
          <w:u w:val="none"/>
          <w:effect w:val="none"/>
        </w:rPr>
        <w:t>0.4 million</w:t>
      </w:r>
      <w:r>
        <w:rPr>
          <w:rFonts w:ascii="inherit" w:hAnsi="inherit"/>
          <w:sz w:val="17"/>
        </w:rPr>
        <w:t xml:space="preserve">, or </w:t>
      </w:r>
      <w:r>
        <w:rPr>
          <w:rFonts w:ascii="Times New Roman" w:hAnsi="Times New Roman"/>
          <w:strike w:val="false"/>
          <w:dstrike w:val="false"/>
          <w:color w:val="000000"/>
          <w:sz w:val="17"/>
          <w:u w:val="none"/>
          <w:effect w:val="none"/>
        </w:rPr>
        <w:t>35%</w:t>
      </w:r>
      <w:r>
        <w:rPr>
          <w:rFonts w:ascii="inherit" w:hAnsi="inherit"/>
          <w:sz w:val="17"/>
        </w:rPr>
        <w:t>, due to greater utilization of our revolver; and, depreciation increased $</w:t>
      </w:r>
      <w:r>
        <w:rPr>
          <w:rFonts w:ascii="Times New Roman" w:hAnsi="Times New Roman"/>
          <w:strike w:val="false"/>
          <w:dstrike w:val="false"/>
          <w:color w:val="000000"/>
          <w:sz w:val="17"/>
          <w:u w:val="none"/>
          <w:effect w:val="none"/>
        </w:rPr>
        <w:t>0.7 million</w:t>
      </w:r>
      <w:r>
        <w:rPr>
          <w:rFonts w:ascii="inherit" w:hAnsi="inherit"/>
          <w:sz w:val="17"/>
        </w:rPr>
        <w:t xml:space="preserve">, or </w:t>
      </w:r>
      <w:r>
        <w:rPr>
          <w:rFonts w:ascii="Times New Roman" w:hAnsi="Times New Roman"/>
          <w:strike w:val="false"/>
          <w:dstrike w:val="false"/>
          <w:color w:val="000000"/>
          <w:sz w:val="17"/>
          <w:u w:val="none"/>
          <w:effect w:val="none"/>
        </w:rPr>
        <w:t>22%</w:t>
      </w:r>
      <w:r>
        <w:rPr>
          <w:rFonts w:ascii="inherit" w:hAnsi="inherit"/>
          <w:sz w:val="17"/>
        </w:rPr>
        <w:t xml:space="preserve">, due to assets placed in service as we continue to invest in the infrastructure to support our growth. </w:t>
      </w:r>
    </w:p>
    <w:p>
      <w:pPr>
        <w:pStyle w:val="TextBody"/>
        <w:spacing w:lineRule="auto" w:line="288" w:before="0" w:after="0"/>
        <w:jc w:val="left"/>
        <w:rPr>
          <w:sz w:val="17"/>
        </w:rPr>
      </w:pPr>
      <w:r>
        <w:rPr>
          <w:rFonts w:ascii="inherit" w:hAnsi="inherit"/>
          <w:sz w:val="17"/>
        </w:rPr>
        <w:t>Income from continuing operations before taxes increased $</w:t>
      </w:r>
      <w:r>
        <w:rPr>
          <w:rFonts w:ascii="Times New Roman" w:hAnsi="Times New Roman"/>
          <w:strike w:val="false"/>
          <w:dstrike w:val="false"/>
          <w:color w:val="000000"/>
          <w:sz w:val="17"/>
          <w:u w:val="none"/>
          <w:effect w:val="none"/>
        </w:rPr>
        <w:t>37.4 million</w:t>
      </w:r>
      <w:r>
        <w:rPr>
          <w:rFonts w:ascii="inherit" w:hAnsi="inherit"/>
          <w:sz w:val="17"/>
        </w:rPr>
        <w:t xml:space="preserve">, or </w:t>
      </w:r>
      <w:r>
        <w:rPr>
          <w:rFonts w:ascii="Times New Roman" w:hAnsi="Times New Roman"/>
          <w:strike w:val="false"/>
          <w:dstrike w:val="false"/>
          <w:color w:val="000000"/>
          <w:sz w:val="17"/>
          <w:u w:val="none"/>
          <w:effect w:val="none"/>
        </w:rPr>
        <w:t>24%</w:t>
      </w:r>
      <w:r>
        <w:rPr>
          <w:rFonts w:ascii="inherit" w:hAnsi="inherit"/>
          <w:sz w:val="17"/>
        </w:rPr>
        <w:t>, to $</w:t>
      </w:r>
      <w:r>
        <w:rPr>
          <w:rFonts w:ascii="Times New Roman" w:hAnsi="Times New Roman"/>
          <w:strike w:val="false"/>
          <w:dstrike w:val="false"/>
          <w:color w:val="000000"/>
          <w:sz w:val="17"/>
          <w:u w:val="none"/>
          <w:effect w:val="none"/>
        </w:rPr>
        <w:t>190.2 million</w:t>
      </w:r>
      <w:r>
        <w:rPr>
          <w:sz w:val="17"/>
        </w:rPr>
        <w:t xml:space="preserve"> </w:t>
      </w:r>
      <w:r>
        <w:rPr>
          <w:rFonts w:ascii="inherit" w:hAnsi="inherit"/>
          <w:sz w:val="17"/>
        </w:rPr>
        <w:t>due to a $</w:t>
      </w:r>
      <w:r>
        <w:rPr>
          <w:rFonts w:ascii="Times New Roman" w:hAnsi="Times New Roman"/>
          <w:strike w:val="false"/>
          <w:dstrike w:val="false"/>
          <w:color w:val="000000"/>
          <w:sz w:val="17"/>
          <w:u w:val="none"/>
          <w:effect w:val="none"/>
        </w:rPr>
        <w:t>47.5 million</w:t>
      </w:r>
      <w:r>
        <w:rPr>
          <w:rFonts w:ascii="inherit" w:hAnsi="inherit"/>
          <w:sz w:val="17"/>
        </w:rPr>
        <w:t>, $</w:t>
      </w:r>
      <w:r>
        <w:rPr>
          <w:rFonts w:ascii="Times New Roman" w:hAnsi="Times New Roman"/>
          <w:strike w:val="false"/>
          <w:dstrike w:val="false"/>
          <w:color w:val="000000"/>
          <w:sz w:val="17"/>
          <w:u w:val="none"/>
          <w:effect w:val="none"/>
        </w:rPr>
        <w:t>3.5 million</w:t>
      </w:r>
      <w:r>
        <w:rPr>
          <w:sz w:val="17"/>
        </w:rPr>
        <w:t xml:space="preserve"> </w:t>
      </w:r>
      <w:r>
        <w:rPr>
          <w:rFonts w:ascii="inherit" w:hAnsi="inherit"/>
          <w:sz w:val="17"/>
        </w:rPr>
        <w:t>and $</w:t>
      </w:r>
      <w:r>
        <w:rPr>
          <w:rFonts w:ascii="Times New Roman" w:hAnsi="Times New Roman"/>
          <w:strike w:val="false"/>
          <w:dstrike w:val="false"/>
          <w:color w:val="000000"/>
          <w:sz w:val="17"/>
          <w:u w:val="none"/>
          <w:effect w:val="none"/>
        </w:rPr>
        <w:t>4.8 million</w:t>
      </w:r>
      <w:r>
        <w:rPr>
          <w:sz w:val="17"/>
        </w:rPr>
        <w:t xml:space="preserve"> </w:t>
      </w:r>
      <w:r>
        <w:rPr>
          <w:rFonts w:ascii="inherit" w:hAnsi="inherit"/>
          <w:sz w:val="17"/>
        </w:rPr>
        <w:t xml:space="preserve">increase in contribution from the U.S. &amp; Canada, Latin America and Other International segments, respectively, partially offset by an $18.4 million increase in corporate expenses. </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income tax expense increased $</w:t>
      </w:r>
      <w:r>
        <w:rPr>
          <w:rFonts w:ascii="Times New Roman" w:hAnsi="Times New Roman"/>
          <w:strike w:val="false"/>
          <w:dstrike w:val="false"/>
          <w:color w:val="000000"/>
          <w:sz w:val="17"/>
          <w:u w:val="none"/>
          <w:effect w:val="none"/>
        </w:rPr>
        <w:t>12.3 million</w:t>
      </w:r>
      <w:r>
        <w:rPr>
          <w:rFonts w:ascii="inherit" w:hAnsi="inherit"/>
          <w:sz w:val="17"/>
        </w:rPr>
        <w:t xml:space="preserve">, or </w:t>
      </w:r>
      <w:r>
        <w:rPr>
          <w:rFonts w:ascii="Times New Roman" w:hAnsi="Times New Roman"/>
          <w:strike w:val="false"/>
          <w:dstrike w:val="false"/>
          <w:color w:val="000000"/>
          <w:sz w:val="17"/>
          <w:u w:val="none"/>
          <w:effect w:val="none"/>
        </w:rPr>
        <w:t>23%</w:t>
      </w:r>
      <w:r>
        <w:rPr>
          <w:rFonts w:ascii="inherit" w:hAnsi="inherit"/>
          <w:sz w:val="17"/>
        </w:rPr>
        <w:t>, to $</w:t>
      </w:r>
      <w:r>
        <w:rPr>
          <w:rFonts w:ascii="Times New Roman" w:hAnsi="Times New Roman"/>
          <w:strike w:val="false"/>
          <w:dstrike w:val="false"/>
          <w:color w:val="000000"/>
          <w:sz w:val="17"/>
          <w:u w:val="none"/>
          <w:effect w:val="none"/>
        </w:rPr>
        <w:t>66.5 million</w:t>
      </w:r>
      <w:r>
        <w:rPr>
          <w:rFonts w:ascii="inherit" w:hAnsi="inherit"/>
          <w:sz w:val="17"/>
        </w:rPr>
        <w:t xml:space="preserve">. The fiscal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effective tax rate was </w:t>
      </w:r>
      <w:r>
        <w:rPr>
          <w:rFonts w:ascii="Times New Roman" w:hAnsi="Times New Roman"/>
          <w:strike w:val="false"/>
          <w:dstrike w:val="false"/>
          <w:color w:val="000000"/>
          <w:sz w:val="17"/>
          <w:u w:val="none"/>
          <w:effect w:val="none"/>
        </w:rPr>
        <w:t>35.0%</w:t>
      </w:r>
      <w:r>
        <w:rPr>
          <w:sz w:val="17"/>
        </w:rPr>
        <w:t xml:space="preserve"> </w:t>
      </w:r>
      <w:r>
        <w:rPr>
          <w:rFonts w:ascii="inherit" w:hAnsi="inherit"/>
          <w:sz w:val="17"/>
        </w:rPr>
        <w:t xml:space="preserve">compared to </w:t>
      </w:r>
      <w:r>
        <w:rPr>
          <w:rFonts w:ascii="Times New Roman" w:hAnsi="Times New Roman"/>
          <w:strike w:val="false"/>
          <w:dstrike w:val="false"/>
          <w:color w:val="000000"/>
          <w:sz w:val="17"/>
          <w:u w:val="none"/>
          <w:effect w:val="none"/>
        </w:rPr>
        <w:t>35.4%</w:t>
      </w:r>
      <w:r>
        <w:rPr>
          <w:sz w:val="17"/>
        </w:rPr>
        <w:t xml:space="preserve"> </w:t>
      </w:r>
      <w:r>
        <w:rPr>
          <w:rFonts w:ascii="inherit" w:hAnsi="inherit"/>
          <w:sz w:val="17"/>
        </w:rPr>
        <w:t xml:space="preserve">in fiscal </w:t>
      </w:r>
      <w:r>
        <w:rPr>
          <w:rFonts w:ascii="inherit" w:hAnsi="inherit"/>
          <w:strike w:val="false"/>
          <w:dstrike w:val="false"/>
          <w:color w:val="000000"/>
          <w:sz w:val="17"/>
          <w:u w:val="none"/>
          <w:effect w:val="none"/>
        </w:rPr>
        <w:t>2010</w:t>
      </w:r>
      <w:r>
        <w:rPr>
          <w:rFonts w:ascii="inherit" w:hAnsi="inherit"/>
          <w:sz w:val="17"/>
        </w:rPr>
        <w:t>. The decrease in the effective tax rates was primarily due to an increase in both domestic employment tax credits and the foreign tax credit on overseas earnings, partially offset by the valuation allowance established for operating losses in our Canada operations during their start-up period.</w:t>
      </w:r>
    </w:p>
    <w:p>
      <w:pPr>
        <w:pStyle w:val="TextBody"/>
        <w:spacing w:lineRule="auto" w:line="288" w:before="0" w:after="0"/>
        <w:jc w:val="left"/>
        <w:rPr>
          <w:sz w:val="17"/>
        </w:rPr>
      </w:pPr>
      <w:r>
        <w:rPr>
          <w:rFonts w:ascii="inherit" w:hAnsi="inherit"/>
          <w:sz w:val="17"/>
        </w:rPr>
        <w:t>After a $0.2 million increase in loss from discontinued operations, net income increased $</w:t>
      </w:r>
      <w:r>
        <w:rPr>
          <w:rFonts w:ascii="inherit" w:hAnsi="inherit"/>
          <w:strike w:val="false"/>
          <w:dstrike w:val="false"/>
          <w:color w:val="000000"/>
          <w:sz w:val="17"/>
          <w:u w:val="none"/>
          <w:effect w:val="none"/>
        </w:rPr>
        <w:t>24.9 million</w:t>
      </w:r>
      <w:r>
        <w:rPr>
          <w:rFonts w:ascii="inherit" w:hAnsi="inherit"/>
          <w:sz w:val="17"/>
        </w:rPr>
        <w:t xml:space="preserve">, or </w:t>
      </w:r>
      <w:r>
        <w:rPr>
          <w:rFonts w:ascii="inherit" w:hAnsi="inherit"/>
          <w:strike w:val="false"/>
          <w:dstrike w:val="false"/>
          <w:color w:val="000000"/>
          <w:sz w:val="17"/>
          <w:u w:val="none"/>
          <w:effect w:val="none"/>
        </w:rPr>
        <w:t>26%</w:t>
      </w:r>
      <w:r>
        <w:rPr>
          <w:rFonts w:ascii="inherit" w:hAnsi="inherit"/>
          <w:sz w:val="17"/>
        </w:rPr>
        <w:t>, to $</w:t>
      </w:r>
      <w:r>
        <w:rPr>
          <w:rFonts w:ascii="Times New Roman" w:hAnsi="Times New Roman"/>
          <w:strike w:val="false"/>
          <w:dstrike w:val="false"/>
          <w:color w:val="000000"/>
          <w:sz w:val="17"/>
          <w:u w:val="none"/>
          <w:effect w:val="none"/>
        </w:rPr>
        <w:t>122.2 million</w:t>
      </w:r>
      <w:r>
        <w:rPr>
          <w:sz w:val="17"/>
        </w:rPr>
        <w:t xml:space="preserve"> </w:t>
      </w:r>
      <w:r>
        <w:rPr>
          <w:rFonts w:ascii="inherit" w:hAnsi="inherit"/>
          <w:sz w:val="17"/>
        </w:rPr>
        <w:t xml:space="preserve">in fiscal </w:t>
      </w:r>
      <w:r>
        <w:rPr>
          <w:rFonts w:ascii="inherit" w:hAnsi="inherit"/>
          <w:strike w:val="false"/>
          <w:dstrike w:val="false"/>
          <w:color w:val="000000"/>
          <w:sz w:val="17"/>
          <w:u w:val="none"/>
          <w:effect w:val="none"/>
        </w:rPr>
        <w:t>2011</w:t>
      </w:r>
      <w:r>
        <w:rPr>
          <w:rFonts w:ascii="inherit" w:hAnsi="inherit"/>
          <w:sz w:val="17"/>
        </w:rPr>
        <w:t>. Excluding the one-time $10.9 million charge related to the retirement of our former Chief Executive Officer in the first quarter of fiscal 2011 and the related tax benefit, net income increased 33% to $129.3 million from $</w:t>
      </w:r>
      <w:r>
        <w:rPr>
          <w:rFonts w:ascii="Times New Roman" w:hAnsi="Times New Roman"/>
          <w:strike w:val="false"/>
          <w:dstrike w:val="false"/>
          <w:color w:val="000000"/>
          <w:sz w:val="17"/>
          <w:u w:val="none"/>
          <w:effect w:val="none"/>
        </w:rPr>
        <w:t>97.3 million</w:t>
      </w:r>
      <w:r>
        <w:rPr>
          <w:sz w:val="17"/>
        </w:rPr>
        <w:t xml:space="preserve"> </w:t>
      </w:r>
      <w:r>
        <w:rPr>
          <w:rFonts w:ascii="inherit" w:hAnsi="inherit"/>
          <w:sz w:val="17"/>
        </w:rPr>
        <w:t xml:space="preserve">in fiscal </w:t>
      </w:r>
      <w:r>
        <w:rPr>
          <w:rFonts w:ascii="inherit" w:hAnsi="inherit"/>
          <w:strike w:val="false"/>
          <w:dstrike w:val="false"/>
          <w:color w:val="000000"/>
          <w:sz w:val="17"/>
          <w:u w:val="none"/>
          <w:effect w:val="none"/>
        </w:rPr>
        <w:t>2010</w:t>
      </w:r>
      <w:r>
        <w:rPr>
          <w:rFonts w:ascii="inherit" w:hAnsi="inherit"/>
          <w:sz w:val="17"/>
        </w:rPr>
        <w:t>.</w:t>
      </w:r>
    </w:p>
    <w:p>
      <w:pPr>
        <w:pStyle w:val="TextBody"/>
        <w:spacing w:lineRule="auto" w:line="288" w:before="0" w:after="0"/>
        <w:jc w:val="left"/>
        <w:rPr>
          <w:rFonts w:ascii="inherit" w:hAnsi="inherit"/>
          <w:b/>
          <w:sz w:val="17"/>
        </w:rPr>
      </w:pPr>
      <w:bookmarkStart w:id="41" w:name="s7AFABD755F86A131E9A40F13C9C21FBD"/>
      <w:bookmarkEnd w:id="41"/>
      <w:r>
        <w:rPr>
          <w:rFonts w:ascii="inherit" w:hAnsi="inherit"/>
          <w:b/>
          <w:sz w:val="17"/>
        </w:rPr>
        <w:t>Liquidity and Capital Resources</w:t>
      </w:r>
    </w:p>
    <w:p>
      <w:pPr>
        <w:pStyle w:val="TextBody"/>
        <w:spacing w:lineRule="auto" w:line="288" w:before="0" w:after="0"/>
        <w:rPr>
          <w:sz w:val="17"/>
        </w:rPr>
      </w:pPr>
      <w:r>
        <w:rPr>
          <w:rFonts w:ascii="inherit" w:hAnsi="inherit"/>
          <w:sz w:val="17"/>
        </w:rPr>
        <w:t xml:space="preserve">In fiscal 2012, our </w:t>
      </w:r>
      <w:r>
        <w:rPr>
          <w:rFonts w:ascii="inherit" w:hAnsi="inherit"/>
          <w:strike w:val="false"/>
          <w:dstrike w:val="false"/>
          <w:color w:val="000000"/>
          <w:sz w:val="17"/>
          <w:u w:val="none"/>
          <w:effect w:val="none"/>
        </w:rPr>
        <w:t>$156.0 million</w:t>
      </w:r>
      <w:r>
        <w:rPr>
          <w:sz w:val="17"/>
        </w:rPr>
        <w:t xml:space="preserve"> </w:t>
      </w:r>
      <w:r>
        <w:rPr>
          <w:rFonts w:ascii="inherit" w:hAnsi="inherit"/>
          <w:sz w:val="17"/>
        </w:rPr>
        <w:t xml:space="preserve">cash flow from operations consisted of (i) net income plus several non-cash items, aggregating to $185.8 million, $5.6 million in cash dividends from our unconsolidated affiliates, net of (ii) $35.3 million of normal, recurring changes in operating assets and liabilities. In the prior year, our </w:t>
      </w:r>
      <w:r>
        <w:rPr>
          <w:rFonts w:ascii="inherit" w:hAnsi="inherit"/>
          <w:strike w:val="false"/>
          <w:dstrike w:val="false"/>
          <w:color w:val="000000"/>
          <w:sz w:val="17"/>
          <w:u w:val="none"/>
          <w:effect w:val="none"/>
        </w:rPr>
        <w:t>$153.3 million</w:t>
      </w:r>
      <w:r>
        <w:rPr>
          <w:sz w:val="17"/>
        </w:rPr>
        <w:t xml:space="preserve"> </w:t>
      </w:r>
      <w:r>
        <w:rPr>
          <w:rFonts w:ascii="inherit" w:hAnsi="inherit"/>
          <w:sz w:val="17"/>
        </w:rPr>
        <w:t>cash flow from operations consisted of (i) net income plus several non-cash items, aggregating to $166.5 million, $7.3 million in cash dividends from our unconsolidated affiliates, net of (ii) $20.5 million of normal, recurring changes in operating assets and liabilities. The primary differences in cash flow from operations between fiscal 2012 and the prior years were the contributions from acquisitions, organic growth throughout our other operations and revenue streams, and the decrease in stock compensation expense from fiscal 2011, which was primarily attributable to the retirement of our former CEO, net of higher taxes paid.</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$216.8 million</w:t>
      </w:r>
      <w:r>
        <w:rPr>
          <w:sz w:val="17"/>
        </w:rPr>
        <w:t xml:space="preserve"> </w:t>
      </w:r>
      <w:r>
        <w:rPr>
          <w:rFonts w:ascii="inherit" w:hAnsi="inherit"/>
          <w:sz w:val="17"/>
        </w:rPr>
        <w:t xml:space="preserve">of net cash used in investing activities during fiscal 2012 was funded by cash flow from operations, cash on hand and borrowings on our line of credit facility. We invested </w:t>
      </w:r>
      <w:r>
        <w:rPr>
          <w:rFonts w:ascii="inherit" w:hAnsi="inherit"/>
          <w:strike w:val="false"/>
          <w:dstrike w:val="false"/>
          <w:color w:val="000000"/>
          <w:sz w:val="17"/>
          <w:u w:val="none"/>
          <w:effect w:val="none"/>
        </w:rPr>
        <w:t>$128.6 million</w:t>
      </w:r>
      <w:r>
        <w:rPr>
          <w:sz w:val="17"/>
        </w:rPr>
        <w:t xml:space="preserve"> </w:t>
      </w:r>
      <w:r>
        <w:rPr>
          <w:rFonts w:ascii="inherit" w:hAnsi="inherit"/>
          <w:sz w:val="17"/>
        </w:rPr>
        <w:t xml:space="preserve">in cash to acquire 50 stores in the U.S., one store in Canada, a 60% interest in Crediamigo, a decision science model for the underwriting of consumer loans and a 72% interest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in Cash Genie. Other significant investments in the period were the </w:t>
      </w:r>
      <w:r>
        <w:rPr>
          <w:rFonts w:ascii="inherit" w:hAnsi="inherit"/>
          <w:strike w:val="false"/>
          <w:dstrike w:val="false"/>
          <w:color w:val="000000"/>
          <w:sz w:val="17"/>
          <w:u w:val="none"/>
          <w:effect w:val="none"/>
        </w:rPr>
        <w:t>$45.8 million</w:t>
      </w:r>
      <w:r>
        <w:rPr>
          <w:sz w:val="17"/>
        </w:rPr>
        <w:t xml:space="preserve"> </w:t>
      </w:r>
      <w:r>
        <w:rPr>
          <w:rFonts w:ascii="inherit" w:hAnsi="inherit"/>
          <w:sz w:val="17"/>
        </w:rPr>
        <w:t xml:space="preserve">in additions of property and equipment. Partially offsetting these investments was the $42.4 million of loans made in excess of customer loan repayments and the recovery of principal through the sale of forfeited pawn loan collateral.  </w:t>
      </w:r>
    </w:p>
    <w:p>
      <w:pPr>
        <w:pStyle w:val="TextBody"/>
        <w:spacing w:lineRule="auto" w:line="288" w:before="0" w:after="0"/>
        <w:rPr>
          <w:sz w:val="17"/>
        </w:rPr>
      </w:pPr>
      <w:r>
        <w:rPr>
          <w:rFonts w:ascii="inherit" w:hAnsi="inherit"/>
          <w:sz w:val="17"/>
        </w:rPr>
        <w:t xml:space="preserve">The net effect of these and other smaller cash flows was a </w:t>
      </w:r>
      <w:r>
        <w:rPr>
          <w:rFonts w:ascii="inherit" w:hAnsi="inherit"/>
          <w:strike w:val="false"/>
          <w:dstrike w:val="false"/>
          <w:color w:val="000000"/>
          <w:sz w:val="17"/>
          <w:u w:val="none"/>
          <w:effect w:val="none"/>
        </w:rPr>
        <w:t>$24.5 million</w:t>
      </w:r>
      <w:r>
        <w:rPr>
          <w:sz w:val="17"/>
        </w:rPr>
        <w:t xml:space="preserve"> </w:t>
      </w:r>
      <w:r>
        <w:rPr>
          <w:rFonts w:ascii="inherit" w:hAnsi="inherit"/>
          <w:sz w:val="17"/>
        </w:rPr>
        <w:t xml:space="preserve">increase in cash on hand, providing a </w:t>
      </w:r>
      <w:r>
        <w:rPr>
          <w:rFonts w:ascii="inherit" w:hAnsi="inherit"/>
          <w:strike w:val="false"/>
          <w:dstrike w:val="false"/>
          <w:color w:val="000000"/>
          <w:sz w:val="17"/>
          <w:u w:val="none"/>
          <w:effect w:val="none"/>
        </w:rPr>
        <w:t>$48.5 million</w:t>
      </w:r>
      <w:r>
        <w:rPr>
          <w:sz w:val="17"/>
        </w:rPr>
        <w:t xml:space="preserve"> </w:t>
      </w:r>
      <w:r>
        <w:rPr>
          <w:rFonts w:ascii="inherit" w:hAnsi="inherit"/>
          <w:sz w:val="17"/>
        </w:rPr>
        <w:t xml:space="preserve">ending cash balance. Of this amount approximately 48%, or $23.2 million, is held by foreign subsidiaries and is not available to fund domestic operations, as we intend to permanently reinvest earnings from foreign operations. </w:t>
      </w:r>
    </w:p>
    <w:p>
      <w:pPr>
        <w:pStyle w:val="TextBody"/>
        <w:spacing w:lineRule="auto" w:line="288" w:before="0" w:after="0"/>
        <w:rPr>
          <w:rFonts w:ascii="inherit" w:hAnsi="inherit"/>
          <w:sz w:val="17"/>
        </w:rPr>
      </w:pPr>
      <w:r>
        <w:rPr>
          <w:rFonts w:ascii="inherit" w:hAnsi="inherit"/>
          <w:sz w:val="17"/>
        </w:rPr>
        <w:t>Below is a summary of our cash needs to meet future aggregate contractual obligations:</w:t>
      </w:r>
    </w:p>
    <w:tbl>
      <w:tblPr>
        <w:tblW w:w="10205" w:type="dxa"/>
        <w:jc w:val="left"/>
        <w:tblInd w:w="0" w:type="dxa"/>
        <w:tblCellMar>
          <w:top w:w="0" w:type="dxa"/>
          <w:left w:w="0" w:type="dxa"/>
          <w:bottom w:w="0" w:type="dxa"/>
          <w:right w:w="0" w:type="dxa"/>
        </w:tblCellMar>
      </w:tblPr>
      <w:tblGrid>
        <w:gridCol w:w="105"/>
        <w:gridCol w:w="3271"/>
        <w:gridCol w:w="153"/>
        <w:gridCol w:w="1069"/>
        <w:gridCol w:w="84"/>
        <w:gridCol w:w="128"/>
        <w:gridCol w:w="153"/>
        <w:gridCol w:w="993"/>
        <w:gridCol w:w="84"/>
        <w:gridCol w:w="128"/>
        <w:gridCol w:w="153"/>
        <w:gridCol w:w="1069"/>
        <w:gridCol w:w="84"/>
        <w:gridCol w:w="128"/>
        <w:gridCol w:w="153"/>
        <w:gridCol w:w="993"/>
        <w:gridCol w:w="84"/>
        <w:gridCol w:w="128"/>
        <w:gridCol w:w="153"/>
        <w:gridCol w:w="993"/>
        <w:gridCol w:w="99"/>
      </w:tblGrid>
      <w:tr>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327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ind w:left="0" w:right="0" w:firstLine="30"/>
              <w:rPr/>
            </w:pPr>
            <w:r>
              <w:rPr/>
              <w:t> </w:t>
            </w:r>
          </w:p>
        </w:tc>
        <w:tc>
          <w:tcPr>
            <w:tcW w:w="3271" w:type="dxa"/>
            <w:tcBorders/>
            <w:shd w:fill="auto" w:val="clear"/>
            <w:vAlign w:val="center"/>
          </w:tcPr>
          <w:p>
            <w:pPr>
              <w:pStyle w:val="TableContents"/>
              <w:spacing w:before="0" w:after="0"/>
              <w:ind w:left="0" w:right="0" w:firstLine="30"/>
              <w:jc w:val="left"/>
              <w:rPr/>
            </w:pPr>
            <w:r>
              <w:rPr/>
              <w:t> </w:t>
            </w:r>
          </w:p>
        </w:tc>
        <w:tc>
          <w:tcPr>
            <w:tcW w:w="1306" w:type="dxa"/>
            <w:gridSpan w:val="3"/>
            <w:tcBorders/>
            <w:shd w:fill="auto" w:val="clear"/>
            <w:vAlign w:val="center"/>
          </w:tcPr>
          <w:p>
            <w:pPr>
              <w:pStyle w:val="TableContents"/>
              <w:spacing w:before="0" w:after="0"/>
              <w:ind w:left="0" w:right="0" w:firstLine="30"/>
              <w:jc w:val="left"/>
              <w:rPr/>
            </w:pPr>
            <w:r>
              <w:rPr/>
              <w:t> </w:t>
            </w:r>
          </w:p>
        </w:tc>
        <w:tc>
          <w:tcPr>
            <w:tcW w:w="128" w:type="dxa"/>
            <w:tcBorders/>
            <w:shd w:fill="auto" w:val="clear"/>
            <w:vAlign w:val="center"/>
          </w:tcPr>
          <w:p>
            <w:pPr>
              <w:pStyle w:val="TableContents"/>
              <w:spacing w:before="0" w:after="0"/>
              <w:ind w:left="0" w:right="0" w:firstLine="30"/>
              <w:rPr/>
            </w:pPr>
            <w:r>
              <w:rPr/>
              <w:t> </w:t>
            </w:r>
          </w:p>
        </w:tc>
        <w:tc>
          <w:tcPr>
            <w:tcW w:w="5395" w:type="dxa"/>
            <w:gridSpan w:val="15"/>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Payments due by Period</w:t>
            </w:r>
          </w:p>
        </w:tc>
      </w:tr>
      <w:tr>
        <w:trPr/>
        <w:tc>
          <w:tcPr>
            <w:tcW w:w="105" w:type="dxa"/>
            <w:tcBorders/>
            <w:shd w:fill="auto" w:val="clear"/>
            <w:vAlign w:val="center"/>
          </w:tcPr>
          <w:p>
            <w:pPr>
              <w:pStyle w:val="TableContents"/>
              <w:spacing w:before="0" w:after="283"/>
              <w:ind w:left="0" w:right="0" w:firstLine="30"/>
              <w:rPr/>
            </w:pPr>
            <w:r>
              <w:rPr/>
              <w:t> </w:t>
            </w:r>
          </w:p>
        </w:tc>
        <w:tc>
          <w:tcPr>
            <w:tcW w:w="3271" w:type="dxa"/>
            <w:vMerge w:val="restart"/>
            <w:tcBorders/>
            <w:shd w:fill="auto" w:val="clear"/>
            <w:vAlign w:val="center"/>
          </w:tcPr>
          <w:p>
            <w:pPr>
              <w:pStyle w:val="TableContents"/>
              <w:spacing w:before="0" w:after="0"/>
              <w:ind w:left="0" w:right="0" w:firstLine="30"/>
              <w:rPr>
                <w:u w:val="single"/>
              </w:rPr>
            </w:pPr>
            <w:r>
              <w:rPr>
                <w:u w:val="single"/>
              </w:rPr>
              <w:t> </w:t>
            </w:r>
            <w:r>
              <w:rPr>
                <w:rFonts w:ascii="inherit" w:hAnsi="inherit"/>
                <w:b/>
                <w:sz w:val="13"/>
                <w:u w:val="single"/>
              </w:rPr>
              <w:t>Contractual Obligations</w:t>
            </w:r>
          </w:p>
        </w:tc>
        <w:tc>
          <w:tcPr>
            <w:tcW w:w="130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Total</w:t>
            </w:r>
          </w:p>
        </w:tc>
        <w:tc>
          <w:tcPr>
            <w:tcW w:w="128" w:type="dxa"/>
            <w:vMerge w:val="restart"/>
            <w:tcBorders/>
            <w:shd w:fill="auto" w:val="clear"/>
            <w:vAlign w:val="center"/>
          </w:tcPr>
          <w:p>
            <w:pPr>
              <w:pStyle w:val="TableContents"/>
              <w:spacing w:before="0" w:after="0"/>
              <w:ind w:left="0" w:right="0" w:firstLine="30"/>
              <w:rPr/>
            </w:pPr>
            <w:r>
              <w:rPr/>
              <w:t> </w:t>
            </w:r>
          </w:p>
        </w:tc>
        <w:tc>
          <w:tcPr>
            <w:tcW w:w="1230"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Less than 1 year</w:t>
            </w:r>
          </w:p>
        </w:tc>
        <w:tc>
          <w:tcPr>
            <w:tcW w:w="128" w:type="dxa"/>
            <w:vMerge w:val="restart"/>
            <w:tcBorders/>
            <w:shd w:fill="auto" w:val="clear"/>
            <w:vAlign w:val="center"/>
          </w:tcPr>
          <w:p>
            <w:pPr>
              <w:pStyle w:val="TableContents"/>
              <w:spacing w:before="0" w:after="0"/>
              <w:ind w:left="0" w:right="0" w:firstLine="30"/>
              <w:rPr/>
            </w:pPr>
            <w:r>
              <w:rPr/>
              <w:t> </w:t>
            </w:r>
          </w:p>
        </w:tc>
        <w:tc>
          <w:tcPr>
            <w:tcW w:w="130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1-3 years</w:t>
            </w:r>
          </w:p>
        </w:tc>
        <w:tc>
          <w:tcPr>
            <w:tcW w:w="128" w:type="dxa"/>
            <w:vMerge w:val="restart"/>
            <w:tcBorders/>
            <w:shd w:fill="auto" w:val="clear"/>
            <w:vAlign w:val="center"/>
          </w:tcPr>
          <w:p>
            <w:pPr>
              <w:pStyle w:val="TableContents"/>
              <w:spacing w:before="0" w:after="0"/>
              <w:ind w:left="0" w:right="0" w:firstLine="30"/>
              <w:rPr/>
            </w:pPr>
            <w:r>
              <w:rPr/>
              <w:t> </w:t>
            </w:r>
          </w:p>
        </w:tc>
        <w:tc>
          <w:tcPr>
            <w:tcW w:w="1230"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3-5 years</w:t>
            </w:r>
          </w:p>
        </w:tc>
        <w:tc>
          <w:tcPr>
            <w:tcW w:w="128" w:type="dxa"/>
            <w:vMerge w:val="restart"/>
            <w:tcBorders/>
            <w:shd w:fill="auto" w:val="clear"/>
            <w:vAlign w:val="center"/>
          </w:tcPr>
          <w:p>
            <w:pPr>
              <w:pStyle w:val="TableContents"/>
              <w:spacing w:before="0" w:after="0"/>
              <w:ind w:left="0" w:right="0" w:firstLine="30"/>
              <w:rPr/>
            </w:pPr>
            <w:r>
              <w:rPr/>
              <w:t> </w:t>
            </w:r>
          </w:p>
        </w:tc>
        <w:tc>
          <w:tcPr>
            <w:tcW w:w="124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More than 5 years</w:t>
            </w:r>
          </w:p>
        </w:tc>
      </w:tr>
      <w:tr>
        <w:trPr/>
        <w:tc>
          <w:tcPr>
            <w:tcW w:w="105" w:type="dxa"/>
            <w:tcBorders/>
            <w:shd w:fill="auto" w:val="clear"/>
            <w:vAlign w:val="center"/>
          </w:tcPr>
          <w:p>
            <w:pPr>
              <w:pStyle w:val="TableContents"/>
              <w:spacing w:before="0" w:after="283"/>
              <w:rPr/>
            </w:pPr>
            <w:r>
              <w:rPr/>
              <w:t> </w:t>
            </w:r>
          </w:p>
        </w:tc>
        <w:tc>
          <w:tcPr>
            <w:tcW w:w="3271" w:type="dxa"/>
            <w:vMerge w:val="continue"/>
            <w:tcBorders/>
            <w:shd w:fill="auto" w:val="clear"/>
            <w:vAlign w:val="center"/>
          </w:tcPr>
          <w:p>
            <w:pPr>
              <w:pStyle w:val="Normal"/>
              <w:rPr/>
            </w:pPr>
            <w:r>
              <w:rPr/>
            </w:r>
          </w:p>
        </w:tc>
        <w:tc>
          <w:tcPr>
            <w:tcW w:w="1306" w:type="dxa"/>
            <w:gridSpan w:val="3"/>
            <w:vMerge w:val="continue"/>
            <w:tcBorders>
              <w:bottom w:val="single" w:sz="2" w:space="0" w:color="000000"/>
            </w:tcBorders>
            <w:shd w:fill="auto" w:val="clear"/>
            <w:tcMar>
              <w:bottom w:w="30" w:type="dxa"/>
            </w:tcMar>
            <w:vAlign w:val="center"/>
          </w:tcPr>
          <w:p>
            <w:pPr>
              <w:pStyle w:val="Normal"/>
              <w:rPr/>
            </w:pPr>
            <w:r>
              <w:rPr/>
            </w:r>
          </w:p>
        </w:tc>
        <w:tc>
          <w:tcPr>
            <w:tcW w:w="128" w:type="dxa"/>
            <w:vMerge w:val="continue"/>
            <w:tcBorders/>
            <w:shd w:fill="auto" w:val="clear"/>
            <w:vAlign w:val="center"/>
          </w:tcPr>
          <w:p>
            <w:pPr>
              <w:pStyle w:val="Normal"/>
              <w:rPr/>
            </w:pPr>
            <w:r>
              <w:rPr/>
            </w:r>
          </w:p>
        </w:tc>
        <w:tc>
          <w:tcPr>
            <w:tcW w:w="1230" w:type="dxa"/>
            <w:gridSpan w:val="3"/>
            <w:vMerge w:val="continue"/>
            <w:tcBorders>
              <w:bottom w:val="single" w:sz="2" w:space="0" w:color="000000"/>
            </w:tcBorders>
            <w:shd w:fill="auto" w:val="clear"/>
            <w:tcMar>
              <w:bottom w:w="30" w:type="dxa"/>
            </w:tcMar>
            <w:vAlign w:val="center"/>
          </w:tcPr>
          <w:p>
            <w:pPr>
              <w:pStyle w:val="Normal"/>
              <w:rPr/>
            </w:pPr>
            <w:r>
              <w:rPr/>
            </w:r>
          </w:p>
        </w:tc>
        <w:tc>
          <w:tcPr>
            <w:tcW w:w="128" w:type="dxa"/>
            <w:vMerge w:val="continue"/>
            <w:tcBorders/>
            <w:shd w:fill="auto" w:val="clear"/>
            <w:vAlign w:val="center"/>
          </w:tcPr>
          <w:p>
            <w:pPr>
              <w:pStyle w:val="Normal"/>
              <w:rPr/>
            </w:pPr>
            <w:r>
              <w:rPr/>
            </w:r>
          </w:p>
        </w:tc>
        <w:tc>
          <w:tcPr>
            <w:tcW w:w="1306" w:type="dxa"/>
            <w:gridSpan w:val="3"/>
            <w:vMerge w:val="continue"/>
            <w:tcBorders>
              <w:bottom w:val="single" w:sz="2" w:space="0" w:color="000000"/>
            </w:tcBorders>
            <w:shd w:fill="auto" w:val="clear"/>
            <w:tcMar>
              <w:bottom w:w="30" w:type="dxa"/>
            </w:tcMar>
            <w:vAlign w:val="center"/>
          </w:tcPr>
          <w:p>
            <w:pPr>
              <w:pStyle w:val="Normal"/>
              <w:rPr/>
            </w:pPr>
            <w:r>
              <w:rPr/>
            </w:r>
          </w:p>
        </w:tc>
        <w:tc>
          <w:tcPr>
            <w:tcW w:w="128" w:type="dxa"/>
            <w:vMerge w:val="continue"/>
            <w:tcBorders/>
            <w:shd w:fill="auto" w:val="clear"/>
            <w:vAlign w:val="center"/>
          </w:tcPr>
          <w:p>
            <w:pPr>
              <w:pStyle w:val="Normal"/>
              <w:rPr/>
            </w:pPr>
            <w:r>
              <w:rPr/>
            </w:r>
          </w:p>
        </w:tc>
        <w:tc>
          <w:tcPr>
            <w:tcW w:w="1230" w:type="dxa"/>
            <w:gridSpan w:val="3"/>
            <w:vMerge w:val="continue"/>
            <w:tcBorders>
              <w:bottom w:val="single" w:sz="2" w:space="0" w:color="000000"/>
            </w:tcBorders>
            <w:shd w:fill="auto" w:val="clear"/>
            <w:tcMar>
              <w:bottom w:w="30" w:type="dxa"/>
            </w:tcMar>
            <w:vAlign w:val="center"/>
          </w:tcPr>
          <w:p>
            <w:pPr>
              <w:pStyle w:val="Normal"/>
              <w:rPr/>
            </w:pPr>
            <w:r>
              <w:rPr/>
            </w:r>
          </w:p>
        </w:tc>
        <w:tc>
          <w:tcPr>
            <w:tcW w:w="128" w:type="dxa"/>
            <w:vMerge w:val="continue"/>
            <w:tcBorders/>
            <w:shd w:fill="auto" w:val="clear"/>
            <w:vAlign w:val="center"/>
          </w:tcPr>
          <w:p>
            <w:pPr>
              <w:pStyle w:val="Normal"/>
              <w:rPr/>
            </w:pPr>
            <w:r>
              <w:rPr/>
            </w:r>
          </w:p>
        </w:tc>
        <w:tc>
          <w:tcPr>
            <w:tcW w:w="1245"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105" w:type="dxa"/>
            <w:tcBorders/>
            <w:shd w:fill="auto" w:val="clear"/>
            <w:vAlign w:val="center"/>
          </w:tcPr>
          <w:p>
            <w:pPr>
              <w:pStyle w:val="TableContents"/>
              <w:spacing w:before="0" w:after="283"/>
              <w:ind w:left="0" w:right="0" w:firstLine="30"/>
              <w:rPr/>
            </w:pPr>
            <w:r>
              <w:rPr/>
              <w:t> </w:t>
            </w:r>
          </w:p>
        </w:tc>
        <w:tc>
          <w:tcPr>
            <w:tcW w:w="3271" w:type="dxa"/>
            <w:tcBorders/>
            <w:shd w:fill="auto" w:val="clear"/>
            <w:vAlign w:val="center"/>
          </w:tcPr>
          <w:p>
            <w:pPr>
              <w:pStyle w:val="TableContents"/>
              <w:spacing w:before="0" w:after="0"/>
              <w:ind w:left="0" w:right="0" w:firstLine="30"/>
              <w:rPr/>
            </w:pPr>
            <w:r>
              <w:rPr/>
              <w:t> </w:t>
            </w:r>
          </w:p>
        </w:tc>
        <w:tc>
          <w:tcPr>
            <w:tcW w:w="6829" w:type="dxa"/>
            <w:gridSpan w:val="19"/>
            <w:tcBorders/>
            <w:shd w:fill="auto" w:val="clear"/>
            <w:vAlign w:val="center"/>
          </w:tcPr>
          <w:p>
            <w:pPr>
              <w:pStyle w:val="TableContents"/>
              <w:spacing w:before="0" w:after="0"/>
              <w:jc w:val="center"/>
              <w:rPr>
                <w:rFonts w:ascii="inherit" w:hAnsi="inherit"/>
                <w:i/>
                <w:sz w:val="13"/>
              </w:rPr>
            </w:pPr>
            <w:r>
              <w:rPr>
                <w:rFonts w:ascii="inherit" w:hAnsi="inherit"/>
                <w:i/>
                <w:sz w:val="13"/>
              </w:rPr>
              <w:t>(in thousands)</w:t>
            </w:r>
          </w:p>
        </w:tc>
      </w:tr>
      <w:tr>
        <w:trPr/>
        <w:tc>
          <w:tcPr>
            <w:tcW w:w="105" w:type="dxa"/>
            <w:tcBorders/>
            <w:shd w:fill="auto" w:val="clear"/>
            <w:vAlign w:val="center"/>
          </w:tcPr>
          <w:p>
            <w:pPr>
              <w:pStyle w:val="TableContents"/>
              <w:spacing w:before="0" w:after="283"/>
              <w:ind w:left="0" w:right="0" w:firstLine="30"/>
              <w:rPr/>
            </w:pPr>
            <w:r>
              <w:rPr/>
              <w:t> </w:t>
            </w:r>
          </w:p>
        </w:tc>
        <w:tc>
          <w:tcPr>
            <w:tcW w:w="327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Long-term debt obligations*</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shd w:fill="CCEEFF" w:val="clear"/>
            <w:vAlign w:val="center"/>
          </w:tcPr>
          <w:p>
            <w:pPr>
              <w:pStyle w:val="TableContents"/>
              <w:spacing w:before="0" w:after="0"/>
              <w:jc w:val="right"/>
              <w:rPr>
                <w:rFonts w:ascii="inherit" w:hAnsi="inherit"/>
                <w:sz w:val="17"/>
              </w:rPr>
            </w:pPr>
            <w:r>
              <w:rPr>
                <w:rFonts w:ascii="inherit" w:hAnsi="inherit"/>
                <w:sz w:val="17"/>
              </w:rPr>
              <w:t>217,683</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shd w:fill="CCEEFF" w:val="clear"/>
            <w:vAlign w:val="center"/>
          </w:tcPr>
          <w:p>
            <w:pPr>
              <w:pStyle w:val="TableContents"/>
              <w:spacing w:before="0" w:after="0"/>
              <w:jc w:val="right"/>
              <w:rPr>
                <w:rFonts w:ascii="inherit" w:hAnsi="inherit"/>
                <w:sz w:val="17"/>
              </w:rPr>
            </w:pPr>
            <w:r>
              <w:rPr>
                <w:rFonts w:ascii="inherit" w:hAnsi="inherit"/>
                <w:sz w:val="17"/>
              </w:rPr>
              <w:t>19,588</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shd w:fill="CCEEFF" w:val="clear"/>
            <w:vAlign w:val="center"/>
          </w:tcPr>
          <w:p>
            <w:pPr>
              <w:pStyle w:val="TableContents"/>
              <w:spacing w:before="0" w:after="0"/>
              <w:jc w:val="right"/>
              <w:rPr>
                <w:rFonts w:ascii="inherit" w:hAnsi="inherit"/>
                <w:sz w:val="17"/>
              </w:rPr>
            </w:pPr>
            <w:r>
              <w:rPr>
                <w:rFonts w:ascii="inherit" w:hAnsi="inherit"/>
                <w:sz w:val="17"/>
              </w:rPr>
              <w:t>167,646</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shd w:fill="CCEEFF" w:val="clear"/>
            <w:vAlign w:val="center"/>
          </w:tcPr>
          <w:p>
            <w:pPr>
              <w:pStyle w:val="TableContents"/>
              <w:spacing w:before="0" w:after="0"/>
              <w:jc w:val="right"/>
              <w:rPr>
                <w:rFonts w:ascii="inherit" w:hAnsi="inherit"/>
                <w:sz w:val="17"/>
              </w:rPr>
            </w:pPr>
            <w:r>
              <w:rPr>
                <w:rFonts w:ascii="inherit" w:hAnsi="inherit"/>
                <w:sz w:val="17"/>
              </w:rPr>
              <w:t>30,449</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327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on long-term debt obligations**</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28,464</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11,636</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13,953</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2,875</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46" w:type="dxa"/>
            <w:gridSpan w:val="2"/>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32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obligations</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219,580</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53,661</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83,409</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45,164</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37,346</w:t>
            </w:r>
          </w:p>
        </w:tc>
        <w:tc>
          <w:tcPr>
            <w:tcW w:w="9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327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Capital lease obligations</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1,618</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1,005</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46"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46" w:type="dxa"/>
            <w:gridSpan w:val="2"/>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32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467,345</w:t>
            </w:r>
          </w:p>
        </w:tc>
        <w:tc>
          <w:tcPr>
            <w:tcW w:w="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85,498</w:t>
            </w:r>
          </w:p>
        </w:tc>
        <w:tc>
          <w:tcPr>
            <w:tcW w:w="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266,013</w:t>
            </w:r>
          </w:p>
        </w:tc>
        <w:tc>
          <w:tcPr>
            <w:tcW w:w="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78,488</w:t>
            </w:r>
          </w:p>
        </w:tc>
        <w:tc>
          <w:tcPr>
            <w:tcW w:w="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37,346</w:t>
            </w:r>
          </w:p>
        </w:tc>
        <w:tc>
          <w:tcPr>
            <w:tcW w:w="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t>* Excludes debt premium related to Grupo Finmart.</w:t>
      </w:r>
    </w:p>
    <w:p>
      <w:pPr>
        <w:pStyle w:val="TextBody"/>
        <w:spacing w:lineRule="auto" w:line="288" w:before="0" w:after="0"/>
        <w:rPr>
          <w:rFonts w:ascii="inherit" w:hAnsi="inherit"/>
          <w:sz w:val="15"/>
        </w:rPr>
      </w:pPr>
      <w:r>
        <w:rPr>
          <w:rFonts w:ascii="inherit" w:hAnsi="inherit"/>
          <w:sz w:val="15"/>
        </w:rPr>
        <w:t>** Future interest on long-term obligations calculated on interest rates effective at the balance sheet date.</w:t>
      </w:r>
    </w:p>
    <w:p>
      <w:pPr>
        <w:pStyle w:val="TextBody"/>
        <w:spacing w:lineRule="auto" w:line="288" w:before="0" w:after="0"/>
        <w:rPr>
          <w:sz w:val="17"/>
        </w:rPr>
      </w:pPr>
      <w:r>
        <w:rPr>
          <w:rFonts w:ascii="inherit" w:hAnsi="inherit"/>
          <w:sz w:val="17"/>
        </w:rPr>
        <w:t xml:space="preserve">In addition to the contractual obligations in the table above, we are obligated under letters of credit issued to unaffiliated lenders as part of our credit service operations. At </w:t>
      </w:r>
      <w:r>
        <w:rPr>
          <w:rFonts w:ascii="inherit" w:hAnsi="inherit"/>
          <w:strike w:val="false"/>
          <w:dstrike w:val="false"/>
          <w:color w:val="000000"/>
          <w:sz w:val="17"/>
          <w:u w:val="none"/>
          <w:effect w:val="none"/>
        </w:rPr>
        <w:t>September 30, 2012</w:t>
      </w:r>
      <w:r>
        <w:rPr>
          <w:rFonts w:ascii="inherit" w:hAnsi="inherit"/>
          <w:sz w:val="17"/>
        </w:rPr>
        <w:t xml:space="preserve">, our maximum exposure for losses on letters of credit, if all brokered loans defaulted and none was collected, was </w:t>
      </w:r>
      <w:r>
        <w:rPr>
          <w:rFonts w:ascii="inherit" w:hAnsi="inherit"/>
          <w:strike w:val="false"/>
          <w:dstrike w:val="false"/>
          <w:color w:val="000000"/>
          <w:sz w:val="17"/>
          <w:u w:val="none"/>
          <w:effect w:val="none"/>
        </w:rPr>
        <w:t>$27.4 million</w:t>
      </w:r>
      <w:r>
        <w:rPr>
          <w:rFonts w:ascii="inherit" w:hAnsi="inherit"/>
          <w:sz w:val="17"/>
        </w:rPr>
        <w:t>. Of that total, $6.7 million was secured by titles to customers’ automobiles. These amounts include principal, interest and insufficient funds fees.</w:t>
      </w:r>
    </w:p>
    <w:p>
      <w:pPr>
        <w:pStyle w:val="TextBody"/>
        <w:spacing w:lineRule="auto" w:line="288" w:before="0" w:after="0"/>
        <w:rPr>
          <w:sz w:val="17"/>
        </w:rPr>
      </w:pPr>
      <w:r>
        <w:rPr>
          <w:rFonts w:ascii="inherit" w:hAnsi="inherit"/>
          <w:sz w:val="17"/>
        </w:rPr>
        <w:t xml:space="preserve">In addition to the operating lease obligations in the table above, we are responsible for the maintenance, property taxes and insurance at most of our locations. In the fiscal year ended </w:t>
      </w:r>
      <w:r>
        <w:rPr>
          <w:rFonts w:ascii="inherit" w:hAnsi="inherit"/>
          <w:strike w:val="false"/>
          <w:dstrike w:val="false"/>
          <w:color w:val="000000"/>
          <w:sz w:val="17"/>
          <w:u w:val="none"/>
          <w:effect w:val="none"/>
        </w:rPr>
        <w:t>September 30, 2012</w:t>
      </w:r>
      <w:r>
        <w:rPr>
          <w:rFonts w:ascii="inherit" w:hAnsi="inherit"/>
          <w:sz w:val="17"/>
        </w:rPr>
        <w:t>, these collectively amounted to $17.9 million.</w:t>
      </w:r>
    </w:p>
    <w:p>
      <w:pPr>
        <w:pStyle w:val="TextBody"/>
        <w:spacing w:lineRule="auto" w:line="288" w:before="0" w:after="0"/>
        <w:rPr>
          <w:rFonts w:ascii="inherit" w:hAnsi="inherit"/>
          <w:sz w:val="17"/>
        </w:rPr>
      </w:pPr>
      <w:r>
        <w:rPr>
          <w:rFonts w:ascii="inherit" w:hAnsi="inherit"/>
          <w:sz w:val="17"/>
        </w:rPr>
        <w:t>The operating lease obligations in the table above include expected rent for all our store locations through the end of their current lease terms. Of the 442 U.S. EZMONEY financial services stores, 159 adjoin an EZPAWN store. The lease agreements at approximately 94% of the remaining 283 free-standing EZMONEY stores contain provisions that limit our exposure for additional rent to only a few months if laws were enacted that had a significant negative effect on our operations at these stores.</w:t>
      </w:r>
    </w:p>
    <w:p>
      <w:pPr>
        <w:pStyle w:val="TextBody"/>
        <w:spacing w:lineRule="auto" w:line="288" w:before="0" w:after="0"/>
        <w:rPr>
          <w:rFonts w:ascii="inherit" w:hAnsi="inherit"/>
          <w:sz w:val="17"/>
        </w:rPr>
      </w:pPr>
      <w:r>
        <w:rPr>
          <w:rFonts w:ascii="inherit" w:hAnsi="inherit"/>
          <w:sz w:val="17"/>
        </w:rPr>
        <w:t xml:space="preserve">In fiscal 2013, we plan to open 25 to 30 pawn stores in the U.S., 70 to 80 pawn stores in Mexico and 65 to 75 financial services stores in the U.S. (most of which will follow our store-within-a-store format). The aggregate investment for this de novo activity is expected to be $26.3 million of capital expenditures plus the funding of working capital and start-up losses. We believe new stores will create a drag on earnings and liquidity until their second year of operations. </w:t>
      </w:r>
    </w:p>
    <w:p>
      <w:pPr>
        <w:pStyle w:val="TextBody"/>
        <w:spacing w:lineRule="auto" w:line="288" w:before="0" w:after="0"/>
        <w:rPr>
          <w:sz w:val="17"/>
        </w:rPr>
      </w:pPr>
      <w:r>
        <w:rPr>
          <w:rFonts w:ascii="inherit" w:hAnsi="inherit"/>
          <w:sz w:val="17"/>
        </w:rPr>
        <w:t xml:space="preserve">On May 10, 2011, we entered into a new senior secured credit agreement with a syndication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all other outstanding debt.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and expect to remain in compliance based on our expected future performance. At </w:t>
      </w:r>
      <w:r>
        <w:rPr>
          <w:rFonts w:ascii="inherit" w:hAnsi="inherit"/>
          <w:strike w:val="false"/>
          <w:dstrike w:val="false"/>
          <w:color w:val="000000"/>
          <w:sz w:val="17"/>
          <w:u w:val="none"/>
          <w:effect w:val="none"/>
        </w:rPr>
        <w:t>September 30, 2012</w:t>
      </w:r>
      <w:r>
        <w:rPr>
          <w:rFonts w:ascii="inherit" w:hAnsi="inherit"/>
          <w:sz w:val="17"/>
        </w:rPr>
        <w:t>, we had borrowed $130.0 million, leaving $45.0 million available on the facility.</w:t>
      </w:r>
    </w:p>
    <w:p>
      <w:pPr>
        <w:pStyle w:val="TextBody"/>
        <w:spacing w:lineRule="auto" w:line="288" w:before="0" w:after="0"/>
        <w:jc w:val="left"/>
        <w:rPr>
          <w:rFonts w:ascii="inherit" w:hAnsi="inherit"/>
          <w:sz w:val="17"/>
        </w:rPr>
      </w:pPr>
      <w:r>
        <w:rPr>
          <w:rFonts w:ascii="inherit" w:hAnsi="inherit"/>
          <w:sz w:val="17"/>
        </w:rPr>
        <w:t>At September 30, 2012, Crediamigo's third party debt (nonrecourse to EZCORP) was $89.9 million, with a weighted average interest rate of 11%.  Since the acquisition of Crediamigo in January, Crediamigo's debt has decreased $19.8 million, and its weighted average interest rate has decreased 8.0 percentage points, due to debt refinancing. This refinancing effort was a key assumption in our investment analysis and will result in significantly reduced interest expenses going forward. In July 2012 Crediamigo transferred certain consumer loans to a bankruptcy remote trust in a securitization transaction.  The securitization borrowing facility has a maximum capacity of approximately $117 million.  At September 30, 2012 $32.7 million were outstanding under the securitization borrowing facility.  We expect Crediamigo to continue its use of the borrowing facility and utilize proceeds to fund loan originations, operations and contractual obligations.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We anticipate that cash flow from operations, cash on hand and availability under our revolving credit facility will be adequate to fund our contractual obligations, planned store growth, capital expenditures and working capital requirements during the coming year.</w:t>
      </w:r>
    </w:p>
    <w:p>
      <w:pPr>
        <w:pStyle w:val="TextBody"/>
        <w:spacing w:lineRule="auto" w:line="288" w:before="0" w:after="0"/>
        <w:rPr>
          <w:rFonts w:ascii="inherit" w:hAnsi="inherit"/>
          <w:sz w:val="17"/>
        </w:rPr>
      </w:pPr>
      <w:r>
        <w:rPr>
          <w:rFonts w:ascii="inherit" w:hAnsi="inherit"/>
          <w:sz w:val="17"/>
        </w:rPr>
        <w:t>We have an effective “shelf” Registration Statement on Form S-4 covering an aggregate of 2.0 million shares of our Class A Common Stock that we may offer from time to time in connection with future acquisitions of businesses, assets or securities. At September 30, 2012, we had issued an aggregate of approximately 843,000 shares of Class A Common Stock in connection with acquisitions of several pawn stores and the acquisition of a 72% interest in Cash Genie, leaving approximately 1.2 million shares covered by the registration statement and available for issuance in future acquisitions as of that time. Subsequent to September 30, 2012, we issued approximately 592,000 additional shares of Class A Common Stock in connection with the acquisition of an additional 23% interest in Cash Genie, bringing our total ownership to 95%. Following that acquisition, we have approximately 565,000 shares covered by the Form S-4 registration statement and available for issuance in future acquisitions.</w:t>
      </w:r>
    </w:p>
    <w:p>
      <w:pPr>
        <w:pStyle w:val="TextBody"/>
        <w:spacing w:lineRule="auto" w:line="288" w:before="0" w:after="0"/>
        <w:rPr>
          <w:sz w:val="17"/>
        </w:rPr>
      </w:pPr>
      <w:r>
        <w:rPr>
          <w:rFonts w:ascii="inherit" w:hAnsi="inherit"/>
          <w:sz w:val="17"/>
        </w:rPr>
        <w:t xml:space="preserve">On February 3, 2012, we filed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will be used for general corporate purposes, including debt reduction or refinancing, acquisitions, capital expenditures and working capital. Unless otherwise indicated in connection with a particular offering of debt securities, each of our domestic subsidiaries will fully and unconditionally guarantee on a joint and several basis our payment obligations under such debt securities. As of </w:t>
      </w:r>
      <w:r>
        <w:rPr>
          <w:rFonts w:ascii="inherit" w:hAnsi="inherit"/>
          <w:strike w:val="false"/>
          <w:dstrike w:val="false"/>
          <w:color w:val="000000"/>
          <w:sz w:val="17"/>
          <w:u w:val="none"/>
          <w:effect w:val="none"/>
        </w:rPr>
        <w:t>September 30, 2012</w:t>
      </w:r>
      <w:r>
        <w:rPr>
          <w:rFonts w:ascii="inherit" w:hAnsi="inherit"/>
          <w:sz w:val="17"/>
        </w:rPr>
        <w:t xml:space="preserve">, we had not issued any securities under this registration statement. </w:t>
      </w:r>
    </w:p>
    <w:p>
      <w:pPr>
        <w:pStyle w:val="TextBody"/>
        <w:spacing w:lineRule="auto" w:line="288" w:before="0" w:after="0"/>
        <w:jc w:val="left"/>
        <w:rPr>
          <w:rFonts w:ascii="inherit" w:hAnsi="inherit"/>
          <w:b/>
          <w:sz w:val="17"/>
        </w:rPr>
      </w:pPr>
      <w:bookmarkStart w:id="42" w:name="s196A43486169939848BB0F13F82C7C67"/>
      <w:bookmarkEnd w:id="42"/>
      <w:r>
        <w:rPr>
          <w:rFonts w:ascii="inherit" w:hAnsi="inherit"/>
          <w:b/>
          <w:sz w:val="17"/>
        </w:rPr>
        <w:t>Off-Balance Sheet Arrangements</w:t>
      </w:r>
    </w:p>
    <w:p>
      <w:pPr>
        <w:pStyle w:val="TextBody"/>
        <w:spacing w:lineRule="auto" w:line="288" w:before="0" w:after="0"/>
        <w:jc w:val="left"/>
        <w:rPr>
          <w:rFonts w:ascii="inherit" w:hAnsi="inherit"/>
          <w:sz w:val="17"/>
        </w:rPr>
      </w:pPr>
      <w:r>
        <w:rPr>
          <w:rFonts w:ascii="inherit" w:hAnsi="inherit"/>
          <w:sz w:val="17"/>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 or late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pStyle w:val="TextBody"/>
        <w:spacing w:lineRule="auto" w:line="288" w:before="0" w:after="0"/>
        <w:jc w:val="left"/>
        <w:rPr>
          <w:sz w:val="17"/>
        </w:rPr>
      </w:pPr>
      <w:r>
        <w:rPr>
          <w:rFonts w:ascii="inherit" w:hAnsi="inherit"/>
          <w:sz w:val="17"/>
        </w:rPr>
        <w:t xml:space="preserve">We include an allowance for Expected LOC Losses in “Accounts payable and other accrued expenses” on our balance sheet. At </w:t>
      </w:r>
      <w:r>
        <w:rPr>
          <w:rFonts w:ascii="inherit" w:hAnsi="inherit"/>
          <w:strike w:val="false"/>
          <w:dstrike w:val="false"/>
          <w:color w:val="000000"/>
          <w:sz w:val="17"/>
          <w:u w:val="none"/>
          <w:effect w:val="none"/>
        </w:rPr>
        <w:t>September 30, 2012</w:t>
      </w:r>
      <w:r>
        <w:rPr>
          <w:rFonts w:ascii="inherit" w:hAnsi="inherit"/>
          <w:sz w:val="17"/>
        </w:rPr>
        <w:t xml:space="preserve">, the allowance for Expected LOC Losses was </w:t>
      </w:r>
      <w:r>
        <w:rPr>
          <w:rFonts w:ascii="inherit" w:hAnsi="inherit"/>
          <w:strike w:val="false"/>
          <w:dstrike w:val="false"/>
          <w:color w:val="000000"/>
          <w:sz w:val="17"/>
          <w:u w:val="none"/>
          <w:effect w:val="none"/>
        </w:rPr>
        <w:t>$1.8 million</w:t>
      </w:r>
      <w:r>
        <w:rPr>
          <w:rFonts w:ascii="inherit" w:hAnsi="inherit"/>
          <w:sz w:val="17"/>
        </w:rPr>
        <w:t xml:space="preserve">. At that date, our maximum exposure for losses on letters of credit, if all brokered loans defaulted and none was collected, was </w:t>
      </w:r>
      <w:r>
        <w:rPr>
          <w:rFonts w:ascii="inherit" w:hAnsi="inherit"/>
          <w:strike w:val="false"/>
          <w:dstrike w:val="false"/>
          <w:color w:val="000000"/>
          <w:sz w:val="17"/>
          <w:u w:val="none"/>
          <w:effect w:val="none"/>
        </w:rPr>
        <w:t>$27.4 million</w:t>
      </w:r>
      <w:r>
        <w:rPr>
          <w:rFonts w:ascii="inherit" w:hAnsi="inherit"/>
          <w:sz w:val="17"/>
        </w:rPr>
        <w:t>. This amount includes principal, interest, insufficient funds fees and late fees.</w:t>
      </w:r>
    </w:p>
    <w:p>
      <w:pPr>
        <w:pStyle w:val="TextBody"/>
        <w:spacing w:lineRule="auto" w:line="288" w:before="0" w:after="0"/>
        <w:jc w:val="left"/>
        <w:rPr>
          <w:rFonts w:ascii="inherit" w:hAnsi="inherit"/>
          <w:sz w:val="17"/>
        </w:rPr>
      </w:pPr>
      <w:r>
        <w:rPr>
          <w:rFonts w:ascii="inherit" w:hAnsi="inherit"/>
          <w:sz w:val="17"/>
        </w:rPr>
        <w:t>We have no other off-balance sheet arrangements.</w:t>
      </w:r>
    </w:p>
    <w:p>
      <w:pPr>
        <w:pStyle w:val="TextBody"/>
        <w:spacing w:lineRule="auto" w:line="288" w:before="0" w:after="0"/>
        <w:jc w:val="left"/>
        <w:rPr>
          <w:rFonts w:ascii="inherit" w:hAnsi="inherit"/>
          <w:b/>
          <w:sz w:val="17"/>
        </w:rPr>
      </w:pPr>
      <w:bookmarkStart w:id="43" w:name="s420839D2BCDF6EBE1A780F13F83370F5"/>
      <w:bookmarkEnd w:id="43"/>
      <w:r>
        <w:rPr>
          <w:rFonts w:ascii="inherit" w:hAnsi="inherit"/>
          <w:b/>
          <w:sz w:val="17"/>
        </w:rPr>
        <w:t>Seasonality</w:t>
      </w:r>
    </w:p>
    <w:p>
      <w:pPr>
        <w:pStyle w:val="TextBody"/>
        <w:spacing w:lineRule="auto" w:line="288" w:before="0" w:after="0"/>
        <w:jc w:val="left"/>
        <w:rPr>
          <w:rFonts w:ascii="inherit" w:hAnsi="inherit"/>
          <w:sz w:val="17"/>
        </w:rPr>
      </w:pPr>
      <w:r>
        <w:rPr>
          <w:rFonts w:ascii="inherit" w:hAnsi="inherit"/>
          <w:sz w:val="17"/>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pStyle w:val="TextBody"/>
        <w:spacing w:lineRule="auto" w:line="288" w:before="0" w:after="0"/>
        <w:jc w:val="left"/>
        <w:rPr>
          <w:rFonts w:ascii="inherit" w:hAnsi="inherit"/>
          <w:sz w:val="17"/>
        </w:rPr>
      </w:pPr>
      <w:r>
        <w:rPr>
          <w:rFonts w:ascii="inherit" w:hAnsi="inherit"/>
          <w:sz w:val="17"/>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pStyle w:val="TextBody"/>
        <w:spacing w:lineRule="auto" w:line="288" w:before="0" w:after="0"/>
        <w:jc w:val="left"/>
        <w:rPr>
          <w:rFonts w:ascii="inherit" w:hAnsi="inherit"/>
          <w:sz w:val="17"/>
        </w:rPr>
      </w:pPr>
      <w:r>
        <w:rPr>
          <w:rFonts w:ascii="inherit" w:hAnsi="inherit"/>
          <w:sz w:val="17"/>
        </w:rPr>
        <w:t xml:space="preserve">The payroll withholding lending business is less impacted by seasonality, with the exception of the summer months when new loan originations tend to moderate. </w:t>
      </w:r>
    </w:p>
    <w:p>
      <w:pPr>
        <w:pStyle w:val="TextBody"/>
        <w:spacing w:lineRule="auto" w:line="288" w:before="0" w:after="0"/>
        <w:jc w:val="left"/>
        <w:rPr>
          <w:rFonts w:ascii="inherit" w:hAnsi="inherit"/>
          <w:sz w:val="17"/>
        </w:rPr>
      </w:pPr>
      <w:r>
        <w:rPr>
          <w:rFonts w:ascii="inherit" w:hAnsi="inherit"/>
          <w:sz w:val="17"/>
        </w:rPr>
        <w:t xml:space="preserve">The net effect of these factors is that net revenues and net income typically are strongest in the fourth fiscal quarter and weakest in the third fiscal quarter.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rPr/>
      </w:pPr>
      <w:hyperlink w:anchor="s149FCBE28F3900CCBC1E0F13F39FAE0B">
        <w:bookmarkStart w:id="44" w:name="sCD5EE1EE54085DAB073D0F13F84E0D8C"/>
        <w:bookmarkEnd w:id="4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Cautionary Statement Regarding Risks and Uncertainties That May Affect Future Results</w:t>
      </w:r>
    </w:p>
    <w:p>
      <w:pPr>
        <w:pStyle w:val="TextBody"/>
        <w:spacing w:lineRule="auto" w:line="288" w:before="0" w:after="0"/>
        <w:jc w:val="left"/>
        <w:rPr>
          <w:rFonts w:ascii="inherit" w:hAnsi="inherit"/>
          <w:i/>
          <w:sz w:val="17"/>
        </w:rPr>
      </w:pPr>
      <w:r>
        <w:rPr>
          <w:rFonts w:ascii="inherit" w:hAnsi="inherit"/>
          <w:i/>
          <w:sz w:val="17"/>
        </w:rPr>
        <w:t>Forward-Looking Information</w:t>
      </w:r>
    </w:p>
    <w:p>
      <w:pPr>
        <w:pStyle w:val="TextBody"/>
        <w:spacing w:lineRule="auto" w:line="288" w:before="0" w:after="0"/>
        <w:jc w:val="left"/>
        <w:rPr>
          <w:rFonts w:ascii="inherit" w:hAnsi="inherit"/>
          <w:sz w:val="17"/>
        </w:rPr>
      </w:pPr>
      <w:r>
        <w:rPr>
          <w:rFonts w:ascii="inherit" w:hAnsi="inherit"/>
          <w:sz w:val="17"/>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These risks and uncertainties include:</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laws and regulations, including regulation of our financial services business by the Consumer Financial Protection Bureau;</w:t>
            </w:r>
          </w:p>
        </w:tc>
      </w:tr>
    </w:tbl>
    <w:tbl>
      <w:tblPr>
        <w:tblW w:w="3460" w:type="dxa"/>
        <w:jc w:val="left"/>
        <w:tblInd w:w="0" w:type="dxa"/>
        <w:tblCellMar>
          <w:top w:w="0" w:type="dxa"/>
          <w:left w:w="0" w:type="dxa"/>
          <w:bottom w:w="0" w:type="dxa"/>
          <w:right w:w="0" w:type="dxa"/>
        </w:tblCellMar>
      </w:tblPr>
      <w:tblGrid>
        <w:gridCol w:w="485"/>
        <w:gridCol w:w="2975"/>
      </w:tblGrid>
      <w:tr>
        <w:trPr/>
        <w:tc>
          <w:tcPr>
            <w:tcW w:w="485"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gold prices or volumes;</w:t>
            </w:r>
          </w:p>
        </w:tc>
      </w:tr>
    </w:tbl>
    <w:tbl>
      <w:tblPr>
        <w:tblW w:w="3505" w:type="dxa"/>
        <w:jc w:val="left"/>
        <w:tblInd w:w="0" w:type="dxa"/>
        <w:tblCellMar>
          <w:top w:w="0" w:type="dxa"/>
          <w:left w:w="0" w:type="dxa"/>
          <w:bottom w:w="0" w:type="dxa"/>
          <w:right w:w="0" w:type="dxa"/>
        </w:tblCellMar>
      </w:tblPr>
      <w:tblGrid>
        <w:gridCol w:w="485"/>
        <w:gridCol w:w="3020"/>
      </w:tblGrid>
      <w:tr>
        <w:trPr/>
        <w:tc>
          <w:tcPr>
            <w:tcW w:w="48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0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Concentration of business in Texas;</w:t>
            </w:r>
          </w:p>
        </w:tc>
      </w:tr>
    </w:tbl>
    <w:tbl>
      <w:tblPr>
        <w:tblW w:w="4300" w:type="dxa"/>
        <w:jc w:val="left"/>
        <w:tblInd w:w="0" w:type="dxa"/>
        <w:tblCellMar>
          <w:top w:w="0" w:type="dxa"/>
          <w:left w:w="0" w:type="dxa"/>
          <w:bottom w:w="0" w:type="dxa"/>
          <w:right w:w="0" w:type="dxa"/>
        </w:tblCellMar>
      </w:tblPr>
      <w:tblGrid>
        <w:gridCol w:w="485"/>
        <w:gridCol w:w="3815"/>
      </w:tblGrid>
      <w:tr>
        <w:trPr/>
        <w:tc>
          <w:tcPr>
            <w:tcW w:w="485"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foreign currency exchange rates;</w:t>
            </w:r>
          </w:p>
        </w:tc>
      </w:tr>
    </w:tbl>
    <w:tbl>
      <w:tblPr>
        <w:tblW w:w="3010" w:type="dxa"/>
        <w:jc w:val="left"/>
        <w:tblInd w:w="0" w:type="dxa"/>
        <w:tblCellMar>
          <w:top w:w="0" w:type="dxa"/>
          <w:left w:w="0" w:type="dxa"/>
          <w:bottom w:w="0" w:type="dxa"/>
          <w:right w:w="0" w:type="dxa"/>
        </w:tblCellMar>
      </w:tblPr>
      <w:tblGrid>
        <w:gridCol w:w="485"/>
        <w:gridCol w:w="2525"/>
      </w:tblGrid>
      <w:tr>
        <w:trPr/>
        <w:tc>
          <w:tcPr>
            <w:tcW w:w="48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5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General economic conditions;</w:t>
            </w:r>
          </w:p>
        </w:tc>
      </w:tr>
    </w:tbl>
    <w:tbl>
      <w:tblPr>
        <w:tblW w:w="5020" w:type="dxa"/>
        <w:jc w:val="left"/>
        <w:tblInd w:w="0" w:type="dxa"/>
        <w:tblCellMar>
          <w:top w:w="0" w:type="dxa"/>
          <w:left w:w="0" w:type="dxa"/>
          <w:bottom w:w="0" w:type="dxa"/>
          <w:right w:w="0" w:type="dxa"/>
        </w:tblCellMar>
      </w:tblPr>
      <w:tblGrid>
        <w:gridCol w:w="485"/>
        <w:gridCol w:w="4535"/>
      </w:tblGrid>
      <w:tr>
        <w:trPr/>
        <w:tc>
          <w:tcPr>
            <w:tcW w:w="485" w:type="dxa"/>
            <w:tcBorders/>
            <w:shd w:fill="auto" w:val="clear"/>
            <w:vAlign w:val="center"/>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our relationships with unaffiliated lenders;</w:t>
            </w:r>
          </w:p>
        </w:tc>
      </w:tr>
    </w:tbl>
    <w:tbl>
      <w:tblPr>
        <w:tblW w:w="8095" w:type="dxa"/>
        <w:jc w:val="left"/>
        <w:tblInd w:w="0" w:type="dxa"/>
        <w:tblCellMar>
          <w:top w:w="0" w:type="dxa"/>
          <w:left w:w="0" w:type="dxa"/>
          <w:bottom w:w="0" w:type="dxa"/>
          <w:right w:w="0" w:type="dxa"/>
        </w:tblCellMar>
      </w:tblPr>
      <w:tblGrid>
        <w:gridCol w:w="485"/>
        <w:gridCol w:w="7610"/>
      </w:tblGrid>
      <w:tr>
        <w:trPr/>
        <w:tc>
          <w:tcPr>
            <w:tcW w:w="485" w:type="dxa"/>
            <w:tcBorders/>
            <w:shd w:fill="auto" w:val="clear"/>
            <w:vAlign w:val="center"/>
          </w:tcPr>
          <w:p>
            <w:pPr>
              <w:pStyle w:val="TableContents"/>
              <w:spacing w:before="0" w:after="283"/>
              <w:rPr>
                <w:sz w:val="4"/>
                <w:szCs w:val="4"/>
              </w:rPr>
            </w:pPr>
            <w:r>
              <w:rPr>
                <w:sz w:val="4"/>
                <w:szCs w:val="4"/>
              </w:rPr>
            </w:r>
          </w:p>
        </w:tc>
        <w:tc>
          <w:tcPr>
            <w:tcW w:w="76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6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continue growing our store count through acquisitions and de novo openings;</w:t>
            </w:r>
          </w:p>
        </w:tc>
      </w:tr>
    </w:tbl>
    <w:tbl>
      <w:tblPr>
        <w:tblW w:w="5980" w:type="dxa"/>
        <w:jc w:val="left"/>
        <w:tblInd w:w="0" w:type="dxa"/>
        <w:tblCellMar>
          <w:top w:w="0" w:type="dxa"/>
          <w:left w:w="0" w:type="dxa"/>
          <w:bottom w:w="0" w:type="dxa"/>
          <w:right w:w="0" w:type="dxa"/>
        </w:tblCellMar>
      </w:tblPr>
      <w:tblGrid>
        <w:gridCol w:w="485"/>
        <w:gridCol w:w="5495"/>
      </w:tblGrid>
      <w:tr>
        <w:trPr/>
        <w:tc>
          <w:tcPr>
            <w:tcW w:w="485" w:type="dxa"/>
            <w:tcBorders/>
            <w:shd w:fill="auto" w:val="clear"/>
            <w:vAlign w:val="center"/>
          </w:tcPr>
          <w:p>
            <w:pPr>
              <w:pStyle w:val="TableContents"/>
              <w:spacing w:before="0" w:after="283"/>
              <w:rPr>
                <w:sz w:val="4"/>
                <w:szCs w:val="4"/>
              </w:rPr>
            </w:pPr>
            <w:r>
              <w:rPr>
                <w:sz w:val="4"/>
                <w:szCs w:val="4"/>
              </w:rPr>
            </w:r>
          </w:p>
        </w:tc>
        <w:tc>
          <w:tcPr>
            <w:tcW w:w="54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business, regulatory or political climate in Mexico;</w:t>
            </w:r>
          </w:p>
        </w:tc>
      </w:tr>
    </w:tbl>
    <w:tbl>
      <w:tblPr>
        <w:tblW w:w="9385" w:type="dxa"/>
        <w:jc w:val="left"/>
        <w:tblInd w:w="0" w:type="dxa"/>
        <w:tblCellMar>
          <w:top w:w="0" w:type="dxa"/>
          <w:left w:w="0" w:type="dxa"/>
          <w:bottom w:w="0" w:type="dxa"/>
          <w:right w:w="0" w:type="dxa"/>
        </w:tblCellMar>
      </w:tblPr>
      <w:tblGrid>
        <w:gridCol w:w="485"/>
        <w:gridCol w:w="8900"/>
      </w:tblGrid>
      <w:tr>
        <w:trPr/>
        <w:tc>
          <w:tcPr>
            <w:tcW w:w="485" w:type="dxa"/>
            <w:tcBorders/>
            <w:shd w:fill="auto" w:val="clear"/>
            <w:vAlign w:val="center"/>
          </w:tcPr>
          <w:p>
            <w:pPr>
              <w:pStyle w:val="TableContents"/>
              <w:spacing w:before="0" w:after="283"/>
              <w:rPr>
                <w:sz w:val="4"/>
                <w:szCs w:val="4"/>
              </w:rPr>
            </w:pPr>
            <w:r>
              <w:rPr>
                <w:sz w:val="4"/>
                <w:szCs w:val="4"/>
              </w:rPr>
            </w:r>
          </w:p>
        </w:tc>
        <w:tc>
          <w:tcPr>
            <w:tcW w:w="89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pawn redemption rates, loan default and collection rates or other important operating metrics;</w:t>
            </w:r>
          </w:p>
        </w:tc>
      </w:tr>
    </w:tbl>
    <w:tbl>
      <w:tblPr>
        <w:tblW w:w="7210" w:type="dxa"/>
        <w:jc w:val="left"/>
        <w:tblInd w:w="0" w:type="dxa"/>
        <w:tblCellMar>
          <w:top w:w="0" w:type="dxa"/>
          <w:left w:w="0" w:type="dxa"/>
          <w:bottom w:w="0" w:type="dxa"/>
          <w:right w:w="0" w:type="dxa"/>
        </w:tblCellMar>
      </w:tblPr>
      <w:tblGrid>
        <w:gridCol w:w="485"/>
        <w:gridCol w:w="6725"/>
      </w:tblGrid>
      <w:tr>
        <w:trPr/>
        <w:tc>
          <w:tcPr>
            <w:tcW w:w="485" w:type="dxa"/>
            <w:tcBorders/>
            <w:shd w:fill="auto" w:val="clear"/>
            <w:vAlign w:val="center"/>
          </w:tcPr>
          <w:p>
            <w:pPr>
              <w:pStyle w:val="TableContents"/>
              <w:spacing w:before="0" w:after="283"/>
              <w:rPr>
                <w:sz w:val="4"/>
                <w:szCs w:val="4"/>
              </w:rPr>
            </w:pPr>
            <w:r>
              <w:rPr>
                <w:sz w:val="4"/>
                <w:szCs w:val="4"/>
              </w:rPr>
            </w:r>
          </w:p>
        </w:tc>
        <w:tc>
          <w:tcPr>
            <w:tcW w:w="67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7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liquidity, capital requirements or access to debt and capital markets;</w:t>
            </w:r>
          </w:p>
        </w:tc>
      </w:tr>
    </w:tbl>
    <w:tbl>
      <w:tblPr>
        <w:tblW w:w="3760" w:type="dxa"/>
        <w:jc w:val="left"/>
        <w:tblInd w:w="0" w:type="dxa"/>
        <w:tblCellMar>
          <w:top w:w="0" w:type="dxa"/>
          <w:left w:w="0" w:type="dxa"/>
          <w:bottom w:w="0" w:type="dxa"/>
          <w:right w:w="0" w:type="dxa"/>
        </w:tblCellMar>
      </w:tblPr>
      <w:tblGrid>
        <w:gridCol w:w="485"/>
        <w:gridCol w:w="3275"/>
      </w:tblGrid>
      <w:tr>
        <w:trPr/>
        <w:tc>
          <w:tcPr>
            <w:tcW w:w="485"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2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competitive landscape;</w:t>
            </w:r>
          </w:p>
        </w:tc>
      </w:tr>
    </w:tbl>
    <w:tbl>
      <w:tblPr>
        <w:tblW w:w="3505" w:type="dxa"/>
        <w:jc w:val="left"/>
        <w:tblInd w:w="0" w:type="dxa"/>
        <w:tblCellMar>
          <w:top w:w="0" w:type="dxa"/>
          <w:left w:w="0" w:type="dxa"/>
          <w:bottom w:w="0" w:type="dxa"/>
          <w:right w:w="0" w:type="dxa"/>
        </w:tblCellMar>
      </w:tblPr>
      <w:tblGrid>
        <w:gridCol w:w="485"/>
        <w:gridCol w:w="3020"/>
      </w:tblGrid>
      <w:tr>
        <w:trPr/>
        <w:tc>
          <w:tcPr>
            <w:tcW w:w="48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0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controlled ownership structure;</w:t>
            </w:r>
          </w:p>
        </w:tc>
      </w:tr>
    </w:tbl>
    <w:tbl>
      <w:tblPr>
        <w:tblW w:w="5380" w:type="dxa"/>
        <w:jc w:val="left"/>
        <w:tblInd w:w="0" w:type="dxa"/>
        <w:tblCellMar>
          <w:top w:w="0" w:type="dxa"/>
          <w:left w:w="0" w:type="dxa"/>
          <w:bottom w:w="0" w:type="dxa"/>
          <w:right w:w="0" w:type="dxa"/>
        </w:tblCellMar>
      </w:tblPr>
      <w:tblGrid>
        <w:gridCol w:w="485"/>
        <w:gridCol w:w="4895"/>
      </w:tblGrid>
      <w:tr>
        <w:trPr/>
        <w:tc>
          <w:tcPr>
            <w:tcW w:w="485"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8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infrastructure failures or data security breaches;</w:t>
            </w:r>
          </w:p>
        </w:tc>
      </w:tr>
    </w:tbl>
    <w:tbl>
      <w:tblPr>
        <w:tblW w:w="4735" w:type="dxa"/>
        <w:jc w:val="left"/>
        <w:tblInd w:w="0" w:type="dxa"/>
        <w:tblCellMar>
          <w:top w:w="0" w:type="dxa"/>
          <w:left w:w="0" w:type="dxa"/>
          <w:bottom w:w="0" w:type="dxa"/>
          <w:right w:w="0" w:type="dxa"/>
        </w:tblCellMar>
      </w:tblPr>
      <w:tblGrid>
        <w:gridCol w:w="485"/>
        <w:gridCol w:w="4250"/>
      </w:tblGrid>
      <w:tr>
        <w:trPr/>
        <w:tc>
          <w:tcPr>
            <w:tcW w:w="485" w:type="dxa"/>
            <w:tcBorders/>
            <w:shd w:fill="auto" w:val="clear"/>
            <w:vAlign w:val="center"/>
          </w:tcPr>
          <w:p>
            <w:pPr>
              <w:pStyle w:val="TableContents"/>
              <w:spacing w:before="0" w:after="283"/>
              <w:rPr>
                <w:sz w:val="4"/>
                <w:szCs w:val="4"/>
              </w:rPr>
            </w:pPr>
            <w:r>
              <w:rPr>
                <w:sz w:val="4"/>
                <w:szCs w:val="4"/>
              </w:rPr>
            </w:r>
          </w:p>
        </w:tc>
        <w:tc>
          <w:tcPr>
            <w:tcW w:w="425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Risks associated with new online lending business;</w:t>
            </w:r>
          </w:p>
        </w:tc>
      </w:tr>
    </w:tbl>
    <w:tbl>
      <w:tblPr>
        <w:tblW w:w="2080" w:type="dxa"/>
        <w:jc w:val="left"/>
        <w:tblInd w:w="0" w:type="dxa"/>
        <w:tblCellMar>
          <w:top w:w="0" w:type="dxa"/>
          <w:left w:w="0" w:type="dxa"/>
          <w:bottom w:w="0" w:type="dxa"/>
          <w:right w:w="0" w:type="dxa"/>
        </w:tblCellMar>
      </w:tblPr>
      <w:tblGrid>
        <w:gridCol w:w="485"/>
        <w:gridCol w:w="1595"/>
      </w:tblGrid>
      <w:tr>
        <w:trPr/>
        <w:tc>
          <w:tcPr>
            <w:tcW w:w="485"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5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litigation;</w:t>
            </w:r>
          </w:p>
        </w:tc>
      </w:tr>
    </w:tbl>
    <w:tbl>
      <w:tblPr>
        <w:tblW w:w="5140" w:type="dxa"/>
        <w:jc w:val="left"/>
        <w:tblInd w:w="0" w:type="dxa"/>
        <w:tblCellMar>
          <w:top w:w="0" w:type="dxa"/>
          <w:left w:w="0" w:type="dxa"/>
          <w:bottom w:w="0" w:type="dxa"/>
          <w:right w:w="0" w:type="dxa"/>
        </w:tblCellMar>
      </w:tblPr>
      <w:tblGrid>
        <w:gridCol w:w="485"/>
        <w:gridCol w:w="4655"/>
      </w:tblGrid>
      <w:tr>
        <w:trPr/>
        <w:tc>
          <w:tcPr>
            <w:tcW w:w="485" w:type="dxa"/>
            <w:tcBorders/>
            <w:shd w:fill="auto" w:val="clear"/>
            <w:vAlign w:val="center"/>
          </w:tcPr>
          <w:p>
            <w:pPr>
              <w:pStyle w:val="TableContents"/>
              <w:spacing w:before="0" w:after="283"/>
              <w:rPr>
                <w:sz w:val="4"/>
                <w:szCs w:val="4"/>
              </w:rPr>
            </w:pPr>
            <w:r>
              <w:rPr>
                <w:sz w:val="4"/>
                <w:szCs w:val="4"/>
              </w:rPr>
            </w:r>
          </w:p>
        </w:tc>
        <w:tc>
          <w:tcPr>
            <w:tcW w:w="46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6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Failure to achieve adequate return on our investments;</w:t>
            </w:r>
          </w:p>
        </w:tc>
      </w:tr>
    </w:tbl>
    <w:tbl>
      <w:tblPr>
        <w:tblW w:w="5065" w:type="dxa"/>
        <w:jc w:val="left"/>
        <w:tblInd w:w="0" w:type="dxa"/>
        <w:tblCellMar>
          <w:top w:w="0" w:type="dxa"/>
          <w:left w:w="0" w:type="dxa"/>
          <w:bottom w:w="0" w:type="dxa"/>
          <w:right w:w="0" w:type="dxa"/>
        </w:tblCellMar>
      </w:tblPr>
      <w:tblGrid>
        <w:gridCol w:w="485"/>
        <w:gridCol w:w="4580"/>
      </w:tblGrid>
      <w:tr>
        <w:trPr/>
        <w:tc>
          <w:tcPr>
            <w:tcW w:w="485" w:type="dxa"/>
            <w:tcBorders/>
            <w:shd w:fill="auto" w:val="clear"/>
            <w:vAlign w:val="center"/>
          </w:tcPr>
          <w:p>
            <w:pPr>
              <w:pStyle w:val="TableContents"/>
              <w:spacing w:before="0" w:after="283"/>
              <w:rPr>
                <w:sz w:val="4"/>
                <w:szCs w:val="4"/>
              </w:rPr>
            </w:pPr>
            <w:r>
              <w:rPr>
                <w:sz w:val="4"/>
                <w:szCs w:val="4"/>
              </w:rPr>
            </w:r>
          </w:p>
        </w:tc>
        <w:tc>
          <w:tcPr>
            <w:tcW w:w="45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uninsured property, casualty or other losses;</w:t>
            </w:r>
          </w:p>
        </w:tc>
      </w:tr>
    </w:tbl>
    <w:tbl>
      <w:tblPr>
        <w:tblW w:w="6820" w:type="dxa"/>
        <w:jc w:val="left"/>
        <w:tblInd w:w="0" w:type="dxa"/>
        <w:tblCellMar>
          <w:top w:w="0" w:type="dxa"/>
          <w:left w:w="0" w:type="dxa"/>
          <w:bottom w:w="0" w:type="dxa"/>
          <w:right w:w="0" w:type="dxa"/>
        </w:tblCellMar>
      </w:tblPr>
      <w:tblGrid>
        <w:gridCol w:w="485"/>
        <w:gridCol w:w="6335"/>
      </w:tblGrid>
      <w:tr>
        <w:trPr/>
        <w:tc>
          <w:tcPr>
            <w:tcW w:w="485" w:type="dxa"/>
            <w:tcBorders/>
            <w:shd w:fill="auto" w:val="clear"/>
            <w:vAlign w:val="center"/>
          </w:tcPr>
          <w:p>
            <w:pPr>
              <w:pStyle w:val="TableContents"/>
              <w:spacing w:before="0" w:after="283"/>
              <w:rPr>
                <w:sz w:val="4"/>
                <w:szCs w:val="4"/>
              </w:rPr>
            </w:pPr>
            <w:r>
              <w:rPr>
                <w:sz w:val="4"/>
                <w:szCs w:val="4"/>
              </w:rPr>
            </w:r>
          </w:p>
        </w:tc>
        <w:tc>
          <w:tcPr>
            <w:tcW w:w="63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3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disruptive effect of acquisitions, investments and new businesses;</w:t>
            </w:r>
          </w:p>
        </w:tc>
      </w:tr>
    </w:tbl>
    <w:tbl>
      <w:tblPr>
        <w:tblW w:w="4360" w:type="dxa"/>
        <w:jc w:val="left"/>
        <w:tblInd w:w="0" w:type="dxa"/>
        <w:tblCellMar>
          <w:top w:w="0" w:type="dxa"/>
          <w:left w:w="0" w:type="dxa"/>
          <w:bottom w:w="0" w:type="dxa"/>
          <w:right w:w="0" w:type="dxa"/>
        </w:tblCellMar>
      </w:tblPr>
      <w:tblGrid>
        <w:gridCol w:w="485"/>
        <w:gridCol w:w="3875"/>
      </w:tblGrid>
      <w:tr>
        <w:trPr/>
        <w:tc>
          <w:tcPr>
            <w:tcW w:w="485" w:type="dxa"/>
            <w:tcBorders/>
            <w:shd w:fill="auto" w:val="clear"/>
            <w:vAlign w:val="center"/>
          </w:tcPr>
          <w:p>
            <w:pPr>
              <w:pStyle w:val="TableContents"/>
              <w:spacing w:before="0" w:after="283"/>
              <w:rPr>
                <w:sz w:val="4"/>
                <w:szCs w:val="4"/>
              </w:rPr>
            </w:pPr>
            <w:r>
              <w:rPr>
                <w:sz w:val="4"/>
                <w:szCs w:val="4"/>
              </w:rPr>
            </w:r>
          </w:p>
        </w:tc>
        <w:tc>
          <w:tcPr>
            <w:tcW w:w="38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U.S. or international tax rates; and</w:t>
            </w:r>
          </w:p>
        </w:tc>
      </w:tr>
    </w:tbl>
    <w:tbl>
      <w:tblPr>
        <w:tblW w:w="2770" w:type="dxa"/>
        <w:jc w:val="left"/>
        <w:tblInd w:w="0" w:type="dxa"/>
        <w:tblCellMar>
          <w:top w:w="0" w:type="dxa"/>
          <w:left w:w="0" w:type="dxa"/>
          <w:bottom w:w="0" w:type="dxa"/>
          <w:right w:w="0" w:type="dxa"/>
        </w:tblCellMar>
      </w:tblPr>
      <w:tblGrid>
        <w:gridCol w:w="485"/>
        <w:gridCol w:w="2285"/>
      </w:tblGrid>
      <w:tr>
        <w:trPr/>
        <w:tc>
          <w:tcPr>
            <w:tcW w:w="485"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2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Events beyond our control.</w:t>
            </w:r>
          </w:p>
        </w:tc>
      </w:tr>
    </w:tbl>
    <w:p>
      <w:pPr>
        <w:pStyle w:val="TextBody"/>
        <w:spacing w:lineRule="auto" w:line="288" w:before="0" w:after="0"/>
        <w:jc w:val="left"/>
        <w:rPr>
          <w:rFonts w:ascii="inherit" w:hAnsi="inherit"/>
          <w:sz w:val="17"/>
        </w:rPr>
      </w:pPr>
      <w:r>
        <w:rPr>
          <w:rFonts w:ascii="inherit" w:hAnsi="inherit"/>
          <w:sz w:val="17"/>
        </w:rPr>
        <w:t>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For a discussion of the important risk factors that could cause results or events to differ from current expectations, see “Part I — Item 1A — Risk Factors.”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rPr/>
      </w:pPr>
      <w:hyperlink w:anchor="s149FCBE28F3900CCBC1E0F13F39FAE0B">
        <w:bookmarkStart w:id="45" w:name="sCD5EE1EE54085DAB073D0F13F84E0D8C1"/>
        <w:bookmarkEnd w:id="45"/>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rPr/>
      </w:pPr>
      <w:hyperlink w:anchor="s149FCBE28F3900CCBC1E0F13F39FAE0B">
        <w:bookmarkStart w:id="46" w:name="s9AD670E5F74DBAADD5E40F13F8A24EB4"/>
        <w:bookmarkEnd w:id="46"/>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8. FINANCIAL STATEMENTS AND SUPPLEMENTARY DATA</w:t>
      </w:r>
    </w:p>
    <w:p>
      <w:pPr>
        <w:pStyle w:val="TextBody"/>
        <w:spacing w:lineRule="auto" w:line="288" w:before="0" w:after="0"/>
        <w:jc w:val="center"/>
        <w:rPr>
          <w:rFonts w:ascii="inherit" w:hAnsi="inherit"/>
          <w:b/>
          <w:sz w:val="17"/>
        </w:rPr>
      </w:pPr>
      <w:r>
        <w:rPr>
          <w:rFonts w:ascii="inherit" w:hAnsi="inherit"/>
          <w:b/>
          <w:sz w:val="17"/>
        </w:rPr>
        <w:t>Index to Financial Statements</w:t>
      </w:r>
    </w:p>
    <w:tbl>
      <w:tblPr>
        <w:tblW w:w="9962" w:type="dxa"/>
        <w:jc w:val="left"/>
        <w:tblInd w:w="0" w:type="dxa"/>
        <w:tblCellMar>
          <w:top w:w="0" w:type="dxa"/>
          <w:left w:w="0" w:type="dxa"/>
          <w:bottom w:w="0" w:type="dxa"/>
          <w:right w:w="0" w:type="dxa"/>
        </w:tblCellMar>
      </w:tblPr>
      <w:tblGrid>
        <w:gridCol w:w="9066"/>
        <w:gridCol w:w="896"/>
      </w:tblGrid>
      <w:tr>
        <w:trPr/>
        <w:tc>
          <w:tcPr>
            <w:tcW w:w="9962" w:type="dxa"/>
            <w:gridSpan w:val="2"/>
            <w:tcBorders/>
            <w:shd w:fill="auto" w:val="clear"/>
            <w:vAlign w:val="center"/>
          </w:tcPr>
          <w:p>
            <w:pPr>
              <w:pStyle w:val="TableContents"/>
              <w:spacing w:before="0" w:after="283"/>
              <w:rPr>
                <w:sz w:val="4"/>
                <w:szCs w:val="4"/>
              </w:rPr>
            </w:pPr>
            <w:r>
              <w:rPr>
                <w:sz w:val="4"/>
                <w:szCs w:val="4"/>
              </w:rPr>
            </w:r>
          </w:p>
        </w:tc>
      </w:tr>
      <w:tr>
        <w:trPr/>
        <w:tc>
          <w:tcPr>
            <w:tcW w:w="906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66" w:type="dxa"/>
            <w:tcBorders/>
            <w:shd w:fill="auto" w:val="clear"/>
            <w:vAlign w:val="center"/>
          </w:tcPr>
          <w:p>
            <w:pPr>
              <w:pStyle w:val="TableContents"/>
              <w:spacing w:before="0" w:after="0"/>
              <w:ind w:left="0" w:right="0" w:firstLine="30"/>
              <w:jc w:val="left"/>
              <w:rPr/>
            </w:pPr>
            <w:r>
              <w:rPr/>
              <w:t> </w:t>
            </w:r>
          </w:p>
        </w:tc>
        <w:tc>
          <w:tcPr>
            <w:tcW w:w="896"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3"/>
              </w:rPr>
            </w:pPr>
            <w:r>
              <w:rPr>
                <w:rFonts w:ascii="inherit" w:hAnsi="inherit"/>
                <w:sz w:val="13"/>
              </w:rPr>
              <w:t>Page</w:t>
            </w:r>
          </w:p>
        </w:tc>
      </w:tr>
      <w:tr>
        <w:trPr/>
        <w:tc>
          <w:tcPr>
            <w:tcW w:w="9066" w:type="dxa"/>
            <w:tcBorders/>
            <w:shd w:fill="auto" w:val="clear"/>
            <w:vAlign w:val="center"/>
          </w:tcPr>
          <w:p>
            <w:pPr>
              <w:pStyle w:val="TableContents"/>
              <w:spacing w:before="0" w:after="0"/>
              <w:ind w:left="0" w:right="0" w:firstLine="30"/>
              <w:rPr/>
            </w:pPr>
            <w:hyperlink w:anchor="sFD7857803C794B08096F0F13F8D4040D">
              <w:r>
                <w:rPr>
                  <w:rStyle w:val="InternetLink"/>
                  <w:rFonts w:ascii="inherit" w:hAnsi="inherit"/>
                  <w:color w:val="0000FF"/>
                  <w:sz w:val="17"/>
                  <w:u w:val="single"/>
                </w:rPr>
                <w:t>Report of Independent Registered Public Accounting Firm</w:t>
              </w:r>
            </w:hyperlink>
          </w:p>
        </w:tc>
        <w:tc>
          <w:tcPr>
            <w:tcW w:w="896" w:type="dxa"/>
            <w:tcBorders/>
            <w:shd w:fill="auto" w:val="clear"/>
            <w:vAlign w:val="center"/>
          </w:tcPr>
          <w:p>
            <w:pPr>
              <w:pStyle w:val="TableContents"/>
              <w:spacing w:before="0" w:after="0"/>
              <w:ind w:left="0" w:right="0" w:firstLine="30"/>
              <w:jc w:val="right"/>
              <w:rPr/>
            </w:pPr>
            <w:hyperlink w:anchor="sFD7857803C794B08096F0F13F8D4040D">
              <w:r>
                <w:rPr>
                  <w:rStyle w:val="InternetLink"/>
                  <w:rFonts w:ascii="Times New Roman" w:hAnsi="Times New Roman"/>
                  <w:color w:val="0000FF"/>
                  <w:sz w:val="17"/>
                  <w:u w:val="single"/>
                </w:rPr>
                <w:t>41</w:t>
              </w:r>
            </w:hyperlink>
          </w:p>
        </w:tc>
      </w:tr>
      <w:tr>
        <w:trPr/>
        <w:tc>
          <w:tcPr>
            <w:tcW w:w="9066" w:type="dxa"/>
            <w:tcBorders/>
            <w:shd w:fill="auto" w:val="clear"/>
            <w:vAlign w:val="center"/>
          </w:tcPr>
          <w:p>
            <w:pPr>
              <w:pStyle w:val="TableContents"/>
              <w:spacing w:before="0" w:after="0"/>
              <w:ind w:left="0" w:right="0" w:firstLine="30"/>
              <w:rPr/>
            </w:pPr>
            <w:hyperlink w:anchor="s2C02EF8FDCCAD18357060F13BB36E270">
              <w:r>
                <w:rPr>
                  <w:rStyle w:val="InternetLink"/>
                  <w:rFonts w:ascii="inherit" w:hAnsi="inherit"/>
                  <w:color w:val="0000FF"/>
                  <w:sz w:val="17"/>
                  <w:u w:val="single"/>
                </w:rPr>
                <w:t>Consolidated Financial Statements:</w:t>
              </w:r>
            </w:hyperlink>
          </w:p>
        </w:tc>
        <w:tc>
          <w:tcPr>
            <w:tcW w:w="896" w:type="dxa"/>
            <w:tcBorders/>
            <w:shd w:fill="auto" w:val="clear"/>
            <w:vAlign w:val="center"/>
          </w:tcPr>
          <w:p>
            <w:pPr>
              <w:pStyle w:val="TableContents"/>
              <w:spacing w:before="0" w:after="0"/>
              <w:ind w:left="0" w:right="0" w:firstLine="300"/>
              <w:jc w:val="left"/>
              <w:rPr/>
            </w:pPr>
            <w:r>
              <w:rPr/>
              <w:t> </w:t>
            </w:r>
          </w:p>
        </w:tc>
      </w:tr>
      <w:tr>
        <w:trPr/>
        <w:tc>
          <w:tcPr>
            <w:tcW w:w="9066" w:type="dxa"/>
            <w:tcBorders/>
            <w:shd w:fill="auto" w:val="clear"/>
            <w:vAlign w:val="center"/>
          </w:tcPr>
          <w:p>
            <w:pPr>
              <w:pStyle w:val="TableContents"/>
              <w:spacing w:before="0" w:after="0"/>
              <w:ind w:left="0" w:right="0" w:firstLine="30"/>
              <w:jc w:val="left"/>
              <w:rPr/>
            </w:pPr>
            <w:hyperlink w:anchor="s2C02EF8FDCCAD18357060F13BB36E270">
              <w:r>
                <w:rPr>
                  <w:rStyle w:val="InternetLink"/>
                  <w:rFonts w:ascii="inherit" w:hAnsi="inherit"/>
                  <w:color w:val="0000FF"/>
                  <w:sz w:val="17"/>
                  <w:u w:val="single"/>
                </w:rPr>
                <w:t>Consolidated Balance Sheets as of September 30, 2012 and 2011</w:t>
              </w:r>
            </w:hyperlink>
          </w:p>
        </w:tc>
        <w:tc>
          <w:tcPr>
            <w:tcW w:w="896" w:type="dxa"/>
            <w:tcBorders/>
            <w:shd w:fill="auto" w:val="clear"/>
            <w:vAlign w:val="center"/>
          </w:tcPr>
          <w:p>
            <w:pPr>
              <w:pStyle w:val="TableContents"/>
              <w:spacing w:before="0" w:after="0"/>
              <w:ind w:left="0" w:right="0" w:firstLine="300"/>
              <w:jc w:val="right"/>
              <w:rPr/>
            </w:pPr>
            <w:hyperlink w:anchor="s2C02EF8FDCCAD18357060F13BB36E270">
              <w:r>
                <w:rPr>
                  <w:rStyle w:val="InternetLink"/>
                  <w:rFonts w:ascii="Times New Roman" w:hAnsi="Times New Roman"/>
                  <w:color w:val="0000FF"/>
                  <w:sz w:val="17"/>
                  <w:u w:val="single"/>
                </w:rPr>
                <w:t>42</w:t>
              </w:r>
            </w:hyperlink>
          </w:p>
        </w:tc>
      </w:tr>
      <w:tr>
        <w:trPr/>
        <w:tc>
          <w:tcPr>
            <w:tcW w:w="9066" w:type="dxa"/>
            <w:tcBorders/>
            <w:shd w:fill="auto" w:val="clear"/>
            <w:vAlign w:val="center"/>
          </w:tcPr>
          <w:p>
            <w:pPr>
              <w:pStyle w:val="TableContents"/>
              <w:spacing w:before="0" w:after="0"/>
              <w:ind w:left="0" w:right="0" w:firstLine="30"/>
              <w:jc w:val="left"/>
              <w:rPr/>
            </w:pPr>
            <w:hyperlink w:anchor="s68B3A43650A2C3152DC90F13B9D565E9">
              <w:r>
                <w:rPr>
                  <w:rStyle w:val="InternetLink"/>
                  <w:rFonts w:ascii="inherit" w:hAnsi="inherit"/>
                  <w:color w:val="0000FF"/>
                  <w:sz w:val="17"/>
                  <w:u w:val="single"/>
                </w:rPr>
                <w:t>Consolidated Statements of Operations for each of the Three Years Ended September 30, 2012</w:t>
              </w:r>
            </w:hyperlink>
          </w:p>
        </w:tc>
        <w:tc>
          <w:tcPr>
            <w:tcW w:w="896" w:type="dxa"/>
            <w:tcBorders/>
            <w:shd w:fill="auto" w:val="clear"/>
            <w:vAlign w:val="center"/>
          </w:tcPr>
          <w:p>
            <w:pPr>
              <w:pStyle w:val="TableContents"/>
              <w:spacing w:before="0" w:after="0"/>
              <w:ind w:left="0" w:right="0" w:firstLine="300"/>
              <w:jc w:val="right"/>
              <w:rPr/>
            </w:pPr>
            <w:hyperlink w:anchor="s68B3A43650A2C3152DC90F13B9D565E9">
              <w:r>
                <w:rPr>
                  <w:rStyle w:val="InternetLink"/>
                  <w:rFonts w:ascii="Times New Roman" w:hAnsi="Times New Roman"/>
                  <w:color w:val="0000FF"/>
                  <w:sz w:val="17"/>
                  <w:u w:val="single"/>
                </w:rPr>
                <w:t>43</w:t>
              </w:r>
            </w:hyperlink>
          </w:p>
        </w:tc>
      </w:tr>
      <w:tr>
        <w:trPr/>
        <w:tc>
          <w:tcPr>
            <w:tcW w:w="9066" w:type="dxa"/>
            <w:tcBorders/>
            <w:shd w:fill="auto" w:val="clear"/>
            <w:vAlign w:val="center"/>
          </w:tcPr>
          <w:p>
            <w:pPr>
              <w:pStyle w:val="TableContents"/>
              <w:spacing w:before="0" w:after="0"/>
              <w:ind w:left="0" w:right="0" w:firstLine="30"/>
              <w:jc w:val="left"/>
              <w:rPr/>
            </w:pPr>
            <w:hyperlink w:anchor="sB4D5480317555FAFE0DF0F13BBE2FA4E">
              <w:r>
                <w:rPr>
                  <w:rStyle w:val="InternetLink"/>
                  <w:rFonts w:ascii="inherit" w:hAnsi="inherit"/>
                  <w:color w:val="0000FF"/>
                  <w:sz w:val="17"/>
                  <w:u w:val="single"/>
                </w:rPr>
                <w:t>Consolidated Statements of Comprehensive Income for each of the Three Years Ended September 30, 2012</w:t>
              </w:r>
            </w:hyperlink>
          </w:p>
        </w:tc>
        <w:tc>
          <w:tcPr>
            <w:tcW w:w="896" w:type="dxa"/>
            <w:tcBorders/>
            <w:shd w:fill="auto" w:val="clear"/>
            <w:vAlign w:val="center"/>
          </w:tcPr>
          <w:p>
            <w:pPr>
              <w:pStyle w:val="TableContents"/>
              <w:spacing w:before="0" w:after="0"/>
              <w:ind w:left="0" w:right="0" w:firstLine="300"/>
              <w:jc w:val="right"/>
              <w:rPr/>
            </w:pPr>
            <w:hyperlink w:anchor="sB4D5480317555FAFE0DF0F13BBE2FA4E">
              <w:r>
                <w:rPr>
                  <w:rStyle w:val="InternetLink"/>
                  <w:rFonts w:ascii="Times New Roman" w:hAnsi="Times New Roman"/>
                  <w:color w:val="0000FF"/>
                  <w:sz w:val="17"/>
                  <w:u w:val="single"/>
                </w:rPr>
                <w:t>44</w:t>
              </w:r>
            </w:hyperlink>
          </w:p>
        </w:tc>
      </w:tr>
      <w:tr>
        <w:trPr/>
        <w:tc>
          <w:tcPr>
            <w:tcW w:w="9066" w:type="dxa"/>
            <w:tcBorders/>
            <w:shd w:fill="auto" w:val="clear"/>
            <w:vAlign w:val="center"/>
          </w:tcPr>
          <w:p>
            <w:pPr>
              <w:pStyle w:val="TableContents"/>
              <w:spacing w:before="0" w:after="0"/>
              <w:ind w:left="0" w:right="0" w:firstLine="30"/>
              <w:jc w:val="left"/>
              <w:rPr/>
            </w:pPr>
            <w:hyperlink w:anchor="s12450973B232DF65BF340F13BAC86D40">
              <w:r>
                <w:rPr>
                  <w:rStyle w:val="InternetLink"/>
                  <w:rFonts w:ascii="inherit" w:hAnsi="inherit"/>
                  <w:color w:val="0000FF"/>
                  <w:sz w:val="17"/>
                  <w:u w:val="single"/>
                </w:rPr>
                <w:t>Consolidated Statements of Cash Flows for each of the Three Years Ended September 30, 2012</w:t>
              </w:r>
            </w:hyperlink>
          </w:p>
        </w:tc>
        <w:tc>
          <w:tcPr>
            <w:tcW w:w="896" w:type="dxa"/>
            <w:tcBorders/>
            <w:shd w:fill="auto" w:val="clear"/>
            <w:vAlign w:val="center"/>
          </w:tcPr>
          <w:p>
            <w:pPr>
              <w:pStyle w:val="TableContents"/>
              <w:spacing w:before="0" w:after="0"/>
              <w:ind w:left="0" w:right="0" w:firstLine="300"/>
              <w:jc w:val="right"/>
              <w:rPr/>
            </w:pPr>
            <w:hyperlink w:anchor="s12450973B232DF65BF340F13BAC86D40">
              <w:r>
                <w:rPr>
                  <w:rStyle w:val="InternetLink"/>
                  <w:rFonts w:ascii="Times New Roman" w:hAnsi="Times New Roman"/>
                  <w:color w:val="0000FF"/>
                  <w:sz w:val="17"/>
                  <w:u w:val="single"/>
                </w:rPr>
                <w:t>45</w:t>
              </w:r>
            </w:hyperlink>
          </w:p>
        </w:tc>
      </w:tr>
      <w:tr>
        <w:trPr/>
        <w:tc>
          <w:tcPr>
            <w:tcW w:w="9066" w:type="dxa"/>
            <w:tcBorders/>
            <w:shd w:fill="auto" w:val="clear"/>
            <w:vAlign w:val="center"/>
          </w:tcPr>
          <w:p>
            <w:pPr>
              <w:pStyle w:val="TableContents"/>
              <w:spacing w:before="0" w:after="0"/>
              <w:ind w:left="0" w:right="0" w:firstLine="30"/>
              <w:jc w:val="left"/>
              <w:rPr/>
            </w:pPr>
            <w:hyperlink w:anchor="sDCA193FD5863D5608FC40F13BBC590D2">
              <w:r>
                <w:rPr>
                  <w:rStyle w:val="InternetLink"/>
                  <w:rFonts w:ascii="inherit" w:hAnsi="inherit"/>
                  <w:color w:val="0000FF"/>
                  <w:sz w:val="17"/>
                  <w:u w:val="single"/>
                </w:rPr>
                <w:t>Consolidated Statements of Stockholders’ Equity for each of the Three Years Ended September 30, 2012</w:t>
              </w:r>
            </w:hyperlink>
          </w:p>
        </w:tc>
        <w:tc>
          <w:tcPr>
            <w:tcW w:w="896" w:type="dxa"/>
            <w:tcBorders/>
            <w:shd w:fill="auto" w:val="clear"/>
            <w:vAlign w:val="center"/>
          </w:tcPr>
          <w:p>
            <w:pPr>
              <w:pStyle w:val="TableContents"/>
              <w:spacing w:before="0" w:after="0"/>
              <w:ind w:left="0" w:right="0" w:firstLine="300"/>
              <w:jc w:val="right"/>
              <w:rPr/>
            </w:pPr>
            <w:hyperlink w:anchor="sDCA193FD5863D5608FC40F13BBC590D2">
              <w:r>
                <w:rPr>
                  <w:rStyle w:val="InternetLink"/>
                  <w:rFonts w:ascii="Times New Roman" w:hAnsi="Times New Roman"/>
                  <w:color w:val="0000FF"/>
                  <w:sz w:val="17"/>
                  <w:u w:val="single"/>
                </w:rPr>
                <w:t>46</w:t>
              </w:r>
            </w:hyperlink>
          </w:p>
        </w:tc>
      </w:tr>
      <w:tr>
        <w:trPr/>
        <w:tc>
          <w:tcPr>
            <w:tcW w:w="9066" w:type="dxa"/>
            <w:tcBorders/>
            <w:shd w:fill="auto" w:val="clear"/>
            <w:vAlign w:val="center"/>
          </w:tcPr>
          <w:p>
            <w:pPr>
              <w:pStyle w:val="TableContents"/>
              <w:spacing w:before="0" w:after="0"/>
              <w:ind w:left="0" w:right="0" w:firstLine="30"/>
              <w:jc w:val="left"/>
              <w:rPr/>
            </w:pPr>
            <w:hyperlink w:anchor="s36A3F429E0AB11AF63FF0F13F9F224F6">
              <w:r>
                <w:rPr>
                  <w:rStyle w:val="InternetLink"/>
                  <w:rFonts w:ascii="inherit" w:hAnsi="inherit"/>
                  <w:color w:val="0000FF"/>
                  <w:sz w:val="17"/>
                  <w:u w:val="single"/>
                </w:rPr>
                <w:t>Notes to Consolidated Financial Statements</w:t>
              </w:r>
            </w:hyperlink>
          </w:p>
        </w:tc>
        <w:tc>
          <w:tcPr>
            <w:tcW w:w="896" w:type="dxa"/>
            <w:tcBorders/>
            <w:shd w:fill="auto" w:val="clear"/>
            <w:vAlign w:val="center"/>
          </w:tcPr>
          <w:p>
            <w:pPr>
              <w:pStyle w:val="TableContents"/>
              <w:spacing w:before="0" w:after="0"/>
              <w:jc w:val="right"/>
              <w:rPr/>
            </w:pPr>
            <w:hyperlink w:anchor="s36A3F429E0AB11AF63FF0F13F9F224F6">
              <w:r>
                <w:rPr>
                  <w:rStyle w:val="InternetLink"/>
                  <w:rFonts w:ascii="Times New Roman" w:hAnsi="Times New Roman"/>
                  <w:color w:val="0000FF"/>
                  <w:sz w:val="17"/>
                  <w:u w:val="single"/>
                </w:rPr>
                <w:t>47</w:t>
              </w:r>
            </w:hyperlink>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rPr/>
      </w:pPr>
      <w:hyperlink w:anchor="s149FCBE28F3900CCBC1E0F13F39FAE0B">
        <w:bookmarkStart w:id="47" w:name="sFD7857803C794B08096F0F13F8D4040D"/>
        <w:bookmarkEnd w:id="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Report of Independent Registered Public Accounting Firm</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Board of Directors and Stockholders</w:t>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Austin, Texas</w:t>
      </w:r>
    </w:p>
    <w:p>
      <w:pPr>
        <w:pStyle w:val="TextBody"/>
        <w:spacing w:lineRule="auto" w:line="288" w:before="0" w:after="0"/>
        <w:jc w:val="both"/>
        <w:rPr>
          <w:rFonts w:ascii="inherit" w:hAnsi="inherit"/>
          <w:sz w:val="17"/>
        </w:rPr>
      </w:pPr>
      <w:r>
        <w:rPr>
          <w:rFonts w:ascii="inherit" w:hAnsi="inherit"/>
          <w:sz w:val="17"/>
        </w:rPr>
        <w:t>We have audited the accompanying consolidated balance sheets of EZCORP, Inc. (the Company) as of September 30, 2012 and 2011 and the related consolidated statements of operations and comprehensive income, stockholders’ equity, and cash flows for each of the three years in the period ended September 30, 2012. These financial statements are the responsibility of the Company’s management. Our responsibility is to express an opinion on these financial statements based on our audits.</w:t>
      </w:r>
    </w:p>
    <w:p>
      <w:pPr>
        <w:pStyle w:val="TextBody"/>
        <w:spacing w:lineRule="auto" w:line="288" w:before="0" w:after="0"/>
        <w:jc w:val="both"/>
        <w:rPr>
          <w:rFonts w:ascii="inherit" w:hAnsi="inherit"/>
          <w:sz w:val="17"/>
        </w:rPr>
      </w:pPr>
      <w:r>
        <w:rPr>
          <w:rFonts w:ascii="inherit" w:hAnsi="inherit"/>
          <w:sz w:val="17"/>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pStyle w:val="TextBody"/>
        <w:spacing w:lineRule="auto" w:line="288" w:before="0" w:after="0"/>
        <w:jc w:val="both"/>
        <w:rPr>
          <w:sz w:val="17"/>
        </w:rPr>
      </w:pPr>
      <w:r>
        <w:rPr>
          <w:rFonts w:ascii="inherit" w:hAnsi="inherit"/>
          <w:sz w:val="17"/>
        </w:rPr>
        <w:t>In our opinion, the consolidated financial statements referred to above present fairly, in all material respects, the financial position of EZCORP, Inc. at September 30, 2012 and 2011, and the results of its operations and its cash flows for each of the three years in the period ended September 30, 2012</w:t>
      </w:r>
      <w:r>
        <w:rPr>
          <w:rFonts w:ascii="inherit" w:hAnsi="inherit"/>
          <w:b/>
          <w:sz w:val="17"/>
        </w:rPr>
        <w:t>,</w:t>
      </w:r>
      <w:r>
        <w:rPr>
          <w:sz w:val="17"/>
        </w:rPr>
        <w:t xml:space="preserve"> </w:t>
      </w:r>
      <w:r>
        <w:rPr>
          <w:rFonts w:ascii="inherit" w:hAnsi="inherit"/>
          <w:sz w:val="17"/>
        </w:rPr>
        <w:t>in conformity with accounting principles generally accepted in the United States of America.</w:t>
      </w:r>
    </w:p>
    <w:p>
      <w:pPr>
        <w:pStyle w:val="TextBody"/>
        <w:spacing w:lineRule="auto" w:line="288" w:before="0" w:after="0"/>
        <w:jc w:val="both"/>
        <w:rPr>
          <w:sz w:val="17"/>
        </w:rPr>
      </w:pPr>
      <w:r>
        <w:rPr>
          <w:rFonts w:ascii="inherit" w:hAnsi="inherit"/>
          <w:sz w:val="17"/>
        </w:rPr>
        <w:t xml:space="preserve">We also have audited, in accordance with the standards of the Public Company Accounting Oversight Board (United States), EZCORP, Inc.’s internal control over financial reporting as of September 30, 2012, based on criteria established in </w:t>
      </w:r>
      <w:r>
        <w:rPr>
          <w:rFonts w:ascii="inherit" w:hAnsi="inherit"/>
          <w:i/>
          <w:sz w:val="17"/>
        </w:rPr>
        <w:t>Internal Control - Integrated Framework</w:t>
      </w:r>
      <w:r>
        <w:rPr>
          <w:sz w:val="17"/>
        </w:rPr>
        <w:t xml:space="preserve"> </w:t>
      </w:r>
      <w:r>
        <w:rPr>
          <w:rFonts w:ascii="inherit" w:hAnsi="inherit"/>
          <w:sz w:val="17"/>
        </w:rPr>
        <w:t>issued by the Committee of Sponsoring Organizations of the Treadway Commission (the COSO criteria) and our report dated November 20, 2012 expressed an unqualified opinion thereon.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/s/ BDO USA, LLP</w:t>
      </w:r>
    </w:p>
    <w:p>
      <w:pPr>
        <w:pStyle w:val="TextBody"/>
        <w:spacing w:lineRule="auto" w:line="288" w:before="0" w:after="0"/>
        <w:jc w:val="left"/>
        <w:rPr>
          <w:rFonts w:ascii="inherit" w:hAnsi="inherit"/>
          <w:sz w:val="17"/>
        </w:rPr>
      </w:pPr>
      <w:r>
        <w:rPr>
          <w:rFonts w:ascii="inherit" w:hAnsi="inherit"/>
          <w:sz w:val="17"/>
        </w:rPr>
        <w:t>Dallas, Texas</w:t>
      </w:r>
    </w:p>
    <w:p>
      <w:pPr>
        <w:pStyle w:val="TextBody"/>
        <w:spacing w:lineRule="auto" w:line="288" w:before="0" w:after="0"/>
        <w:rPr>
          <w:sz w:val="17"/>
        </w:rPr>
      </w:pPr>
      <w:r>
        <w:rPr>
          <w:rFonts w:ascii="inherit" w:hAnsi="inherit"/>
          <w:sz w:val="17"/>
        </w:rPr>
        <w:t xml:space="preserve">November 20, 2012, except for Notes 1, 2, 4, 6, 7, 12, 14, 18, 19 and 23, which are as of </w:t>
      </w:r>
      <w:r>
        <w:rPr>
          <w:rFonts w:ascii="inherit" w:hAnsi="inherit"/>
          <w:strike w:val="false"/>
          <w:dstrike w:val="false"/>
          <w:color w:val="000000"/>
          <w:sz w:val="17"/>
          <w:u w:val="none"/>
          <w:effect w:val="none"/>
        </w:rPr>
        <w:t>October 3, 2013</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rPr/>
      </w:pPr>
      <w:hyperlink w:anchor="s149FCBE28F3900CCBC1E0F13F39FAE0B">
        <w:bookmarkStart w:id="48" w:name="s2C02EF8FDCCAD18357060F13BB36E270"/>
        <w:bookmarkEnd w:id="48"/>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200"/>
        <w:gridCol w:w="168"/>
        <w:gridCol w:w="1357"/>
        <w:gridCol w:w="168"/>
        <w:gridCol w:w="150"/>
        <w:gridCol w:w="168"/>
        <w:gridCol w:w="1234"/>
        <w:gridCol w:w="760"/>
      </w:tblGrid>
      <w:tr>
        <w:trPr/>
        <w:tc>
          <w:tcPr>
            <w:tcW w:w="10205" w:type="dxa"/>
            <w:gridSpan w:val="8"/>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BALANCE SHEETS</w:t>
            </w:r>
          </w:p>
        </w:tc>
      </w:tr>
      <w:tr>
        <w:trPr/>
        <w:tc>
          <w:tcPr>
            <w:tcW w:w="620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0" w:type="dxa"/>
            <w:tcBorders/>
            <w:shd w:fill="auto" w:val="clear"/>
            <w:vAlign w:val="center"/>
          </w:tcPr>
          <w:p>
            <w:pPr>
              <w:pStyle w:val="TableContents"/>
              <w:spacing w:before="0" w:after="0"/>
              <w:ind w:left="0" w:right="0" w:firstLine="30"/>
              <w:jc w:val="left"/>
              <w:rPr/>
            </w:pPr>
            <w:r>
              <w:rPr/>
              <w:t> </w:t>
            </w:r>
          </w:p>
        </w:tc>
        <w:tc>
          <w:tcPr>
            <w:tcW w:w="400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6200" w:type="dxa"/>
            <w:tcBorders/>
            <w:shd w:fill="auto" w:val="clear"/>
            <w:vAlign w:val="center"/>
          </w:tcPr>
          <w:p>
            <w:pPr>
              <w:pStyle w:val="TableContents"/>
              <w:spacing w:before="0" w:after="0"/>
              <w:ind w:left="0" w:right="0" w:firstLine="30"/>
              <w:jc w:val="left"/>
              <w:rPr/>
            </w:pPr>
            <w:r>
              <w:rPr/>
              <w:t> </w:t>
            </w:r>
          </w:p>
        </w:tc>
        <w:tc>
          <w:tcPr>
            <w:tcW w:w="16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0" w:type="dxa"/>
            <w:tcBorders/>
            <w:shd w:fill="auto" w:val="clear"/>
            <w:vAlign w:val="center"/>
          </w:tcPr>
          <w:p>
            <w:pPr>
              <w:pStyle w:val="TableContents"/>
              <w:spacing w:before="0" w:after="0"/>
              <w:ind w:left="0" w:right="0" w:firstLine="30"/>
              <w:rPr/>
            </w:pPr>
            <w:r>
              <w:rPr/>
              <w:t> </w:t>
            </w:r>
          </w:p>
        </w:tc>
        <w:tc>
          <w:tcPr>
            <w:tcW w:w="21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200" w:type="dxa"/>
            <w:tcBorders/>
            <w:shd w:fill="auto" w:val="clear"/>
            <w:vAlign w:val="center"/>
          </w:tcPr>
          <w:p>
            <w:pPr>
              <w:pStyle w:val="TableContents"/>
              <w:spacing w:before="0" w:after="0"/>
              <w:ind w:left="0" w:right="0" w:firstLine="30"/>
              <w:jc w:val="left"/>
              <w:rPr/>
            </w:pPr>
            <w:r>
              <w:rPr/>
              <w:t> </w:t>
            </w:r>
          </w:p>
        </w:tc>
        <w:tc>
          <w:tcPr>
            <w:tcW w:w="400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Assets:</w:t>
            </w:r>
          </w:p>
        </w:tc>
        <w:tc>
          <w:tcPr>
            <w:tcW w:w="1693" w:type="dxa"/>
            <w:gridSpan w:val="3"/>
            <w:tcBorders/>
            <w:shd w:fill="CCEEFF" w:val="clear"/>
            <w:vAlign w:val="center"/>
          </w:tcPr>
          <w:p>
            <w:pPr>
              <w:pStyle w:val="TableContents"/>
              <w:spacing w:before="0" w:after="0"/>
              <w:ind w:left="0" w:right="0" w:firstLine="30"/>
              <w:jc w:val="left"/>
              <w:rPr/>
            </w:pPr>
            <w:r>
              <w:rPr/>
              <w:t> </w:t>
            </w:r>
          </w:p>
        </w:tc>
        <w:tc>
          <w:tcPr>
            <w:tcW w:w="150" w:type="dxa"/>
            <w:tcBorders/>
            <w:shd w:fill="CCEEFF" w:val="clear"/>
            <w:vAlign w:val="center"/>
          </w:tcPr>
          <w:p>
            <w:pPr>
              <w:pStyle w:val="TableContents"/>
              <w:spacing w:before="0" w:after="0"/>
              <w:ind w:left="0" w:right="0" w:firstLine="30"/>
              <w:rPr/>
            </w:pPr>
            <w:r>
              <w:rPr/>
              <w:t> </w:t>
            </w:r>
          </w:p>
        </w:tc>
        <w:tc>
          <w:tcPr>
            <w:tcW w:w="2162" w:type="dxa"/>
            <w:gridSpan w:val="3"/>
            <w:tcBorders/>
            <w:shd w:fill="CCEEFF" w:val="clear"/>
            <w:vAlign w:val="center"/>
          </w:tcPr>
          <w:p>
            <w:pPr>
              <w:pStyle w:val="TableContents"/>
              <w:spacing w:before="0" w:after="0"/>
              <w:ind w:left="0" w:right="0" w:firstLine="180"/>
              <w:jc w:val="left"/>
              <w:rPr/>
            </w:pPr>
            <w:r>
              <w:rPr/>
              <w:t> </w:t>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1693"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2162" w:type="dxa"/>
            <w:gridSpan w:val="3"/>
            <w:tcBorders/>
            <w:shd w:fill="auto" w:val="clear"/>
            <w:vAlign w:val="center"/>
          </w:tcPr>
          <w:p>
            <w:pPr>
              <w:pStyle w:val="TableContents"/>
              <w:spacing w:before="0" w:after="0"/>
              <w:ind w:left="0" w:right="0" w:firstLine="420"/>
              <w:jc w:val="left"/>
              <w:rPr/>
            </w:pPr>
            <w:r>
              <w:rPr/>
              <w:t> </w:t>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16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357" w:type="dxa"/>
            <w:tcBorders/>
            <w:shd w:fill="CCEEFF" w:val="clear"/>
            <w:vAlign w:val="center"/>
          </w:tcPr>
          <w:p>
            <w:pPr>
              <w:pStyle w:val="TableContents"/>
              <w:spacing w:before="0" w:after="0"/>
              <w:jc w:val="right"/>
              <w:rPr>
                <w:rFonts w:ascii="inherit" w:hAnsi="inherit"/>
                <w:sz w:val="15"/>
              </w:rPr>
            </w:pPr>
            <w:r>
              <w:rPr>
                <w:rFonts w:ascii="inherit" w:hAnsi="inherit"/>
                <w:sz w:val="15"/>
              </w:rPr>
              <w:t>48,477</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34" w:type="dxa"/>
            <w:tcBorders/>
            <w:shd w:fill="CCEEFF" w:val="clear"/>
            <w:vAlign w:val="center"/>
          </w:tcPr>
          <w:p>
            <w:pPr>
              <w:pStyle w:val="TableContents"/>
              <w:spacing w:before="0" w:after="0"/>
              <w:jc w:val="right"/>
              <w:rPr>
                <w:rFonts w:ascii="inherit" w:hAnsi="inherit"/>
                <w:sz w:val="15"/>
              </w:rPr>
            </w:pPr>
            <w:r>
              <w:rPr>
                <w:rFonts w:ascii="inherit" w:hAnsi="inherit"/>
                <w:sz w:val="15"/>
              </w:rPr>
              <w:t>23,969</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Restricted cash</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1,145</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pPr>
            <w:r>
              <w:rPr/>
              <w:t>—</w:t>
            </w:r>
          </w:p>
        </w:tc>
        <w:tc>
          <w:tcPr>
            <w:tcW w:w="76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loans</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157,648</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145,318</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Consumer loans, net</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34,152</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14,611</w:t>
            </w:r>
          </w:p>
        </w:tc>
        <w:tc>
          <w:tcPr>
            <w:tcW w:w="76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 receivable, net</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29,401</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26,455</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Consumer loan fees receivable, net</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30,416</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6,775</w:t>
            </w:r>
          </w:p>
        </w:tc>
        <w:tc>
          <w:tcPr>
            <w:tcW w:w="76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Inventory, net</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109,214</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90,373</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14,984</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18,125</w:t>
            </w:r>
          </w:p>
        </w:tc>
        <w:tc>
          <w:tcPr>
            <w:tcW w:w="76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Federal income tax receivable</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10,511</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pPr>
            <w:r>
              <w:rPr/>
              <w:t>—</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assets</w:t>
            </w:r>
          </w:p>
        </w:tc>
        <w:tc>
          <w:tcPr>
            <w:tcW w:w="15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45,451</w:t>
            </w:r>
          </w:p>
        </w:tc>
        <w:tc>
          <w:tcPr>
            <w:tcW w:w="1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30,611</w:t>
            </w:r>
          </w:p>
        </w:tc>
        <w:tc>
          <w:tcPr>
            <w:tcW w:w="760"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481,399</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356,237</w:t>
            </w:r>
          </w:p>
        </w:tc>
        <w:tc>
          <w:tcPr>
            <w:tcW w:w="760"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unconsolidated affiliates</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126,066</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120,319</w:t>
            </w:r>
          </w:p>
        </w:tc>
        <w:tc>
          <w:tcPr>
            <w:tcW w:w="76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108,131</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78,498</w:t>
            </w:r>
          </w:p>
        </w:tc>
        <w:tc>
          <w:tcPr>
            <w:tcW w:w="76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Restricted cash, non-current</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4,337</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pPr>
            <w:r>
              <w:rPr/>
              <w:t>—</w:t>
            </w:r>
          </w:p>
        </w:tc>
        <w:tc>
          <w:tcPr>
            <w:tcW w:w="76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374,663</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173,206</w:t>
            </w:r>
          </w:p>
        </w:tc>
        <w:tc>
          <w:tcPr>
            <w:tcW w:w="76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 net</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45,185</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19,790</w:t>
            </w:r>
          </w:p>
        </w:tc>
        <w:tc>
          <w:tcPr>
            <w:tcW w:w="76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Non-current consumer loans, net</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61,997</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pPr>
            <w:r>
              <w:rPr/>
              <w:t>—</w:t>
            </w:r>
          </w:p>
        </w:tc>
        <w:tc>
          <w:tcPr>
            <w:tcW w:w="76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net</w:t>
            </w:r>
          </w:p>
        </w:tc>
        <w:tc>
          <w:tcPr>
            <w:tcW w:w="15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16,229</w:t>
            </w:r>
          </w:p>
        </w:tc>
        <w:tc>
          <w:tcPr>
            <w:tcW w:w="1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8,400</w:t>
            </w:r>
          </w:p>
        </w:tc>
        <w:tc>
          <w:tcPr>
            <w:tcW w:w="760"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rPr>
                <w:sz w:val="15"/>
              </w:rPr>
            </w:pPr>
            <w:r>
              <w:rPr>
                <w:rFonts w:ascii="inherit" w:hAnsi="inherit"/>
                <w:sz w:val="15"/>
              </w:rPr>
              <w:t>Total assets</w:t>
            </w:r>
            <w:r>
              <w:rPr>
                <w:sz w:val="15"/>
              </w:rPr>
              <w:t> </w:t>
            </w:r>
            <w:r>
              <w:rPr>
                <w:rFonts w:ascii="inherit" w:hAnsi="inherit"/>
                <w:sz w:val="13"/>
              </w:rPr>
              <w:t>(1)</w:t>
            </w:r>
          </w:p>
        </w:tc>
        <w:tc>
          <w:tcPr>
            <w:tcW w:w="16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35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1,218,007</w:t>
            </w:r>
          </w:p>
        </w:tc>
        <w:tc>
          <w:tcPr>
            <w:tcW w:w="16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2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756,450</w:t>
            </w:r>
          </w:p>
        </w:tc>
        <w:tc>
          <w:tcPr>
            <w:tcW w:w="76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Liabilities and stockholders’ equity:</w:t>
            </w:r>
          </w:p>
        </w:tc>
        <w:tc>
          <w:tcPr>
            <w:tcW w:w="1693"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2162" w:type="dxa"/>
            <w:gridSpan w:val="3"/>
            <w:tcBorders/>
            <w:shd w:fill="auto" w:val="clear"/>
            <w:vAlign w:val="center"/>
          </w:tcPr>
          <w:p>
            <w:pPr>
              <w:pStyle w:val="TableContents"/>
              <w:spacing w:before="0" w:after="0"/>
              <w:ind w:left="0" w:right="0" w:firstLine="180"/>
              <w:jc w:val="left"/>
              <w:rPr/>
            </w:pPr>
            <w:r>
              <w:rPr/>
              <w:t> </w:t>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liabilities:</w:t>
            </w:r>
          </w:p>
        </w:tc>
        <w:tc>
          <w:tcPr>
            <w:tcW w:w="1693" w:type="dxa"/>
            <w:gridSpan w:val="3"/>
            <w:tcBorders/>
            <w:shd w:fill="CCEEFF" w:val="clear"/>
            <w:vAlign w:val="center"/>
          </w:tcPr>
          <w:p>
            <w:pPr>
              <w:pStyle w:val="TableContents"/>
              <w:spacing w:before="0" w:after="0"/>
              <w:ind w:left="0" w:right="0" w:firstLine="30"/>
              <w:jc w:val="left"/>
              <w:rPr/>
            </w:pPr>
            <w:r>
              <w:rPr/>
              <w:t> </w:t>
            </w:r>
          </w:p>
        </w:tc>
        <w:tc>
          <w:tcPr>
            <w:tcW w:w="150" w:type="dxa"/>
            <w:tcBorders/>
            <w:shd w:fill="CCEEFF" w:val="clear"/>
            <w:vAlign w:val="center"/>
          </w:tcPr>
          <w:p>
            <w:pPr>
              <w:pStyle w:val="TableContents"/>
              <w:spacing w:before="0" w:after="0"/>
              <w:ind w:left="0" w:right="0" w:firstLine="30"/>
              <w:rPr/>
            </w:pPr>
            <w:r>
              <w:rPr/>
              <w:t> </w:t>
            </w:r>
          </w:p>
        </w:tc>
        <w:tc>
          <w:tcPr>
            <w:tcW w:w="2162" w:type="dxa"/>
            <w:gridSpan w:val="3"/>
            <w:tcBorders/>
            <w:shd w:fill="CCEEFF" w:val="clear"/>
            <w:vAlign w:val="center"/>
          </w:tcPr>
          <w:p>
            <w:pPr>
              <w:pStyle w:val="TableContents"/>
              <w:spacing w:before="0" w:after="0"/>
              <w:ind w:left="0" w:right="0" w:firstLine="420"/>
              <w:jc w:val="left"/>
              <w:rPr/>
            </w:pPr>
            <w:r>
              <w:rPr/>
              <w:t> </w:t>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maturities of long-term debt</w:t>
            </w:r>
          </w:p>
        </w:tc>
        <w:tc>
          <w:tcPr>
            <w:tcW w:w="16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357" w:type="dxa"/>
            <w:tcBorders/>
            <w:shd w:fill="auto" w:val="clear"/>
            <w:vAlign w:val="center"/>
          </w:tcPr>
          <w:p>
            <w:pPr>
              <w:pStyle w:val="TableContents"/>
              <w:spacing w:before="0" w:after="0"/>
              <w:jc w:val="right"/>
              <w:rPr>
                <w:rFonts w:ascii="inherit" w:hAnsi="inherit"/>
                <w:sz w:val="15"/>
              </w:rPr>
            </w:pPr>
            <w:r>
              <w:rPr>
                <w:rFonts w:ascii="inherit" w:hAnsi="inherit"/>
                <w:sz w:val="15"/>
              </w:rPr>
              <w:t>21,085</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6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234" w:type="dxa"/>
            <w:tcBorders/>
            <w:shd w:fill="auto" w:val="clear"/>
            <w:vAlign w:val="center"/>
          </w:tcPr>
          <w:p>
            <w:pPr>
              <w:pStyle w:val="TableContents"/>
              <w:spacing w:before="0" w:after="0"/>
              <w:jc w:val="right"/>
              <w:rPr/>
            </w:pPr>
            <w:r>
              <w:rPr/>
              <w:t>—</w:t>
            </w:r>
          </w:p>
        </w:tc>
        <w:tc>
          <w:tcPr>
            <w:tcW w:w="76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Current capital lease obligations</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594</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pPr>
            <w:r>
              <w:rPr/>
              <w:t>—</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and other accrued expenses</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78,925</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57,400</w:t>
            </w:r>
          </w:p>
        </w:tc>
        <w:tc>
          <w:tcPr>
            <w:tcW w:w="76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7,238</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6,176</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taxes payable</w:t>
            </w:r>
          </w:p>
        </w:tc>
        <w:tc>
          <w:tcPr>
            <w:tcW w:w="152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693</w:t>
            </w:r>
          </w:p>
        </w:tc>
        <w:tc>
          <w:tcPr>
            <w:tcW w:w="760"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107,842</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64,269</w:t>
            </w:r>
          </w:p>
        </w:tc>
        <w:tc>
          <w:tcPr>
            <w:tcW w:w="760"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less current maturities</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198,836</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17,500</w:t>
            </w:r>
          </w:p>
        </w:tc>
        <w:tc>
          <w:tcPr>
            <w:tcW w:w="76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Long-term capital lease obligation</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995</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pPr>
            <w:r>
              <w:rPr/>
              <w:t>—</w:t>
            </w:r>
          </w:p>
        </w:tc>
        <w:tc>
          <w:tcPr>
            <w:tcW w:w="76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tax liability</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7,922</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8,331</w:t>
            </w:r>
          </w:p>
        </w:tc>
        <w:tc>
          <w:tcPr>
            <w:tcW w:w="76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gains and other long-term liabilities</w:t>
            </w:r>
          </w:p>
        </w:tc>
        <w:tc>
          <w:tcPr>
            <w:tcW w:w="15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13,903</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2,102</w:t>
            </w:r>
          </w:p>
        </w:tc>
        <w:tc>
          <w:tcPr>
            <w:tcW w:w="760"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rPr>
                <w:sz w:val="15"/>
              </w:rPr>
            </w:pPr>
            <w:r>
              <w:rPr>
                <w:rFonts w:ascii="inherit" w:hAnsi="inherit"/>
                <w:sz w:val="13"/>
              </w:rPr>
              <w:t>Total liabilities</w:t>
            </w:r>
            <w:r>
              <w:rPr>
                <w:sz w:val="15"/>
              </w:rPr>
              <w:t> </w:t>
            </w:r>
            <w:r>
              <w:rPr>
                <w:rFonts w:ascii="inherit" w:hAnsi="inherit"/>
                <w:sz w:val="15"/>
              </w:rPr>
              <w:t>(2)</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329,498</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92,202</w:t>
            </w:r>
          </w:p>
        </w:tc>
        <w:tc>
          <w:tcPr>
            <w:tcW w:w="760" w:type="dxa"/>
            <w:tcBorders>
              <w:top w:val="single" w:sz="2" w:space="0" w:color="000000"/>
            </w:tcBorders>
            <w:shd w:fill="auto"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Commitments and contingencies</w:t>
            </w:r>
          </w:p>
        </w:tc>
        <w:tc>
          <w:tcPr>
            <w:tcW w:w="1693" w:type="dxa"/>
            <w:gridSpan w:val="3"/>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r>
          </w:p>
        </w:tc>
        <w:tc>
          <w:tcPr>
            <w:tcW w:w="150" w:type="dxa"/>
            <w:tcBorders/>
            <w:shd w:fill="CCEEFF" w:val="clear"/>
            <w:vAlign w:val="center"/>
          </w:tcPr>
          <w:p>
            <w:pPr>
              <w:pStyle w:val="TableContents"/>
              <w:spacing w:before="0" w:after="0"/>
              <w:ind w:left="0" w:right="0" w:firstLine="30"/>
              <w:rPr/>
            </w:pPr>
            <w:r>
              <w:rPr/>
              <w:t> </w:t>
            </w:r>
          </w:p>
        </w:tc>
        <w:tc>
          <w:tcPr>
            <w:tcW w:w="2162" w:type="dxa"/>
            <w:gridSpan w:val="3"/>
            <w:tcBorders/>
            <w:shd w:fill="CCEEFF" w:val="clear"/>
            <w:vAlign w:val="center"/>
          </w:tcPr>
          <w:p>
            <w:pPr>
              <w:pStyle w:val="TableContents"/>
              <w:spacing w:before="0" w:after="0"/>
              <w:ind w:left="0" w:right="0" w:firstLine="180"/>
              <w:rPr>
                <w:rFonts w:ascii="inherit" w:hAnsi="inherit"/>
                <w:sz w:val="15"/>
              </w:rPr>
            </w:pPr>
            <w:r>
              <w:rPr>
                <w:rFonts w:ascii="inherit" w:hAnsi="inherit"/>
                <w:sz w:val="15"/>
              </w:rPr>
            </w:r>
          </w:p>
        </w:tc>
      </w:tr>
      <w:tr>
        <w:trPr/>
        <w:tc>
          <w:tcPr>
            <w:tcW w:w="6200"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Temporary equity:</w:t>
            </w:r>
          </w:p>
        </w:tc>
        <w:tc>
          <w:tcPr>
            <w:tcW w:w="1693"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2162" w:type="dxa"/>
            <w:gridSpan w:val="3"/>
            <w:tcBorders/>
            <w:shd w:fill="auto" w:val="clear"/>
            <w:vAlign w:val="center"/>
          </w:tcPr>
          <w:p>
            <w:pPr>
              <w:pStyle w:val="TableContents"/>
              <w:spacing w:before="0" w:after="0"/>
              <w:ind w:left="0" w:right="0" w:firstLine="420"/>
              <w:rPr/>
            </w:pPr>
            <w:r>
              <w:rPr/>
              <w:t> </w:t>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Redeemable noncontrolling interest</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53,681</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pPr>
            <w:r>
              <w:rPr/>
              <w:t>—</w:t>
            </w:r>
          </w:p>
        </w:tc>
        <w:tc>
          <w:tcPr>
            <w:tcW w:w="76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Stockholders’ equity:</w:t>
            </w:r>
          </w:p>
        </w:tc>
        <w:tc>
          <w:tcPr>
            <w:tcW w:w="1693"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2162" w:type="dxa"/>
            <w:gridSpan w:val="3"/>
            <w:tcBorders/>
            <w:shd w:fill="auto" w:val="clear"/>
            <w:vAlign w:val="center"/>
          </w:tcPr>
          <w:p>
            <w:pPr>
              <w:pStyle w:val="TableContents"/>
              <w:spacing w:before="0" w:after="0"/>
              <w:ind w:left="0" w:right="0" w:firstLine="420"/>
              <w:jc w:val="left"/>
              <w:rPr/>
            </w:pPr>
            <w:r>
              <w:rPr/>
              <w:t> </w:t>
            </w:r>
          </w:p>
        </w:tc>
      </w:tr>
      <w:tr>
        <w:trPr/>
        <w:tc>
          <w:tcPr>
            <w:tcW w:w="6200"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Class A Non-voting Common Stock, par value $.01 per share; authorized 54 million shares; 48,255,536 issued and outstanding in 2012; 47,228,610 issued and outstanding in 2011</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482</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471</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Class B Voting Common Stock, convertible, par value $.01 per share; 3 million shares authorized; issued and outstanding: 2,970,171</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w:t>
            </w:r>
          </w:p>
        </w:tc>
        <w:tc>
          <w:tcPr>
            <w:tcW w:w="76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15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268,626</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242,398</w:t>
            </w:r>
          </w:p>
        </w:tc>
        <w:tc>
          <w:tcPr>
            <w:tcW w:w="76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Retained earnings</w:t>
            </w:r>
          </w:p>
        </w:tc>
        <w:tc>
          <w:tcPr>
            <w:tcW w:w="15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565,803</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422,095</w:t>
            </w:r>
          </w:p>
        </w:tc>
        <w:tc>
          <w:tcPr>
            <w:tcW w:w="76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Accumulated other comprehensive loss</w:t>
            </w:r>
          </w:p>
        </w:tc>
        <w:tc>
          <w:tcPr>
            <w:tcW w:w="15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(746</w:t>
            </w:r>
          </w:p>
        </w:tc>
        <w:tc>
          <w:tcPr>
            <w:tcW w:w="760" w:type="dxa"/>
            <w:tcBorders>
              <w:bottom w:val="single" w:sz="2" w:space="0" w:color="000000"/>
            </w:tcBorders>
            <w:shd w:fill="CCEEFF" w:val="clear"/>
            <w:tcMar>
              <w:bottom w:w="30" w:type="dxa"/>
            </w:tcMar>
            <w:vAlign w:val="center"/>
          </w:tcPr>
          <w:p>
            <w:pPr>
              <w:pStyle w:val="TableContents"/>
              <w:spacing w:before="0" w:after="0"/>
              <w:ind w:left="0" w:right="0" w:firstLine="660"/>
              <w:jc w:val="left"/>
              <w:rPr>
                <w:rFonts w:ascii="inherit" w:hAnsi="inherit"/>
                <w:sz w:val="15"/>
              </w:rPr>
            </w:pPr>
            <w:r>
              <w:rPr>
                <w:rFonts w:ascii="inherit" w:hAnsi="inherit"/>
                <w:sz w:val="15"/>
              </w:rPr>
              <w:t>)</w:t>
            </w:r>
          </w:p>
        </w:tc>
      </w:tr>
      <w:tr>
        <w:trPr/>
        <w:tc>
          <w:tcPr>
            <w:tcW w:w="6200"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EZCORP, Inc. stockholders’ equity</w:t>
            </w:r>
          </w:p>
        </w:tc>
        <w:tc>
          <w:tcPr>
            <w:tcW w:w="15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834,828</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664,248</w:t>
            </w:r>
          </w:p>
        </w:tc>
        <w:tc>
          <w:tcPr>
            <w:tcW w:w="76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16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35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1,218,007</w:t>
            </w:r>
          </w:p>
        </w:tc>
        <w:tc>
          <w:tcPr>
            <w:tcW w:w="16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2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756,450</w:t>
            </w:r>
          </w:p>
        </w:tc>
        <w:tc>
          <w:tcPr>
            <w:tcW w:w="7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3"/>
          <w:u w:val="single"/>
        </w:rPr>
      </w:pPr>
      <w:r>
        <w:rPr>
          <w:rFonts w:ascii="inherit" w:hAnsi="inherit"/>
          <w:b/>
          <w:sz w:val="13"/>
          <w:u w:val="single"/>
        </w:rPr>
        <w:t>Assets and Liabilities of Crediamigo Securitization Trust</w:t>
      </w:r>
    </w:p>
    <w:p>
      <w:pPr>
        <w:pStyle w:val="TextBody"/>
        <w:spacing w:lineRule="auto" w:line="288" w:before="0" w:after="0"/>
        <w:jc w:val="left"/>
        <w:rPr>
          <w:sz w:val="13"/>
        </w:rPr>
      </w:pPr>
      <w:r>
        <w:rPr>
          <w:rFonts w:ascii="inherit" w:hAnsi="inherit"/>
          <w:sz w:val="13"/>
        </w:rPr>
        <w:t xml:space="preserve">(1) Our consolidated assets as of September 30, 2012, include the following assets of the Crediamigo securitization trust that can only be used to settle its liabilities: Restricted cash, </w:t>
      </w:r>
      <w:r>
        <w:rPr>
          <w:rFonts w:ascii="inherit" w:hAnsi="inherit"/>
          <w:strike w:val="false"/>
          <w:dstrike w:val="false"/>
          <w:color w:val="000000"/>
          <w:sz w:val="13"/>
          <w:u w:val="none"/>
          <w:effect w:val="none"/>
        </w:rPr>
        <w:t>$4.3 million</w:t>
      </w:r>
      <w:r>
        <w:rPr>
          <w:rFonts w:ascii="inherit" w:hAnsi="inherit"/>
          <w:sz w:val="13"/>
        </w:rPr>
        <w:t xml:space="preserve">; Consumer loans, net, </w:t>
      </w:r>
      <w:r>
        <w:rPr>
          <w:rFonts w:ascii="inherit" w:hAnsi="inherit"/>
          <w:strike w:val="false"/>
          <w:dstrike w:val="false"/>
          <w:color w:val="000000"/>
          <w:sz w:val="13"/>
          <w:u w:val="none"/>
          <w:effect w:val="none"/>
        </w:rPr>
        <w:t>$33.6 million</w:t>
      </w:r>
      <w:r>
        <w:rPr>
          <w:rFonts w:ascii="inherit" w:hAnsi="inherit"/>
          <w:sz w:val="13"/>
        </w:rPr>
        <w:t xml:space="preserve">; Consumer loan fees receivable, net, </w:t>
      </w:r>
      <w:r>
        <w:rPr>
          <w:rFonts w:ascii="inherit" w:hAnsi="inherit"/>
          <w:strike w:val="false"/>
          <w:dstrike w:val="false"/>
          <w:color w:val="000000"/>
          <w:sz w:val="13"/>
          <w:u w:val="none"/>
          <w:effect w:val="none"/>
        </w:rPr>
        <w:t>$7.7 million</w:t>
      </w:r>
      <w:r>
        <w:rPr>
          <w:rFonts w:ascii="inherit" w:hAnsi="inherit"/>
          <w:sz w:val="13"/>
        </w:rPr>
        <w:t xml:space="preserve">; Intangible assets, net </w:t>
      </w:r>
      <w:r>
        <w:rPr>
          <w:rFonts w:ascii="inherit" w:hAnsi="inherit"/>
          <w:strike w:val="false"/>
          <w:dstrike w:val="false"/>
          <w:color w:val="000000"/>
          <w:sz w:val="13"/>
          <w:u w:val="none"/>
          <w:effect w:val="none"/>
        </w:rPr>
        <w:t>$2.6 million</w:t>
      </w:r>
      <w:r>
        <w:rPr>
          <w:sz w:val="13"/>
        </w:rPr>
        <w:t xml:space="preserve"> </w:t>
      </w:r>
      <w:r>
        <w:rPr>
          <w:rFonts w:ascii="inherit" w:hAnsi="inherit"/>
          <w:sz w:val="13"/>
        </w:rPr>
        <w:t xml:space="preserve">and total assets, </w:t>
      </w:r>
      <w:r>
        <w:rPr>
          <w:rFonts w:ascii="inherit" w:hAnsi="inherit"/>
          <w:strike w:val="false"/>
          <w:dstrike w:val="false"/>
          <w:color w:val="000000"/>
          <w:sz w:val="13"/>
          <w:u w:val="none"/>
          <w:effect w:val="none"/>
        </w:rPr>
        <w:t>$48.2 million</w:t>
      </w:r>
      <w:r>
        <w:rPr>
          <w:rFonts w:ascii="inherit" w:hAnsi="inherit"/>
          <w:sz w:val="13"/>
        </w:rPr>
        <w:t xml:space="preserve">. </w:t>
      </w:r>
    </w:p>
    <w:p>
      <w:pPr>
        <w:pStyle w:val="TextBody"/>
        <w:spacing w:lineRule="auto" w:line="288" w:before="0" w:after="0"/>
        <w:jc w:val="left"/>
        <w:rPr>
          <w:sz w:val="13"/>
        </w:rPr>
      </w:pPr>
      <w:r>
        <w:rPr>
          <w:rFonts w:ascii="inherit" w:hAnsi="inherit"/>
          <w:sz w:val="13"/>
        </w:rPr>
        <w:t xml:space="preserve">(2) Our consolidated liabilities as of September 30, 2012, include </w:t>
      </w:r>
      <w:r>
        <w:rPr>
          <w:rFonts w:ascii="inherit" w:hAnsi="inherit"/>
          <w:strike w:val="false"/>
          <w:dstrike w:val="false"/>
          <w:color w:val="000000"/>
          <w:sz w:val="13"/>
          <w:u w:val="none"/>
          <w:effect w:val="none"/>
        </w:rPr>
        <w:t>$32.7 million</w:t>
      </w:r>
      <w:r>
        <w:rPr>
          <w:sz w:val="13"/>
        </w:rPr>
        <w:t xml:space="preserve"> </w:t>
      </w:r>
      <w:r>
        <w:rPr>
          <w:rFonts w:ascii="inherit" w:hAnsi="inherit"/>
          <w:sz w:val="13"/>
        </w:rPr>
        <w:t>of long-term debt for which the creditors of the Crediamigo securitization trust do not have recourse to EZCORP, Inc.</w:t>
      </w:r>
    </w:p>
    <w:p>
      <w:pPr>
        <w:pStyle w:val="TextBody"/>
        <w:spacing w:lineRule="auto" w:line="288" w:before="0" w:after="0"/>
        <w:jc w:val="left"/>
        <w:rPr>
          <w:rFonts w:ascii="inherit" w:hAnsi="inherit"/>
          <w:i/>
          <w:sz w:val="17"/>
        </w:rPr>
      </w:pPr>
      <w:r>
        <w:rPr>
          <w:rFonts w:ascii="inherit" w:hAnsi="inherit"/>
          <w:i/>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rPr/>
      </w:pPr>
      <w:hyperlink w:anchor="s149FCBE28F3900CCBC1E0F13F39FAE0B">
        <w:bookmarkStart w:id="49" w:name="s68B3A43650A2C3152DC90F13B9D565E9"/>
        <w:bookmarkEnd w:id="49"/>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912"/>
        <w:gridCol w:w="162"/>
        <w:gridCol w:w="1171"/>
        <w:gridCol w:w="162"/>
        <w:gridCol w:w="144"/>
        <w:gridCol w:w="162"/>
        <w:gridCol w:w="1171"/>
        <w:gridCol w:w="162"/>
        <w:gridCol w:w="144"/>
        <w:gridCol w:w="162"/>
        <w:gridCol w:w="1171"/>
        <w:gridCol w:w="682"/>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STATEMENTS OF OPERATIONS</w:t>
            </w:r>
          </w:p>
        </w:tc>
      </w:tr>
      <w:tr>
        <w:trPr/>
        <w:tc>
          <w:tcPr>
            <w:tcW w:w="491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12" w:type="dxa"/>
            <w:tcBorders/>
            <w:shd w:fill="auto" w:val="clear"/>
            <w:vAlign w:val="center"/>
          </w:tcPr>
          <w:p>
            <w:pPr>
              <w:pStyle w:val="TableContents"/>
              <w:spacing w:before="0" w:after="0"/>
              <w:ind w:left="0" w:right="0" w:firstLine="30"/>
              <w:jc w:val="left"/>
              <w:rPr/>
            </w:pPr>
            <w:r>
              <w:rPr/>
              <w:t> </w:t>
            </w:r>
          </w:p>
        </w:tc>
        <w:tc>
          <w:tcPr>
            <w:tcW w:w="529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r>
      <w:tr>
        <w:trPr/>
        <w:tc>
          <w:tcPr>
            <w:tcW w:w="4912" w:type="dxa"/>
            <w:tcBorders/>
            <w:shd w:fill="auto" w:val="clear"/>
            <w:vAlign w:val="center"/>
          </w:tcPr>
          <w:p>
            <w:pPr>
              <w:pStyle w:val="TableContents"/>
              <w:spacing w:before="0" w:after="0"/>
              <w:ind w:left="0" w:right="0" w:firstLine="30"/>
              <w:jc w:val="left"/>
              <w:rPr/>
            </w:pPr>
            <w:r>
              <w:rPr/>
              <w:t> </w:t>
            </w:r>
          </w:p>
        </w:tc>
        <w:tc>
          <w:tcPr>
            <w:tcW w:w="14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14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4" w:type="dxa"/>
            <w:tcBorders/>
            <w:shd w:fill="auto" w:val="clear"/>
            <w:vAlign w:val="center"/>
          </w:tcPr>
          <w:p>
            <w:pPr>
              <w:pStyle w:val="TableContents"/>
              <w:spacing w:before="0" w:after="0"/>
              <w:ind w:left="0" w:right="0" w:firstLine="30"/>
              <w:rPr/>
            </w:pPr>
            <w:r>
              <w:rPr/>
              <w:t> </w:t>
            </w:r>
          </w:p>
        </w:tc>
        <w:tc>
          <w:tcPr>
            <w:tcW w:w="20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4912" w:type="dxa"/>
            <w:tcBorders/>
            <w:shd w:fill="auto" w:val="clear"/>
            <w:vAlign w:val="center"/>
          </w:tcPr>
          <w:p>
            <w:pPr>
              <w:pStyle w:val="TableContents"/>
              <w:spacing w:before="0" w:after="0"/>
              <w:ind w:left="0" w:right="0" w:firstLine="30"/>
              <w:jc w:val="left"/>
              <w:rPr/>
            </w:pPr>
            <w:r>
              <w:rPr/>
              <w:t> </w:t>
            </w:r>
          </w:p>
        </w:tc>
        <w:tc>
          <w:tcPr>
            <w:tcW w:w="5293"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Revenues:</w:t>
            </w:r>
          </w:p>
        </w:tc>
        <w:tc>
          <w:tcPr>
            <w:tcW w:w="5293" w:type="dxa"/>
            <w:gridSpan w:val="11"/>
            <w:tcBorders/>
            <w:shd w:fill="CCEEFF" w:val="clear"/>
            <w:vAlign w:val="center"/>
          </w:tcPr>
          <w:p>
            <w:pPr>
              <w:pStyle w:val="TableContents"/>
              <w:spacing w:before="0" w:after="0"/>
              <w:ind w:left="0" w:right="0" w:firstLine="180"/>
              <w:jc w:val="center"/>
              <w:rPr/>
            </w:pPr>
            <w:r>
              <w:rPr/>
              <w:t> </w:t>
            </w:r>
            <w:r>
              <w:rPr>
                <w:rFonts w:ascii="inherit" w:hAnsi="inherit"/>
                <w:sz w:val="13"/>
              </w:rPr>
              <w:t>Revised Note 2. "Discontinued Operations"</w:t>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Merchandise sales</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auto" w:val="clear"/>
            <w:vAlign w:val="center"/>
          </w:tcPr>
          <w:p>
            <w:pPr>
              <w:pStyle w:val="TableContents"/>
              <w:spacing w:before="0" w:after="0"/>
              <w:jc w:val="right"/>
              <w:rPr>
                <w:rFonts w:ascii="inherit" w:hAnsi="inherit"/>
                <w:sz w:val="13"/>
              </w:rPr>
            </w:pPr>
            <w:r>
              <w:rPr>
                <w:rFonts w:ascii="inherit" w:hAnsi="inherit"/>
                <w:sz w:val="13"/>
              </w:rPr>
              <w:t>333,064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auto" w:val="clear"/>
            <w:vAlign w:val="center"/>
          </w:tcPr>
          <w:p>
            <w:pPr>
              <w:pStyle w:val="TableContents"/>
              <w:spacing w:before="0" w:after="0"/>
              <w:jc w:val="right"/>
              <w:rPr>
                <w:rFonts w:ascii="inherit" w:hAnsi="inherit"/>
                <w:sz w:val="13"/>
              </w:rPr>
            </w:pPr>
            <w:r>
              <w:rPr>
                <w:rFonts w:ascii="inherit" w:hAnsi="inherit"/>
                <w:sz w:val="13"/>
              </w:rPr>
              <w:t>281,716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auto" w:val="clear"/>
            <w:vAlign w:val="center"/>
          </w:tcPr>
          <w:p>
            <w:pPr>
              <w:pStyle w:val="TableContents"/>
              <w:spacing w:before="0" w:after="0"/>
              <w:jc w:val="right"/>
              <w:rPr>
                <w:rFonts w:ascii="inherit" w:hAnsi="inherit"/>
                <w:sz w:val="13"/>
              </w:rPr>
            </w:pPr>
            <w:r>
              <w:rPr>
                <w:rFonts w:ascii="inherit" w:hAnsi="inherit"/>
                <w:sz w:val="13"/>
              </w:rPr>
              <w:t>240,341</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Jewelry scrapping sales</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202,481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204,858</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168,926</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233,538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199,746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163,279</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Consumer loan fees</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200,681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164,895</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152,163</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Other revenues</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5,359</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1,583</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459</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revenues</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975,123</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852,798</w:t>
            </w:r>
          </w:p>
        </w:tc>
        <w:tc>
          <w:tcPr>
            <w:tcW w:w="16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725,168</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Merchandise cost of goods sold</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190,637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161,834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140,128</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Jewelry scrapping cost of goods sold</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130,715</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127,870</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108,816</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Consumer loan bad debt</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39,370</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36,791</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32,969</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revenues</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614,401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526,303</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443,255</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expenses:</w:t>
            </w:r>
          </w:p>
        </w:tc>
        <w:tc>
          <w:tcPr>
            <w:tcW w:w="1495" w:type="dxa"/>
            <w:gridSpan w:val="3"/>
            <w:tcBorders/>
            <w:shd w:fill="auto" w:val="clear"/>
            <w:vAlign w:val="center"/>
          </w:tcPr>
          <w:p>
            <w:pPr>
              <w:pStyle w:val="TableContents"/>
              <w:spacing w:before="0" w:after="0"/>
              <w:ind w:left="0" w:right="0" w:firstLine="30"/>
              <w:jc w:val="left"/>
              <w:rPr/>
            </w:pPr>
            <w:r>
              <w:rPr/>
              <w:t> </w:t>
            </w:r>
          </w:p>
        </w:tc>
        <w:tc>
          <w:tcPr>
            <w:tcW w:w="144"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jc w:val="left"/>
              <w:rPr/>
            </w:pPr>
            <w:r>
              <w:rPr/>
              <w:t> </w:t>
            </w:r>
          </w:p>
        </w:tc>
        <w:tc>
          <w:tcPr>
            <w:tcW w:w="144" w:type="dxa"/>
            <w:tcBorders/>
            <w:shd w:fill="auto" w:val="clear"/>
            <w:vAlign w:val="center"/>
          </w:tcPr>
          <w:p>
            <w:pPr>
              <w:pStyle w:val="TableContents"/>
              <w:spacing w:before="0" w:after="0"/>
              <w:ind w:left="0" w:right="0" w:firstLine="30"/>
              <w:rPr/>
            </w:pPr>
            <w:r>
              <w:rPr/>
              <w:t> </w:t>
            </w:r>
          </w:p>
        </w:tc>
        <w:tc>
          <w:tcPr>
            <w:tcW w:w="2015" w:type="dxa"/>
            <w:gridSpan w:val="3"/>
            <w:tcBorders/>
            <w:shd w:fill="auto" w:val="clear"/>
            <w:vAlign w:val="center"/>
          </w:tcPr>
          <w:p>
            <w:pPr>
              <w:pStyle w:val="TableContents"/>
              <w:spacing w:before="0" w:after="0"/>
              <w:ind w:left="0" w:right="0" w:firstLine="180"/>
              <w:jc w:val="left"/>
              <w:rPr/>
            </w:pPr>
            <w:r>
              <w:rPr/>
              <w:t> </w:t>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Operations</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336,348</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282,395</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250,925</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Administrative</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47,912</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50,584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33,358</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Depreciation</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22,011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16,756</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13,682</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Amortization</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1,956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834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622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(Gain) loss on sale or disposal of assets</w:t>
            </w:r>
          </w:p>
        </w:tc>
        <w:tc>
          <w:tcPr>
            <w:tcW w:w="13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(27</w:t>
            </w:r>
          </w:p>
        </w:tc>
        <w:tc>
          <w:tcPr>
            <w:tcW w:w="1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293</w:t>
            </w:r>
          </w:p>
        </w:tc>
        <w:tc>
          <w:tcPr>
            <w:tcW w:w="16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1,527</w:t>
            </w:r>
          </w:p>
        </w:tc>
        <w:tc>
          <w:tcPr>
            <w:tcW w:w="682"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operating expenses</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408,200</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350,862</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300,114</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income</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206,201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175,441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143,141</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Interest (income) expense</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(1,550</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1,653</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1,199</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Equity in net income of unconsolidated affiliates</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(17,400</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(16,237</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(10,750</w:t>
            </w:r>
          </w:p>
        </w:tc>
        <w:tc>
          <w:tcPr>
            <w:tcW w:w="6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Other income</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(1,211</w:t>
            </w:r>
          </w:p>
        </w:tc>
        <w:tc>
          <w:tcPr>
            <w:tcW w:w="1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(164</w:t>
            </w:r>
          </w:p>
        </w:tc>
        <w:tc>
          <w:tcPr>
            <w:tcW w:w="1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(93</w:t>
            </w:r>
          </w:p>
        </w:tc>
        <w:tc>
          <w:tcPr>
            <w:tcW w:w="68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Income from continuing operations before income taxes</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226,362</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190,189</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152,785</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expense</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71,252</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66,472</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54,142</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Income from continuing operations, net of tax</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155,110</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123,717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98,643</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Loss from discontinued operations, net of tax</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(4,533</w:t>
            </w:r>
          </w:p>
        </w:tc>
        <w:tc>
          <w:tcPr>
            <w:tcW w:w="1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(1,558</w:t>
            </w:r>
          </w:p>
        </w:tc>
        <w:tc>
          <w:tcPr>
            <w:tcW w:w="1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(1,349</w:t>
            </w:r>
          </w:p>
        </w:tc>
        <w:tc>
          <w:tcPr>
            <w:tcW w:w="68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income</w:t>
            </w:r>
          </w:p>
        </w:tc>
        <w:tc>
          <w:tcPr>
            <w:tcW w:w="13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150,577</w:t>
            </w:r>
          </w:p>
        </w:tc>
        <w:tc>
          <w:tcPr>
            <w:tcW w:w="16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122,159</w:t>
            </w:r>
          </w:p>
        </w:tc>
        <w:tc>
          <w:tcPr>
            <w:tcW w:w="16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97,294</w:t>
            </w:r>
          </w:p>
        </w:tc>
        <w:tc>
          <w:tcPr>
            <w:tcW w:w="68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Net income from continuing operations attributable to redeemable noncontrolling interest</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6,869</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income attributable to EZCORP, Inc.</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143,708</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122,159</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97,294</w:t>
            </w:r>
          </w:p>
        </w:tc>
        <w:tc>
          <w:tcPr>
            <w:tcW w:w="68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2015" w:type="dxa"/>
            <w:gridSpan w:val="3"/>
            <w:tcBorders/>
            <w:shd w:fill="auto" w:val="clear"/>
            <w:vAlign w:val="center"/>
          </w:tcPr>
          <w:p>
            <w:pPr>
              <w:pStyle w:val="TableContents"/>
              <w:spacing w:before="0" w:after="0"/>
              <w:ind w:left="0" w:right="0" w:firstLine="30"/>
              <w:rPr/>
            </w:pPr>
            <w:r>
              <w:rPr/>
              <w:t> </w:t>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Basic earnings (loss) per share attributable to EZCORP, Inc.:</w:t>
            </w:r>
          </w:p>
        </w:tc>
        <w:tc>
          <w:tcPr>
            <w:tcW w:w="1495"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495"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2015" w:type="dxa"/>
            <w:gridSpan w:val="3"/>
            <w:tcBorders/>
            <w:shd w:fill="CCEEFF" w:val="clear"/>
            <w:vAlign w:val="center"/>
          </w:tcPr>
          <w:p>
            <w:pPr>
              <w:pStyle w:val="TableContents"/>
              <w:spacing w:before="0" w:after="0"/>
              <w:ind w:left="0" w:right="0" w:firstLine="420"/>
              <w:rPr/>
            </w:pPr>
            <w:r>
              <w:rPr/>
              <w:t> </w:t>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 xml:space="preserve">Continuing operations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auto" w:val="clear"/>
            <w:vAlign w:val="center"/>
          </w:tcPr>
          <w:p>
            <w:pPr>
              <w:pStyle w:val="TableContents"/>
              <w:spacing w:before="0" w:after="0"/>
              <w:jc w:val="right"/>
              <w:rPr>
                <w:rFonts w:ascii="inherit" w:hAnsi="inherit"/>
                <w:sz w:val="13"/>
              </w:rPr>
            </w:pPr>
            <w:r>
              <w:rPr>
                <w:rFonts w:ascii="inherit" w:hAnsi="inherit"/>
                <w:sz w:val="13"/>
              </w:rPr>
              <w:t>2.91</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auto" w:val="clear"/>
            <w:vAlign w:val="center"/>
          </w:tcPr>
          <w:p>
            <w:pPr>
              <w:pStyle w:val="TableContents"/>
              <w:spacing w:before="0" w:after="0"/>
              <w:jc w:val="right"/>
              <w:rPr>
                <w:rFonts w:ascii="inherit" w:hAnsi="inherit"/>
                <w:sz w:val="13"/>
              </w:rPr>
            </w:pPr>
            <w:r>
              <w:rPr>
                <w:rFonts w:ascii="inherit" w:hAnsi="inherit"/>
                <w:sz w:val="13"/>
              </w:rPr>
              <w:t>2.48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auto" w:val="clear"/>
            <w:vAlign w:val="center"/>
          </w:tcPr>
          <w:p>
            <w:pPr>
              <w:pStyle w:val="TableContents"/>
              <w:spacing w:before="0" w:after="0"/>
              <w:jc w:val="right"/>
              <w:rPr>
                <w:rFonts w:ascii="inherit" w:hAnsi="inherit"/>
                <w:sz w:val="13"/>
              </w:rPr>
            </w:pPr>
            <w:r>
              <w:rPr>
                <w:rFonts w:ascii="inherit" w:hAnsi="inherit"/>
                <w:sz w:val="13"/>
              </w:rPr>
              <w:t>2.01</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(0.09</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(0.03</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(0.03</w:t>
            </w:r>
          </w:p>
        </w:tc>
        <w:tc>
          <w:tcPr>
            <w:tcW w:w="682"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Basic earnings per share</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2.82</w:t>
            </w:r>
          </w:p>
        </w:tc>
        <w:tc>
          <w:tcPr>
            <w:tcW w:w="1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2.45</w:t>
            </w:r>
          </w:p>
        </w:tc>
        <w:tc>
          <w:tcPr>
            <w:tcW w:w="1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1.98</w:t>
            </w:r>
          </w:p>
        </w:tc>
        <w:tc>
          <w:tcPr>
            <w:tcW w:w="68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rPr/>
            </w:pPr>
            <w:r>
              <w:rPr/>
              <w:t> </w:t>
            </w:r>
          </w:p>
        </w:tc>
        <w:tc>
          <w:tcPr>
            <w:tcW w:w="1495"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495"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2015" w:type="dxa"/>
            <w:gridSpan w:val="3"/>
            <w:tcBorders/>
            <w:shd w:fill="CCEEFF" w:val="clear"/>
            <w:vAlign w:val="center"/>
          </w:tcPr>
          <w:p>
            <w:pPr>
              <w:pStyle w:val="TableContents"/>
              <w:spacing w:before="0" w:after="0"/>
              <w:ind w:left="0" w:right="0" w:firstLine="30"/>
              <w:rPr/>
            </w:pPr>
            <w:r>
              <w:rPr/>
              <w:t> </w:t>
            </w:r>
          </w:p>
        </w:tc>
      </w:tr>
      <w:tr>
        <w:trPr/>
        <w:tc>
          <w:tcPr>
            <w:tcW w:w="4912"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Diluted earnings (loss) per share attributable to EZCORP, Inc.:</w:t>
            </w:r>
          </w:p>
        </w:tc>
        <w:tc>
          <w:tcPr>
            <w:tcW w:w="1495"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2015" w:type="dxa"/>
            <w:gridSpan w:val="3"/>
            <w:tcBorders/>
            <w:shd w:fill="auto" w:val="clear"/>
            <w:vAlign w:val="center"/>
          </w:tcPr>
          <w:p>
            <w:pPr>
              <w:pStyle w:val="TableContents"/>
              <w:spacing w:before="0" w:after="0"/>
              <w:ind w:left="0" w:right="0" w:firstLine="420"/>
              <w:rPr/>
            </w:pPr>
            <w:r>
              <w:rPr/>
              <w:t> </w:t>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Continuing operations</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CCEEFF" w:val="clear"/>
            <w:vAlign w:val="center"/>
          </w:tcPr>
          <w:p>
            <w:pPr>
              <w:pStyle w:val="TableContents"/>
              <w:spacing w:before="0" w:after="0"/>
              <w:jc w:val="right"/>
              <w:rPr>
                <w:rFonts w:ascii="inherit" w:hAnsi="inherit"/>
                <w:sz w:val="13"/>
              </w:rPr>
            </w:pPr>
            <w:r>
              <w:rPr>
                <w:rFonts w:ascii="inherit" w:hAnsi="inherit"/>
                <w:sz w:val="13"/>
              </w:rPr>
              <w:t>2.90</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CCEEFF" w:val="clear"/>
            <w:vAlign w:val="center"/>
          </w:tcPr>
          <w:p>
            <w:pPr>
              <w:pStyle w:val="TableContents"/>
              <w:spacing w:before="0" w:after="0"/>
              <w:jc w:val="right"/>
              <w:rPr>
                <w:rFonts w:ascii="inherit" w:hAnsi="inherit"/>
                <w:sz w:val="13"/>
              </w:rPr>
            </w:pPr>
            <w:r>
              <w:rPr>
                <w:rFonts w:ascii="inherit" w:hAnsi="inherit"/>
                <w:sz w:val="13"/>
              </w:rPr>
              <w:t>2.46</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CCEEFF" w:val="clear"/>
            <w:vAlign w:val="center"/>
          </w:tcPr>
          <w:p>
            <w:pPr>
              <w:pStyle w:val="TableContents"/>
              <w:spacing w:before="0" w:after="0"/>
              <w:jc w:val="right"/>
              <w:rPr>
                <w:rFonts w:ascii="inherit" w:hAnsi="inherit"/>
                <w:sz w:val="13"/>
              </w:rPr>
            </w:pPr>
            <w:r>
              <w:rPr>
                <w:rFonts w:ascii="inherit" w:hAnsi="inherit"/>
                <w:sz w:val="13"/>
              </w:rPr>
              <w:t>1.99</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(0.09</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(0.03</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(0.03</w:t>
            </w:r>
          </w:p>
        </w:tc>
        <w:tc>
          <w:tcPr>
            <w:tcW w:w="682"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912"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Diluted earnings per share</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2.81</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2.43</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1.96</w:t>
            </w:r>
          </w:p>
        </w:tc>
        <w:tc>
          <w:tcPr>
            <w:tcW w:w="68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2015" w:type="dxa"/>
            <w:gridSpan w:val="3"/>
            <w:tcBorders/>
            <w:shd w:fill="auto" w:val="clear"/>
            <w:vAlign w:val="center"/>
          </w:tcPr>
          <w:p>
            <w:pPr>
              <w:pStyle w:val="TableContents"/>
              <w:spacing w:before="0" w:after="0"/>
              <w:ind w:left="0" w:right="0" w:firstLine="30"/>
              <w:rPr/>
            </w:pPr>
            <w:r>
              <w:rPr/>
              <w:t> </w:t>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Weighted average shares outstanding:</w:t>
            </w:r>
          </w:p>
        </w:tc>
        <w:tc>
          <w:tcPr>
            <w:tcW w:w="1495" w:type="dxa"/>
            <w:gridSpan w:val="3"/>
            <w:tcBorders/>
            <w:shd w:fill="CCEEFF" w:val="clear"/>
            <w:vAlign w:val="center"/>
          </w:tcPr>
          <w:p>
            <w:pPr>
              <w:pStyle w:val="TableContents"/>
              <w:spacing w:before="0" w:after="0"/>
              <w:ind w:left="0" w:right="0" w:firstLine="30"/>
              <w:jc w:val="left"/>
              <w:rPr/>
            </w:pPr>
            <w:r>
              <w:rPr/>
              <w:t> </w:t>
            </w:r>
          </w:p>
        </w:tc>
        <w:tc>
          <w:tcPr>
            <w:tcW w:w="144" w:type="dxa"/>
            <w:tcBorders/>
            <w:shd w:fill="CCEEFF" w:val="clear"/>
            <w:vAlign w:val="center"/>
          </w:tcPr>
          <w:p>
            <w:pPr>
              <w:pStyle w:val="TableContents"/>
              <w:spacing w:before="0" w:after="0"/>
              <w:ind w:left="0" w:right="0" w:firstLine="30"/>
              <w:rPr/>
            </w:pPr>
            <w:r>
              <w:rPr/>
              <w:t> </w:t>
            </w:r>
          </w:p>
        </w:tc>
        <w:tc>
          <w:tcPr>
            <w:tcW w:w="1495" w:type="dxa"/>
            <w:gridSpan w:val="3"/>
            <w:tcBorders/>
            <w:shd w:fill="CCEEFF" w:val="clear"/>
            <w:vAlign w:val="center"/>
          </w:tcPr>
          <w:p>
            <w:pPr>
              <w:pStyle w:val="TableContents"/>
              <w:spacing w:before="0" w:after="0"/>
              <w:ind w:left="0" w:right="0" w:firstLine="30"/>
              <w:jc w:val="left"/>
              <w:rPr/>
            </w:pPr>
            <w:r>
              <w:rPr/>
              <w:t> </w:t>
            </w:r>
          </w:p>
        </w:tc>
        <w:tc>
          <w:tcPr>
            <w:tcW w:w="144" w:type="dxa"/>
            <w:tcBorders/>
            <w:shd w:fill="CCEEFF" w:val="clear"/>
            <w:vAlign w:val="center"/>
          </w:tcPr>
          <w:p>
            <w:pPr>
              <w:pStyle w:val="TableContents"/>
              <w:spacing w:before="0" w:after="0"/>
              <w:ind w:left="0" w:right="0" w:firstLine="30"/>
              <w:rPr/>
            </w:pPr>
            <w:r>
              <w:rPr/>
              <w:t> </w:t>
            </w:r>
          </w:p>
        </w:tc>
        <w:tc>
          <w:tcPr>
            <w:tcW w:w="2015" w:type="dxa"/>
            <w:gridSpan w:val="3"/>
            <w:tcBorders/>
            <w:shd w:fill="CCEEFF" w:val="clear"/>
            <w:vAlign w:val="center"/>
          </w:tcPr>
          <w:p>
            <w:pPr>
              <w:pStyle w:val="TableContents"/>
              <w:spacing w:before="0" w:after="0"/>
              <w:ind w:left="0" w:right="0" w:firstLine="420"/>
              <w:jc w:val="left"/>
              <w:rPr/>
            </w:pPr>
            <w:r>
              <w:rPr/>
              <w:t> </w:t>
            </w:r>
          </w:p>
        </w:tc>
      </w:tr>
      <w:tr>
        <w:trPr/>
        <w:tc>
          <w:tcPr>
            <w:tcW w:w="49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Basic</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50,877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49,917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49,033</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Diluted</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51,133</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50,369</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49,576</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2015" w:type="dxa"/>
            <w:gridSpan w:val="3"/>
            <w:tcBorders/>
            <w:shd w:fill="auto" w:val="clear"/>
            <w:vAlign w:val="center"/>
          </w:tcPr>
          <w:p>
            <w:pPr>
              <w:pStyle w:val="TableContents"/>
              <w:spacing w:before="0" w:after="0"/>
              <w:ind w:left="0" w:right="0" w:firstLine="30"/>
              <w:rPr/>
            </w:pPr>
            <w:r>
              <w:rPr/>
              <w:t> </w:t>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from continuing operations attributable to EZCORP, Inc.</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CCEEFF" w:val="clear"/>
            <w:vAlign w:val="center"/>
          </w:tcPr>
          <w:p>
            <w:pPr>
              <w:pStyle w:val="TableContents"/>
              <w:spacing w:before="0" w:after="0"/>
              <w:jc w:val="right"/>
              <w:rPr>
                <w:rFonts w:ascii="inherit" w:hAnsi="inherit"/>
                <w:sz w:val="13"/>
              </w:rPr>
            </w:pPr>
            <w:r>
              <w:rPr>
                <w:rFonts w:ascii="inherit" w:hAnsi="inherit"/>
                <w:sz w:val="13"/>
              </w:rPr>
              <w:t>148,241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CCEEFF" w:val="clear"/>
            <w:vAlign w:val="center"/>
          </w:tcPr>
          <w:p>
            <w:pPr>
              <w:pStyle w:val="TableContents"/>
              <w:spacing w:before="0" w:after="0"/>
              <w:jc w:val="right"/>
              <w:rPr>
                <w:rFonts w:ascii="inherit" w:hAnsi="inherit"/>
                <w:sz w:val="13"/>
              </w:rPr>
            </w:pPr>
            <w:r>
              <w:rPr>
                <w:rFonts w:ascii="inherit" w:hAnsi="inherit"/>
                <w:sz w:val="13"/>
              </w:rPr>
              <w:t>123,717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shd w:fill="CCEEFF" w:val="clear"/>
            <w:vAlign w:val="center"/>
          </w:tcPr>
          <w:p>
            <w:pPr>
              <w:pStyle w:val="TableContents"/>
              <w:spacing w:before="0" w:after="0"/>
              <w:jc w:val="right"/>
              <w:rPr>
                <w:rFonts w:ascii="inherit" w:hAnsi="inherit"/>
                <w:sz w:val="13"/>
              </w:rPr>
            </w:pPr>
            <w:r>
              <w:rPr>
                <w:rFonts w:ascii="inherit" w:hAnsi="inherit"/>
                <w:sz w:val="13"/>
              </w:rPr>
              <w:t>98,643</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Loss from discontinued operations attributable to EZCORP, Inc.</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(4,533</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(1,558</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4" w:type="dxa"/>
            <w:tcBorders/>
            <w:shd w:fill="auto" w:val="clear"/>
            <w:vAlign w:val="center"/>
          </w:tcPr>
          <w:p>
            <w:pPr>
              <w:pStyle w:val="TableContents"/>
              <w:spacing w:before="0" w:after="0"/>
              <w:ind w:left="0" w:right="0" w:firstLine="30"/>
              <w:rPr/>
            </w:pPr>
            <w:r>
              <w:rPr/>
              <w:t> </w:t>
            </w:r>
          </w:p>
        </w:tc>
        <w:tc>
          <w:tcPr>
            <w:tcW w:w="13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(1,349</w:t>
            </w:r>
          </w:p>
        </w:tc>
        <w:tc>
          <w:tcPr>
            <w:tcW w:w="6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9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143,708</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122,159</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97,294</w:t>
            </w:r>
          </w:p>
        </w:tc>
        <w:tc>
          <w:tcPr>
            <w:tcW w:w="68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7"/>
        </w:rPr>
      </w:pPr>
      <w:r>
        <w:rPr>
          <w:rFonts w:ascii="inherit" w:hAnsi="inherit"/>
          <w:i/>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rPr/>
      </w:pPr>
      <w:hyperlink w:anchor="s149FCBE28F3900CCBC1E0F13F39FAE0B">
        <w:bookmarkStart w:id="50" w:name="sB4D5480317555FAFE0DF0F13BBE2FA4E"/>
        <w:bookmarkEnd w:id="50"/>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967"/>
        <w:gridCol w:w="171"/>
        <w:gridCol w:w="1220"/>
        <w:gridCol w:w="158"/>
        <w:gridCol w:w="140"/>
        <w:gridCol w:w="171"/>
        <w:gridCol w:w="1220"/>
        <w:gridCol w:w="158"/>
        <w:gridCol w:w="140"/>
        <w:gridCol w:w="171"/>
        <w:gridCol w:w="1126"/>
        <w:gridCol w:w="563"/>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STATEMENTS OF COMPREHENSIVE INCOME</w:t>
            </w:r>
          </w:p>
        </w:tc>
      </w:tr>
      <w:tr>
        <w:trPr/>
        <w:tc>
          <w:tcPr>
            <w:tcW w:w="496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67" w:type="dxa"/>
            <w:tcBorders/>
            <w:shd w:fill="auto" w:val="clear"/>
            <w:vAlign w:val="center"/>
          </w:tcPr>
          <w:p>
            <w:pPr>
              <w:pStyle w:val="TableContents"/>
              <w:spacing w:before="0" w:after="0"/>
              <w:ind w:left="0" w:right="0" w:firstLine="30"/>
              <w:jc w:val="left"/>
              <w:rPr/>
            </w:pPr>
            <w:r>
              <w:rPr/>
              <w:t> </w:t>
            </w:r>
          </w:p>
        </w:tc>
        <w:tc>
          <w:tcPr>
            <w:tcW w:w="523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4967" w:type="dxa"/>
            <w:tcBorders/>
            <w:shd w:fill="auto" w:val="clear"/>
            <w:vAlign w:val="center"/>
          </w:tcPr>
          <w:p>
            <w:pPr>
              <w:pStyle w:val="TableContents"/>
              <w:spacing w:before="0" w:after="0"/>
              <w:ind w:left="0" w:right="0" w:firstLine="30"/>
              <w:jc w:val="left"/>
              <w:rPr/>
            </w:pPr>
            <w:r>
              <w:rPr/>
              <w:t> </w:t>
            </w:r>
          </w:p>
        </w:tc>
        <w:tc>
          <w:tcPr>
            <w:tcW w:w="154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15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0" w:type="dxa"/>
            <w:tcBorders/>
            <w:shd w:fill="auto" w:val="clear"/>
            <w:vAlign w:val="center"/>
          </w:tcPr>
          <w:p>
            <w:pPr>
              <w:pStyle w:val="TableContents"/>
              <w:spacing w:before="0" w:after="0"/>
              <w:ind w:left="0" w:right="0" w:firstLine="30"/>
              <w:rPr/>
            </w:pPr>
            <w:r>
              <w:rPr/>
              <w:t> </w:t>
            </w:r>
          </w:p>
        </w:tc>
        <w:tc>
          <w:tcPr>
            <w:tcW w:w="1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4967" w:type="dxa"/>
            <w:tcBorders/>
            <w:shd w:fill="auto" w:val="clear"/>
            <w:vAlign w:val="center"/>
          </w:tcPr>
          <w:p>
            <w:pPr>
              <w:pStyle w:val="TableContents"/>
              <w:spacing w:before="0" w:after="0"/>
              <w:ind w:left="0" w:right="0" w:firstLine="30"/>
              <w:jc w:val="left"/>
              <w:rPr/>
            </w:pPr>
            <w:r>
              <w:rPr/>
              <w:t> </w:t>
            </w:r>
          </w:p>
        </w:tc>
        <w:tc>
          <w:tcPr>
            <w:tcW w:w="1549" w:type="dxa"/>
            <w:gridSpan w:val="3"/>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549"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0" w:type="dxa"/>
            <w:tcBorders/>
            <w:shd w:fill="auto" w:val="clear"/>
            <w:vAlign w:val="center"/>
          </w:tcPr>
          <w:p>
            <w:pPr>
              <w:pStyle w:val="TableContents"/>
              <w:spacing w:before="0" w:after="0"/>
              <w:ind w:left="0" w:right="0" w:firstLine="30"/>
              <w:rPr/>
            </w:pPr>
            <w:r>
              <w:rPr/>
              <w:t> </w:t>
            </w:r>
          </w:p>
        </w:tc>
        <w:tc>
          <w:tcPr>
            <w:tcW w:w="1860" w:type="dxa"/>
            <w:gridSpan w:val="3"/>
            <w:tcBorders/>
            <w:shd w:fill="auto" w:val="clear"/>
            <w:vAlign w:val="center"/>
          </w:tcPr>
          <w:p>
            <w:pPr>
              <w:pStyle w:val="TableContents"/>
              <w:spacing w:before="0" w:after="0"/>
              <w:ind w:left="0" w:right="0" w:firstLine="30"/>
              <w:jc w:val="left"/>
              <w:rPr/>
            </w:pPr>
            <w:r>
              <w:rPr/>
              <w:t> </w:t>
            </w:r>
          </w:p>
        </w:tc>
      </w:tr>
      <w:tr>
        <w:trPr/>
        <w:tc>
          <w:tcPr>
            <w:tcW w:w="49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0" w:type="dxa"/>
            <w:tcBorders/>
            <w:shd w:fill="CCEEFF" w:val="clear"/>
            <w:vAlign w:val="center"/>
          </w:tcPr>
          <w:p>
            <w:pPr>
              <w:pStyle w:val="TableContents"/>
              <w:spacing w:before="0" w:after="0"/>
              <w:jc w:val="right"/>
              <w:rPr>
                <w:rFonts w:ascii="inherit" w:hAnsi="inherit"/>
                <w:sz w:val="17"/>
              </w:rPr>
            </w:pPr>
            <w:r>
              <w:rPr>
                <w:rFonts w:ascii="inherit" w:hAnsi="inherit"/>
                <w:sz w:val="17"/>
              </w:rPr>
              <w:t>150,577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0" w:type="dxa"/>
            <w:tcBorders/>
            <w:shd w:fill="CCEEFF" w:val="clear"/>
            <w:vAlign w:val="center"/>
          </w:tcPr>
          <w:p>
            <w:pPr>
              <w:pStyle w:val="TableContents"/>
              <w:spacing w:before="0" w:after="0"/>
              <w:jc w:val="right"/>
              <w:rPr>
                <w:rFonts w:ascii="inherit" w:hAnsi="inherit"/>
                <w:sz w:val="17"/>
              </w:rPr>
            </w:pPr>
            <w:r>
              <w:rPr>
                <w:rFonts w:ascii="inherit" w:hAnsi="inherit"/>
                <w:sz w:val="17"/>
              </w:rPr>
              <w:t>122,159</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shd w:fill="CCEEFF" w:val="clear"/>
            <w:vAlign w:val="center"/>
          </w:tcPr>
          <w:p>
            <w:pPr>
              <w:pStyle w:val="TableContents"/>
              <w:spacing w:before="0" w:after="0"/>
              <w:jc w:val="right"/>
              <w:rPr>
                <w:rFonts w:ascii="inherit" w:hAnsi="inherit"/>
                <w:sz w:val="17"/>
              </w:rPr>
            </w:pPr>
            <w:r>
              <w:rPr>
                <w:rFonts w:ascii="inherit" w:hAnsi="inherit"/>
                <w:sz w:val="17"/>
              </w:rPr>
              <w:t>97,294</w:t>
            </w:r>
          </w:p>
        </w:tc>
        <w:tc>
          <w:tcPr>
            <w:tcW w:w="5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1549" w:type="dxa"/>
            <w:gridSpan w:val="3"/>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549" w:type="dxa"/>
            <w:gridSpan w:val="3"/>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860" w:type="dxa"/>
            <w:gridSpan w:val="3"/>
            <w:tcBorders/>
            <w:shd w:fill="auto" w:val="clear"/>
            <w:vAlign w:val="center"/>
          </w:tcPr>
          <w:p>
            <w:pPr>
              <w:pStyle w:val="TableContents"/>
              <w:spacing w:before="0" w:after="0"/>
              <w:ind w:left="0" w:right="0" w:firstLine="420"/>
              <w:jc w:val="left"/>
              <w:rPr/>
            </w:pPr>
            <w:r>
              <w:rPr/>
              <w:t> </w:t>
            </w:r>
          </w:p>
        </w:tc>
      </w:tr>
      <w:tr>
        <w:trPr/>
        <w:tc>
          <w:tcPr>
            <w:tcW w:w="49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 (loss)</w:t>
            </w:r>
          </w:p>
        </w:tc>
        <w:tc>
          <w:tcPr>
            <w:tcW w:w="139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39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10,393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(3,673</w:t>
            </w:r>
          </w:p>
        </w:tc>
        <w:tc>
          <w:tcPr>
            <w:tcW w:w="56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9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Unrealized holding gain (loss) arising during period</w:t>
            </w:r>
          </w:p>
        </w:tc>
        <w:tc>
          <w:tcPr>
            <w:tcW w:w="139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9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pPr>
            <w:r>
              <w:rPr/>
              <w:t>—</w:t>
            </w:r>
          </w:p>
        </w:tc>
        <w:tc>
          <w:tcPr>
            <w:tcW w:w="56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 (provision)</w:t>
            </w:r>
          </w:p>
        </w:tc>
        <w:tc>
          <w:tcPr>
            <w:tcW w:w="13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2,330</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(5,694</w:t>
            </w:r>
          </w:p>
        </w:tc>
        <w:tc>
          <w:tcPr>
            <w:tcW w:w="15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1,918</w:t>
            </w:r>
          </w:p>
        </w:tc>
        <w:tc>
          <w:tcPr>
            <w:tcW w:w="56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comprehensive income (loss), net of tax</w:t>
            </w:r>
          </w:p>
        </w:tc>
        <w:tc>
          <w:tcPr>
            <w:tcW w:w="13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1,588</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9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5,629</w:t>
            </w:r>
          </w:p>
        </w:tc>
        <w:tc>
          <w:tcPr>
            <w:tcW w:w="15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(1,755</w:t>
            </w:r>
          </w:p>
        </w:tc>
        <w:tc>
          <w:tcPr>
            <w:tcW w:w="56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9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17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152,165</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127,788</w:t>
            </w:r>
          </w:p>
        </w:tc>
        <w:tc>
          <w:tcPr>
            <w:tcW w:w="1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95,539</w:t>
            </w:r>
          </w:p>
        </w:tc>
        <w:tc>
          <w:tcPr>
            <w:tcW w:w="56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redeemable noncontrolling interest:</w:t>
            </w:r>
          </w:p>
        </w:tc>
        <w:tc>
          <w:tcPr>
            <w:tcW w:w="1549"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9"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860" w:type="dxa"/>
            <w:gridSpan w:val="3"/>
            <w:tcBorders/>
            <w:shd w:fill="auto" w:val="clear"/>
            <w:vAlign w:val="center"/>
          </w:tcPr>
          <w:p>
            <w:pPr>
              <w:pStyle w:val="TableContents"/>
              <w:spacing w:before="0" w:after="0"/>
              <w:ind w:left="0" w:right="0" w:firstLine="540"/>
              <w:rPr/>
            </w:pPr>
            <w:r>
              <w:rPr/>
              <w:t> </w:t>
            </w:r>
          </w:p>
        </w:tc>
      </w:tr>
      <w:tr>
        <w:trPr/>
        <w:tc>
          <w:tcPr>
            <w:tcW w:w="49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w:t>
            </w:r>
          </w:p>
        </w:tc>
        <w:tc>
          <w:tcPr>
            <w:tcW w:w="139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6,869</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91"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pPr>
            <w:r>
              <w:rPr/>
              <w:t>—</w:t>
            </w:r>
          </w:p>
        </w:tc>
        <w:tc>
          <w:tcPr>
            <w:tcW w:w="563"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9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w:t>
            </w:r>
          </w:p>
        </w:tc>
        <w:tc>
          <w:tcPr>
            <w:tcW w:w="13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9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63"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Comprehensive income </w:t>
            </w:r>
          </w:p>
        </w:tc>
        <w:tc>
          <w:tcPr>
            <w:tcW w:w="13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7,824</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9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6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Comprehensive income attributable to EZCORP, Inc. </w:t>
            </w:r>
          </w:p>
        </w:tc>
        <w:tc>
          <w:tcPr>
            <w:tcW w:w="1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144,341</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127,788</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95,539</w:t>
            </w:r>
          </w:p>
        </w:tc>
        <w:tc>
          <w:tcPr>
            <w:tcW w:w="563"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7"/>
        </w:rPr>
      </w:pPr>
      <w:r>
        <w:rPr>
          <w:rFonts w:ascii="inherit" w:hAnsi="inherit"/>
          <w:i/>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rPr/>
      </w:pPr>
      <w:hyperlink w:anchor="s149FCBE28F3900CCBC1E0F13F39FAE0B">
        <w:bookmarkStart w:id="51" w:name="s12450973B232DF65BF340F13BAC86D40"/>
        <w:bookmarkEnd w:id="51"/>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674"/>
        <w:gridCol w:w="161"/>
        <w:gridCol w:w="1146"/>
        <w:gridCol w:w="161"/>
        <w:gridCol w:w="142"/>
        <w:gridCol w:w="161"/>
        <w:gridCol w:w="1146"/>
        <w:gridCol w:w="161"/>
        <w:gridCol w:w="142"/>
        <w:gridCol w:w="161"/>
        <w:gridCol w:w="1146"/>
        <w:gridCol w:w="1004"/>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STATEMENTS OF CASH FLOWS</w:t>
            </w:r>
          </w:p>
        </w:tc>
      </w:tr>
      <w:tr>
        <w:trPr/>
        <w:tc>
          <w:tcPr>
            <w:tcW w:w="467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74" w:type="dxa"/>
            <w:tcBorders/>
            <w:shd w:fill="auto" w:val="clear"/>
            <w:vAlign w:val="center"/>
          </w:tcPr>
          <w:p>
            <w:pPr>
              <w:pStyle w:val="TableContents"/>
              <w:spacing w:before="0" w:after="0"/>
              <w:ind w:left="0" w:right="0" w:firstLine="30"/>
              <w:jc w:val="left"/>
              <w:rPr/>
            </w:pPr>
            <w:r>
              <w:rPr/>
              <w:t> </w:t>
            </w:r>
          </w:p>
        </w:tc>
        <w:tc>
          <w:tcPr>
            <w:tcW w:w="553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4674" w:type="dxa"/>
            <w:tcBorders/>
            <w:shd w:fill="auto" w:val="clear"/>
            <w:vAlign w:val="center"/>
          </w:tcPr>
          <w:p>
            <w:pPr>
              <w:pStyle w:val="TableContents"/>
              <w:spacing w:before="0" w:after="0"/>
              <w:ind w:left="0" w:right="0" w:firstLine="30"/>
              <w:jc w:val="left"/>
              <w:rPr/>
            </w:pPr>
            <w:r>
              <w:rPr/>
              <w:t> </w:t>
            </w:r>
          </w:p>
        </w:tc>
        <w:tc>
          <w:tcPr>
            <w:tcW w:w="14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2" w:type="dxa"/>
            <w:tcBorders/>
            <w:shd w:fill="auto" w:val="clear"/>
            <w:vAlign w:val="center"/>
          </w:tcPr>
          <w:p>
            <w:pPr>
              <w:pStyle w:val="TableContents"/>
              <w:spacing w:before="0" w:after="0"/>
              <w:ind w:left="0" w:right="0" w:firstLine="30"/>
              <w:rPr/>
            </w:pPr>
            <w:r>
              <w:rPr/>
              <w:t> </w:t>
            </w:r>
          </w:p>
        </w:tc>
        <w:tc>
          <w:tcPr>
            <w:tcW w:w="14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2" w:type="dxa"/>
            <w:tcBorders/>
            <w:shd w:fill="auto" w:val="clear"/>
            <w:vAlign w:val="center"/>
          </w:tcPr>
          <w:p>
            <w:pPr>
              <w:pStyle w:val="TableContents"/>
              <w:spacing w:before="0" w:after="0"/>
              <w:ind w:left="0" w:right="0" w:firstLine="30"/>
              <w:rPr/>
            </w:pPr>
            <w:r>
              <w:rPr/>
              <w:t> </w:t>
            </w:r>
          </w:p>
        </w:tc>
        <w:tc>
          <w:tcPr>
            <w:tcW w:w="23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4674" w:type="dxa"/>
            <w:tcBorders/>
            <w:shd w:fill="auto" w:val="clear"/>
            <w:vAlign w:val="center"/>
          </w:tcPr>
          <w:p>
            <w:pPr>
              <w:pStyle w:val="TableContents"/>
              <w:spacing w:before="0" w:after="0"/>
              <w:ind w:left="0" w:right="0" w:firstLine="30"/>
              <w:jc w:val="left"/>
              <w:rPr/>
            </w:pPr>
            <w:r>
              <w:rPr/>
              <w:t> </w:t>
            </w:r>
          </w:p>
        </w:tc>
        <w:tc>
          <w:tcPr>
            <w:tcW w:w="553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Activities:</w:t>
            </w:r>
          </w:p>
        </w:tc>
        <w:tc>
          <w:tcPr>
            <w:tcW w:w="1468" w:type="dxa"/>
            <w:gridSpan w:val="3"/>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ind w:left="0" w:right="0" w:firstLine="30"/>
              <w:rPr/>
            </w:pPr>
            <w:r>
              <w:rPr/>
              <w:t> </w:t>
            </w:r>
          </w:p>
        </w:tc>
        <w:tc>
          <w:tcPr>
            <w:tcW w:w="1468" w:type="dxa"/>
            <w:gridSpan w:val="3"/>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ind w:left="0" w:right="0" w:firstLine="30"/>
              <w:rPr/>
            </w:pPr>
            <w:r>
              <w:rPr/>
              <w:t> </w:t>
            </w:r>
          </w:p>
        </w:tc>
        <w:tc>
          <w:tcPr>
            <w:tcW w:w="2311" w:type="dxa"/>
            <w:gridSpan w:val="3"/>
            <w:tcBorders/>
            <w:shd w:fill="CCEEFF" w:val="clear"/>
            <w:vAlign w:val="center"/>
          </w:tcPr>
          <w:p>
            <w:pPr>
              <w:pStyle w:val="TableContents"/>
              <w:spacing w:before="0" w:after="0"/>
              <w:ind w:left="0" w:right="0" w:firstLine="180"/>
              <w:jc w:val="left"/>
              <w:rPr/>
            </w:pPr>
            <w:r>
              <w:rPr/>
              <w:t> </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150,577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122,159</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97,294</w:t>
            </w:r>
          </w:p>
        </w:tc>
        <w:tc>
          <w:tcPr>
            <w:tcW w:w="10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Adjustments to reconcile net income to net cash provided by operating activities:</w:t>
            </w:r>
          </w:p>
        </w:tc>
        <w:tc>
          <w:tcPr>
            <w:tcW w:w="1468" w:type="dxa"/>
            <w:gridSpan w:val="3"/>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ind w:left="0" w:right="0" w:firstLine="30"/>
              <w:rPr/>
            </w:pPr>
            <w:r>
              <w:rPr/>
              <w:t> </w:t>
            </w:r>
          </w:p>
        </w:tc>
        <w:tc>
          <w:tcPr>
            <w:tcW w:w="1468" w:type="dxa"/>
            <w:gridSpan w:val="3"/>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ind w:left="0" w:right="0" w:firstLine="30"/>
              <w:rPr/>
            </w:pPr>
            <w:r>
              <w:rPr/>
              <w:t> </w:t>
            </w:r>
          </w:p>
        </w:tc>
        <w:tc>
          <w:tcPr>
            <w:tcW w:w="2311" w:type="dxa"/>
            <w:gridSpan w:val="3"/>
            <w:tcBorders/>
            <w:shd w:fill="CCEEFF" w:val="clear"/>
            <w:vAlign w:val="center"/>
          </w:tcPr>
          <w:p>
            <w:pPr>
              <w:pStyle w:val="TableContents"/>
              <w:spacing w:before="0" w:after="0"/>
              <w:ind w:left="0" w:right="0" w:firstLine="660"/>
              <w:jc w:val="left"/>
              <w:rPr/>
            </w:pPr>
            <w:r>
              <w:rPr/>
              <w:t> </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Depreciation and amortization</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25,268</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18,344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14,661</w:t>
            </w:r>
          </w:p>
        </w:tc>
        <w:tc>
          <w:tcPr>
            <w:tcW w:w="1004"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Consumer loan loss provisions</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17,833</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15,087</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11,588</w:t>
            </w:r>
          </w:p>
        </w:tc>
        <w:tc>
          <w:tcPr>
            <w:tcW w:w="1004"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Deferred income taxes</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2,761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13,663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(1,287</w:t>
            </w:r>
          </w:p>
        </w:tc>
        <w:tc>
          <w:tcPr>
            <w:tcW w:w="1004"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67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(Gain) loss on sale or disposal of assets</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309</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1,528</w:t>
            </w:r>
          </w:p>
        </w:tc>
        <w:tc>
          <w:tcPr>
            <w:tcW w:w="1004"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6,714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13,208</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4,512</w:t>
            </w:r>
          </w:p>
        </w:tc>
        <w:tc>
          <w:tcPr>
            <w:tcW w:w="1004"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from investments in unconsolidated affiliates</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(17,400</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(16,237</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(10,750</w:t>
            </w:r>
          </w:p>
        </w:tc>
        <w:tc>
          <w:tcPr>
            <w:tcW w:w="1004" w:type="dxa"/>
            <w:tcBorders/>
            <w:shd w:fill="CCEEFF"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Changes in operating assets and liabilities, net of business acquisitions:</w:t>
            </w:r>
          </w:p>
        </w:tc>
        <w:tc>
          <w:tcPr>
            <w:tcW w:w="1468" w:type="dxa"/>
            <w:gridSpan w:val="3"/>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ind w:left="0" w:right="0" w:firstLine="30"/>
              <w:rPr/>
            </w:pPr>
            <w:r>
              <w:rPr/>
              <w:t> </w:t>
            </w:r>
          </w:p>
        </w:tc>
        <w:tc>
          <w:tcPr>
            <w:tcW w:w="1468" w:type="dxa"/>
            <w:gridSpan w:val="3"/>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ind w:left="0" w:right="0" w:firstLine="30"/>
              <w:rPr/>
            </w:pPr>
            <w:r>
              <w:rPr/>
              <w:t> </w:t>
            </w:r>
          </w:p>
        </w:tc>
        <w:tc>
          <w:tcPr>
            <w:tcW w:w="2311" w:type="dxa"/>
            <w:gridSpan w:val="3"/>
            <w:tcBorders/>
            <w:shd w:fill="auto" w:val="clear"/>
            <w:vAlign w:val="center"/>
          </w:tcPr>
          <w:p>
            <w:pPr>
              <w:pStyle w:val="TableContents"/>
              <w:spacing w:before="0" w:after="0"/>
              <w:ind w:left="0" w:right="0" w:firstLine="660"/>
              <w:jc w:val="left"/>
              <w:rPr/>
            </w:pPr>
            <w:r>
              <w:rPr/>
              <w:t> </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Service charges and fees receivable, net</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(5,359</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(2,998</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(4,312</w:t>
            </w:r>
          </w:p>
        </w:tc>
        <w:tc>
          <w:tcPr>
            <w:tcW w:w="1004"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(4,017</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(6,815</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(2,144</w:t>
            </w:r>
          </w:p>
        </w:tc>
        <w:tc>
          <w:tcPr>
            <w:tcW w:w="1004"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other current assets, and other assets, net</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(12,322</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(12,445</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(6,277</w:t>
            </w:r>
          </w:p>
        </w:tc>
        <w:tc>
          <w:tcPr>
            <w:tcW w:w="1004"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accrued expenses</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4,347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5,411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15,592</w:t>
            </w:r>
          </w:p>
        </w:tc>
        <w:tc>
          <w:tcPr>
            <w:tcW w:w="1004"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218</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(95</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1,824</w:t>
            </w:r>
          </w:p>
        </w:tc>
        <w:tc>
          <w:tcPr>
            <w:tcW w:w="1004"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(8,782</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(412</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(736</w:t>
            </w:r>
          </w:p>
        </w:tc>
        <w:tc>
          <w:tcPr>
            <w:tcW w:w="1004"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(1,602</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(3,230</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(1,861</w:t>
            </w:r>
          </w:p>
        </w:tc>
        <w:tc>
          <w:tcPr>
            <w:tcW w:w="1004"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Income taxes receivable/payable</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(7,787</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5,093</w:t>
            </w:r>
          </w:p>
        </w:tc>
        <w:tc>
          <w:tcPr>
            <w:tcW w:w="10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Dividends from unconsolidated affiliates</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5,560</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7,274</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3,841</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156,008</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153,267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128,566</w:t>
            </w:r>
          </w:p>
        </w:tc>
        <w:tc>
          <w:tcPr>
            <w:tcW w:w="10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1468" w:type="dxa"/>
            <w:gridSpan w:val="3"/>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ind w:left="0" w:right="0" w:firstLine="30"/>
              <w:rPr/>
            </w:pPr>
            <w:r>
              <w:rPr/>
              <w:t> </w:t>
            </w:r>
          </w:p>
        </w:tc>
        <w:tc>
          <w:tcPr>
            <w:tcW w:w="1468" w:type="dxa"/>
            <w:gridSpan w:val="3"/>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ind w:left="0" w:right="0" w:firstLine="30"/>
              <w:rPr/>
            </w:pPr>
            <w:r>
              <w:rPr/>
              <w:t> </w:t>
            </w:r>
          </w:p>
        </w:tc>
        <w:tc>
          <w:tcPr>
            <w:tcW w:w="2311" w:type="dxa"/>
            <w:gridSpan w:val="3"/>
            <w:tcBorders/>
            <w:shd w:fill="CCEEFF" w:val="clear"/>
            <w:vAlign w:val="center"/>
          </w:tcPr>
          <w:p>
            <w:pPr>
              <w:pStyle w:val="TableContents"/>
              <w:spacing w:before="0" w:after="0"/>
              <w:ind w:left="0" w:right="0" w:firstLine="180"/>
              <w:jc w:val="left"/>
              <w:rPr/>
            </w:pPr>
            <w:r>
              <w:rPr/>
              <w:t> </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Loans made</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(802,896</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(649,249</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(545,579</w:t>
            </w:r>
          </w:p>
        </w:tc>
        <w:tc>
          <w:tcPr>
            <w:tcW w:w="1004" w:type="dxa"/>
            <w:tcBorders/>
            <w:shd w:fill="auto"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Loans repaid</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520,193</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404,392</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335,832</w:t>
            </w:r>
          </w:p>
        </w:tc>
        <w:tc>
          <w:tcPr>
            <w:tcW w:w="100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Recovery of pawn loan principal through sale of forfeited collateral</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240,381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205,662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174,224</w:t>
            </w:r>
          </w:p>
        </w:tc>
        <w:tc>
          <w:tcPr>
            <w:tcW w:w="10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Additions to property and equipment</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(45,796</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(34,122</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(25,741</w:t>
            </w:r>
          </w:p>
        </w:tc>
        <w:tc>
          <w:tcPr>
            <w:tcW w:w="1004" w:type="dxa"/>
            <w:tcBorders/>
            <w:shd w:fill="CCEEFF"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Acquisitions, net of cash acquired</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(128,647</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(67,920</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(21,837</w:t>
            </w:r>
          </w:p>
        </w:tc>
        <w:tc>
          <w:tcPr>
            <w:tcW w:w="1004" w:type="dxa"/>
            <w:tcBorders/>
            <w:shd w:fill="auto"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307"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(59,188</w:t>
            </w:r>
          </w:p>
        </w:tc>
        <w:tc>
          <w:tcPr>
            <w:tcW w:w="1004" w:type="dxa"/>
            <w:tcBorders/>
            <w:shd w:fill="CCEEFF"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on disposal of assets</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1,347</w:t>
            </w:r>
          </w:p>
        </w:tc>
        <w:tc>
          <w:tcPr>
            <w:tcW w:w="1004"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used in investing activities</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(216,765</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(141,237</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(140,942</w:t>
            </w:r>
          </w:p>
        </w:tc>
        <w:tc>
          <w:tcPr>
            <w:tcW w:w="1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1468" w:type="dxa"/>
            <w:gridSpan w:val="3"/>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ind w:left="0" w:right="0" w:firstLine="30"/>
              <w:rPr/>
            </w:pPr>
            <w:r>
              <w:rPr/>
              <w:t> </w:t>
            </w:r>
          </w:p>
        </w:tc>
        <w:tc>
          <w:tcPr>
            <w:tcW w:w="1468" w:type="dxa"/>
            <w:gridSpan w:val="3"/>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ind w:left="0" w:right="0" w:firstLine="30"/>
              <w:rPr/>
            </w:pPr>
            <w:r>
              <w:rPr/>
              <w:t> </w:t>
            </w:r>
          </w:p>
        </w:tc>
        <w:tc>
          <w:tcPr>
            <w:tcW w:w="2311" w:type="dxa"/>
            <w:gridSpan w:val="3"/>
            <w:tcBorders/>
            <w:shd w:fill="auto" w:val="clear"/>
            <w:vAlign w:val="center"/>
          </w:tcPr>
          <w:p>
            <w:pPr>
              <w:pStyle w:val="TableContents"/>
              <w:spacing w:before="0" w:after="0"/>
              <w:ind w:left="0" w:right="0" w:firstLine="180"/>
              <w:jc w:val="left"/>
              <w:rPr/>
            </w:pPr>
            <w:r>
              <w:rPr/>
              <w:t> </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exercise of stock options</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649</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397</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1,602</w:t>
            </w:r>
          </w:p>
        </w:tc>
        <w:tc>
          <w:tcPr>
            <w:tcW w:w="100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3,230</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1,861</w:t>
            </w:r>
          </w:p>
        </w:tc>
        <w:tc>
          <w:tcPr>
            <w:tcW w:w="10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Debt issuance costs</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(3,225</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(2,397</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00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(1,184</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(7,484</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0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Change in restricted cash</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(5,482</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00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on revolving line of credit</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792,927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164,500</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63,050</w:t>
            </w:r>
          </w:p>
        </w:tc>
        <w:tc>
          <w:tcPr>
            <w:tcW w:w="10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revolving line of credit</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(695,077</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(147,000</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(63,050</w:t>
            </w:r>
          </w:p>
        </w:tc>
        <w:tc>
          <w:tcPr>
            <w:tcW w:w="1004" w:type="dxa"/>
            <w:tcBorders/>
            <w:shd w:fill="CCEEFF"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bank borrowings</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2,461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0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Payments on bank borrowings and capital lease obligations</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(8,496</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(25,004</w:t>
            </w:r>
          </w:p>
        </w:tc>
        <w:tc>
          <w:tcPr>
            <w:tcW w:w="1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(10,000</w:t>
            </w:r>
          </w:p>
        </w:tc>
        <w:tc>
          <w:tcPr>
            <w:tcW w:w="1004" w:type="dxa"/>
            <w:tcBorders/>
            <w:shd w:fill="CCEEFF" w:val="clear"/>
            <w:vAlign w:val="center"/>
          </w:tcPr>
          <w:p>
            <w:pPr>
              <w:pStyle w:val="TableContents"/>
              <w:spacing w:before="0" w:after="0"/>
              <w:ind w:left="0" w:right="0" w:firstLine="900"/>
              <w:jc w:val="left"/>
              <w:rPr>
                <w:rFonts w:ascii="inherit" w:hAnsi="inherit"/>
                <w:sz w:val="13"/>
              </w:rPr>
            </w:pPr>
            <w:r>
              <w:rPr>
                <w:rFonts w:ascii="inherit" w:hAnsi="inherit"/>
                <w:sz w:val="13"/>
              </w:rPr>
              <w:t>)</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financing activities</w:t>
            </w:r>
          </w:p>
        </w:tc>
        <w:tc>
          <w:tcPr>
            <w:tcW w:w="130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84,175</w:t>
            </w:r>
          </w:p>
        </w:tc>
        <w:tc>
          <w:tcPr>
            <w:tcW w:w="16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(13,758</w:t>
            </w:r>
          </w:p>
        </w:tc>
        <w:tc>
          <w:tcPr>
            <w:tcW w:w="16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(6,534</w:t>
            </w:r>
          </w:p>
        </w:tc>
        <w:tc>
          <w:tcPr>
            <w:tcW w:w="1004" w:type="dxa"/>
            <w:tcBorders>
              <w:top w:val="single" w:sz="2" w:space="0" w:color="000000"/>
            </w:tcBorders>
            <w:shd w:fill="auto" w:val="clear"/>
            <w:tcMar>
              <w:top w:w="30" w:type="dxa"/>
            </w:tcM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Effect of exchange rate changes on cash and cash equivalents</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1,090</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(157</w:t>
            </w:r>
          </w:p>
        </w:tc>
        <w:tc>
          <w:tcPr>
            <w:tcW w:w="1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 in cash and equivalents</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24,508</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(1,885</w:t>
            </w:r>
          </w:p>
        </w:tc>
        <w:tc>
          <w:tcPr>
            <w:tcW w:w="1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2"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(18,910</w:t>
            </w:r>
          </w:p>
        </w:tc>
        <w:tc>
          <w:tcPr>
            <w:tcW w:w="1004" w:type="dxa"/>
            <w:tcBorders/>
            <w:shd w:fill="auto"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equivalents at beginning of period</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25,854</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44,764</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equivalents at end of period</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48,477</w:t>
            </w:r>
          </w:p>
        </w:tc>
        <w:tc>
          <w:tcPr>
            <w:tcW w:w="16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16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25,854</w:t>
            </w:r>
          </w:p>
        </w:tc>
        <w:tc>
          <w:tcPr>
            <w:tcW w:w="100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paid during the period for:</w:t>
            </w:r>
          </w:p>
        </w:tc>
        <w:tc>
          <w:tcPr>
            <w:tcW w:w="1468" w:type="dxa"/>
            <w:gridSpan w:val="3"/>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ind w:left="0" w:right="0" w:firstLine="30"/>
              <w:rPr/>
            </w:pPr>
            <w:r>
              <w:rPr/>
              <w:t> </w:t>
            </w:r>
          </w:p>
        </w:tc>
        <w:tc>
          <w:tcPr>
            <w:tcW w:w="1468" w:type="dxa"/>
            <w:gridSpan w:val="3"/>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ind w:left="0" w:right="0" w:firstLine="30"/>
              <w:rPr/>
            </w:pPr>
            <w:r>
              <w:rPr/>
              <w:t> </w:t>
            </w:r>
          </w:p>
        </w:tc>
        <w:tc>
          <w:tcPr>
            <w:tcW w:w="2311" w:type="dxa"/>
            <w:gridSpan w:val="3"/>
            <w:tcBorders/>
            <w:shd w:fill="CCEEFF" w:val="clear"/>
            <w:vAlign w:val="center"/>
          </w:tcPr>
          <w:p>
            <w:pPr>
              <w:pStyle w:val="TableContents"/>
              <w:spacing w:before="0" w:after="0"/>
              <w:ind w:left="0" w:right="0" w:firstLine="660"/>
              <w:jc w:val="left"/>
              <w:rPr/>
            </w:pPr>
            <w:r>
              <w:rPr/>
              <w:t> </w:t>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Interest</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2,480</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1,147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913</w:t>
            </w:r>
          </w:p>
        </w:tc>
        <w:tc>
          <w:tcPr>
            <w:tcW w:w="1004"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taxes</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83,010</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55,124</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50,631</w:t>
            </w:r>
          </w:p>
        </w:tc>
        <w:tc>
          <w:tcPr>
            <w:tcW w:w="10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Non-cash Investing and Financing Activities:</w:t>
            </w:r>
          </w:p>
        </w:tc>
        <w:tc>
          <w:tcPr>
            <w:tcW w:w="1468" w:type="dxa"/>
            <w:gridSpan w:val="3"/>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ind w:left="0" w:right="0" w:firstLine="30"/>
              <w:rPr/>
            </w:pPr>
            <w:r>
              <w:rPr/>
              <w:t> </w:t>
            </w:r>
          </w:p>
        </w:tc>
        <w:tc>
          <w:tcPr>
            <w:tcW w:w="1468" w:type="dxa"/>
            <w:gridSpan w:val="3"/>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ind w:left="0" w:right="0" w:firstLine="30"/>
              <w:rPr/>
            </w:pPr>
            <w:r>
              <w:rPr/>
              <w:t> </w:t>
            </w:r>
          </w:p>
        </w:tc>
        <w:tc>
          <w:tcPr>
            <w:tcW w:w="2311" w:type="dxa"/>
            <w:gridSpan w:val="3"/>
            <w:tcBorders/>
            <w:shd w:fill="auto" w:val="clear"/>
            <w:vAlign w:val="center"/>
          </w:tcPr>
          <w:p>
            <w:pPr>
              <w:pStyle w:val="TableContents"/>
              <w:spacing w:before="0" w:after="0"/>
              <w:ind w:left="0" w:right="0" w:firstLine="180"/>
              <w:jc w:val="left"/>
              <w:rPr/>
            </w:pPr>
            <w:r>
              <w:rPr/>
              <w:t> </w:t>
            </w:r>
          </w:p>
        </w:tc>
      </w:tr>
      <w:tr>
        <w:trPr/>
        <w:tc>
          <w:tcPr>
            <w:tcW w:w="467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loans forfeited and transferred to inventory</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248,090</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215,188</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177,821</w:t>
            </w:r>
          </w:p>
        </w:tc>
        <w:tc>
          <w:tcPr>
            <w:tcW w:w="100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Issuance of common stock due to acquisitions</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17,984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7,304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(31</w:t>
            </w:r>
          </w:p>
        </w:tc>
        <w:tc>
          <w:tcPr>
            <w:tcW w:w="1004" w:type="dxa"/>
            <w:tcBorders/>
            <w:shd w:fill="auto"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67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Contingent consideration</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23,432</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pPr>
            <w:r>
              <w:rPr/>
              <w:t>—</w:t>
            </w:r>
          </w:p>
        </w:tc>
        <w:tc>
          <w:tcPr>
            <w:tcW w:w="100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Deferred consideration</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rFonts w:ascii="inherit" w:hAnsi="inherit"/>
                <w:sz w:val="13"/>
              </w:rPr>
            </w:pPr>
            <w:r>
              <w:rPr>
                <w:rFonts w:ascii="inherit" w:hAnsi="inherit"/>
                <w:sz w:val="13"/>
              </w:rPr>
              <w:t>938</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auto" w:val="clear"/>
            <w:vAlign w:val="center"/>
          </w:tcPr>
          <w:p>
            <w:pPr>
              <w:pStyle w:val="TableContents"/>
              <w:spacing w:before="0" w:after="0"/>
              <w:jc w:val="right"/>
              <w:rPr/>
            </w:pPr>
            <w:r>
              <w:rPr/>
              <w:t>—</w:t>
            </w:r>
          </w:p>
        </w:tc>
        <w:tc>
          <w:tcPr>
            <w:tcW w:w="10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7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Issuance of common stock to 401 (K) plan</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459</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377</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46" w:type="dxa"/>
            <w:tcBorders/>
            <w:shd w:fill="CCEEFF" w:val="clear"/>
            <w:vAlign w:val="center"/>
          </w:tcPr>
          <w:p>
            <w:pPr>
              <w:pStyle w:val="TableContents"/>
              <w:spacing w:before="0" w:after="0"/>
              <w:jc w:val="right"/>
              <w:rPr>
                <w:rFonts w:ascii="inherit" w:hAnsi="inherit"/>
                <w:sz w:val="13"/>
              </w:rPr>
            </w:pPr>
            <w:r>
              <w:rPr>
                <w:rFonts w:ascii="inherit" w:hAnsi="inherit"/>
                <w:sz w:val="13"/>
              </w:rPr>
              <w:t>260</w:t>
            </w:r>
          </w:p>
        </w:tc>
        <w:tc>
          <w:tcPr>
            <w:tcW w:w="100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rPr/>
      </w:pPr>
      <w:hyperlink w:anchor="s149FCBE28F3900CCBC1E0F13F39FAE0B">
        <w:bookmarkStart w:id="52" w:name="sDCA193FD5863D5608FC40F13BBC590D2"/>
        <w:bookmarkEnd w:id="52"/>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348"/>
        <w:gridCol w:w="909"/>
        <w:gridCol w:w="73"/>
        <w:gridCol w:w="130"/>
        <w:gridCol w:w="148"/>
        <w:gridCol w:w="671"/>
        <w:gridCol w:w="78"/>
        <w:gridCol w:w="130"/>
        <w:gridCol w:w="140"/>
        <w:gridCol w:w="926"/>
        <w:gridCol w:w="142"/>
        <w:gridCol w:w="130"/>
        <w:gridCol w:w="135"/>
        <w:gridCol w:w="900"/>
        <w:gridCol w:w="74"/>
        <w:gridCol w:w="130"/>
        <w:gridCol w:w="206"/>
        <w:gridCol w:w="1106"/>
        <w:gridCol w:w="208"/>
        <w:gridCol w:w="130"/>
        <w:gridCol w:w="134"/>
        <w:gridCol w:w="892"/>
        <w:gridCol w:w="465"/>
      </w:tblGrid>
      <w:tr>
        <w:trPr/>
        <w:tc>
          <w:tcPr>
            <w:tcW w:w="10205" w:type="dxa"/>
            <w:gridSpan w:val="23"/>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STATEMENTS OF STOCKHOLDERS' EQUITY</w:t>
            </w:r>
          </w:p>
        </w:tc>
      </w:tr>
      <w:tr>
        <w:trPr/>
        <w:tc>
          <w:tcPr>
            <w:tcW w:w="2348"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48" w:type="dxa"/>
            <w:tcBorders/>
            <w:shd w:fill="auto" w:val="clear"/>
            <w:vAlign w:val="center"/>
          </w:tcPr>
          <w:p>
            <w:pPr>
              <w:pStyle w:val="TableContents"/>
              <w:spacing w:before="0" w:after="0"/>
              <w:ind w:left="0" w:right="0" w:firstLine="30"/>
              <w:rPr/>
            </w:pPr>
            <w:r>
              <w:rPr/>
              <w:t> </w:t>
            </w:r>
          </w:p>
        </w:tc>
        <w:tc>
          <w:tcPr>
            <w:tcW w:w="982" w:type="dxa"/>
            <w:gridSpan w:val="2"/>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897"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08"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rPr/>
            </w:pPr>
            <w:r>
              <w:rPr/>
              <w:t> </w:t>
            </w:r>
          </w:p>
        </w:tc>
        <w:tc>
          <w:tcPr>
            <w:tcW w:w="1520"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Accumulated Other Comprehensive Income (Loss)</w:t>
            </w:r>
          </w:p>
        </w:tc>
        <w:tc>
          <w:tcPr>
            <w:tcW w:w="130" w:type="dxa"/>
            <w:tcBorders/>
            <w:shd w:fill="auto" w:val="clear"/>
            <w:vAlign w:val="center"/>
          </w:tcPr>
          <w:p>
            <w:pPr>
              <w:pStyle w:val="TableContents"/>
              <w:spacing w:before="0" w:after="0"/>
              <w:ind w:left="0" w:right="0" w:firstLine="30"/>
              <w:rPr/>
            </w:pPr>
            <w:r>
              <w:rPr/>
              <w:t> </w:t>
            </w:r>
          </w:p>
        </w:tc>
        <w:tc>
          <w:tcPr>
            <w:tcW w:w="149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Total Shareholders' Equity</w:t>
            </w:r>
          </w:p>
        </w:tc>
      </w:tr>
      <w:tr>
        <w:trPr/>
        <w:tc>
          <w:tcPr>
            <w:tcW w:w="2348" w:type="dxa"/>
            <w:tcBorders/>
            <w:shd w:fill="auto" w:val="clear"/>
            <w:vAlign w:val="center"/>
          </w:tcPr>
          <w:p>
            <w:pPr>
              <w:pStyle w:val="TableContents"/>
              <w:spacing w:before="0" w:after="0"/>
              <w:ind w:left="0" w:right="0" w:firstLine="30"/>
              <w:jc w:val="left"/>
              <w:rPr/>
            </w:pPr>
            <w:r>
              <w:rPr/>
              <w:t> </w:t>
            </w:r>
          </w:p>
        </w:tc>
        <w:tc>
          <w:tcPr>
            <w:tcW w:w="2009"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Common Stock</w:t>
            </w:r>
          </w:p>
        </w:tc>
        <w:tc>
          <w:tcPr>
            <w:tcW w:w="130" w:type="dxa"/>
            <w:tcBorders/>
            <w:shd w:fill="auto" w:val="clear"/>
            <w:vAlign w:val="center"/>
          </w:tcPr>
          <w:p>
            <w:pPr>
              <w:pStyle w:val="TableContents"/>
              <w:spacing w:before="0" w:after="0"/>
              <w:ind w:left="0" w:right="0" w:firstLine="30"/>
              <w:rPr/>
            </w:pPr>
            <w:r>
              <w:rPr/>
              <w:t> </w:t>
            </w:r>
          </w:p>
        </w:tc>
        <w:tc>
          <w:tcPr>
            <w:tcW w:w="120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Additional Paid In Capital</w:t>
            </w:r>
          </w:p>
        </w:tc>
        <w:tc>
          <w:tcPr>
            <w:tcW w:w="130"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1520" w:type="dxa"/>
            <w:gridSpan w:val="3"/>
            <w:vMerge w:val="continue"/>
            <w:tcBorders>
              <w:bottom w:val="single" w:sz="2" w:space="0" w:color="000000"/>
            </w:tcBorders>
            <w:shd w:fill="auto" w:val="clear"/>
            <w:tcMar>
              <w:bottom w:w="30" w:type="dxa"/>
            </w:tcMar>
            <w:vAlign w:val="center"/>
          </w:tcPr>
          <w:p>
            <w:pPr>
              <w:pStyle w:val="Normal"/>
              <w:rPr/>
            </w:pPr>
            <w:r>
              <w:rPr/>
            </w:r>
          </w:p>
        </w:tc>
        <w:tc>
          <w:tcPr>
            <w:tcW w:w="130" w:type="dxa"/>
            <w:tcBorders/>
            <w:shd w:fill="auto" w:val="clear"/>
            <w:vAlign w:val="center"/>
          </w:tcPr>
          <w:p>
            <w:pPr>
              <w:pStyle w:val="TableContents"/>
              <w:spacing w:before="0" w:after="0"/>
              <w:ind w:left="0" w:right="0" w:firstLine="30"/>
              <w:rPr/>
            </w:pPr>
            <w:r>
              <w:rPr/>
              <w:t> </w:t>
            </w:r>
          </w:p>
        </w:tc>
        <w:tc>
          <w:tcPr>
            <w:tcW w:w="1491"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348" w:type="dxa"/>
            <w:tcBorders/>
            <w:shd w:fill="auto" w:val="clear"/>
            <w:vAlign w:val="center"/>
          </w:tcPr>
          <w:p>
            <w:pPr>
              <w:pStyle w:val="TableContents"/>
              <w:spacing w:before="0" w:after="0"/>
              <w:rPr/>
            </w:pPr>
            <w:r>
              <w:rPr/>
              <w:t> </w:t>
            </w:r>
          </w:p>
        </w:tc>
        <w:tc>
          <w:tcPr>
            <w:tcW w:w="98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130" w:type="dxa"/>
            <w:tcBorders/>
            <w:shd w:fill="auto" w:val="clear"/>
            <w:vAlign w:val="center"/>
          </w:tcPr>
          <w:p>
            <w:pPr>
              <w:pStyle w:val="TableContents"/>
              <w:spacing w:before="0" w:after="0"/>
              <w:ind w:left="0" w:right="0" w:firstLine="30"/>
              <w:rPr/>
            </w:pPr>
            <w:r>
              <w:rPr/>
              <w:t> </w:t>
            </w:r>
          </w:p>
        </w:tc>
        <w:tc>
          <w:tcPr>
            <w:tcW w:w="89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Par</w:t>
            </w:r>
          </w:p>
          <w:p>
            <w:pPr>
              <w:pStyle w:val="TableContents"/>
              <w:spacing w:before="0" w:after="0"/>
              <w:ind w:left="0" w:right="0" w:firstLine="30"/>
              <w:jc w:val="center"/>
              <w:rPr>
                <w:rFonts w:ascii="inherit" w:hAnsi="inherit"/>
                <w:b/>
                <w:sz w:val="12"/>
              </w:rPr>
            </w:pPr>
            <w:r>
              <w:rPr>
                <w:rFonts w:ascii="inherit" w:hAnsi="inherit"/>
                <w:b/>
                <w:sz w:val="12"/>
              </w:rPr>
              <w:t>Value</w:t>
            </w:r>
          </w:p>
        </w:tc>
        <w:tc>
          <w:tcPr>
            <w:tcW w:w="130" w:type="dxa"/>
            <w:tcBorders/>
            <w:shd w:fill="auto" w:val="clear"/>
            <w:vAlign w:val="center"/>
          </w:tcPr>
          <w:p>
            <w:pPr>
              <w:pStyle w:val="TableContents"/>
              <w:spacing w:before="0" w:after="0"/>
              <w:ind w:left="0" w:right="0" w:firstLine="30"/>
              <w:rPr/>
            </w:pPr>
            <w:r>
              <w:rPr/>
              <w:t> </w:t>
            </w:r>
          </w:p>
        </w:tc>
        <w:tc>
          <w:tcPr>
            <w:tcW w:w="1208" w:type="dxa"/>
            <w:gridSpan w:val="3"/>
            <w:vMerge w:val="continue"/>
            <w:tcBorders>
              <w:bottom w:val="single" w:sz="2" w:space="0" w:color="000000"/>
            </w:tcBorders>
            <w:shd w:fill="auto" w:val="clear"/>
            <w:tcMar>
              <w:bottom w:w="30" w:type="dxa"/>
            </w:tcMar>
            <w:vAlign w:val="center"/>
          </w:tcPr>
          <w:p>
            <w:pPr>
              <w:pStyle w:val="Normal"/>
              <w:rPr/>
            </w:pPr>
            <w:r>
              <w:rPr/>
            </w:r>
          </w:p>
        </w:tc>
        <w:tc>
          <w:tcPr>
            <w:tcW w:w="130" w:type="dxa"/>
            <w:tcBorders/>
            <w:shd w:fill="auto" w:val="clear"/>
            <w:vAlign w:val="center"/>
          </w:tcPr>
          <w:p>
            <w:pPr>
              <w:pStyle w:val="TableContents"/>
              <w:spacing w:before="0" w:after="0"/>
              <w:ind w:left="0" w:right="0" w:firstLine="30"/>
              <w:rPr/>
            </w:pPr>
            <w:r>
              <w:rPr/>
              <w:t> </w:t>
            </w:r>
          </w:p>
        </w:tc>
        <w:tc>
          <w:tcPr>
            <w:tcW w:w="110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Retained</w:t>
            </w:r>
          </w:p>
          <w:p>
            <w:pPr>
              <w:pStyle w:val="TableContents"/>
              <w:spacing w:before="0" w:after="0"/>
              <w:ind w:left="0" w:right="0" w:firstLine="30"/>
              <w:jc w:val="center"/>
              <w:rPr>
                <w:rFonts w:ascii="inherit" w:hAnsi="inherit"/>
                <w:b/>
                <w:sz w:val="12"/>
              </w:rPr>
            </w:pPr>
            <w:r>
              <w:rPr>
                <w:rFonts w:ascii="inherit" w:hAnsi="inherit"/>
                <w:b/>
                <w:sz w:val="12"/>
              </w:rPr>
              <w:t>Earnings</w:t>
            </w:r>
          </w:p>
        </w:tc>
        <w:tc>
          <w:tcPr>
            <w:tcW w:w="130" w:type="dxa"/>
            <w:tcBorders/>
            <w:shd w:fill="auto" w:val="clear"/>
            <w:vAlign w:val="center"/>
          </w:tcPr>
          <w:p>
            <w:pPr>
              <w:pStyle w:val="TableContents"/>
              <w:spacing w:before="0" w:after="0"/>
              <w:ind w:left="0" w:right="0" w:firstLine="30"/>
              <w:rPr/>
            </w:pPr>
            <w:r>
              <w:rPr/>
              <w:t> </w:t>
            </w:r>
          </w:p>
        </w:tc>
        <w:tc>
          <w:tcPr>
            <w:tcW w:w="1520" w:type="dxa"/>
            <w:gridSpan w:val="3"/>
            <w:vMerge w:val="continue"/>
            <w:tcBorders>
              <w:bottom w:val="single" w:sz="2" w:space="0" w:color="000000"/>
            </w:tcBorders>
            <w:shd w:fill="auto" w:val="clear"/>
            <w:tcMar>
              <w:bottom w:w="30" w:type="dxa"/>
            </w:tcMar>
            <w:vAlign w:val="center"/>
          </w:tcPr>
          <w:p>
            <w:pPr>
              <w:pStyle w:val="Normal"/>
              <w:rPr/>
            </w:pPr>
            <w:r>
              <w:rPr/>
            </w:r>
          </w:p>
        </w:tc>
        <w:tc>
          <w:tcPr>
            <w:tcW w:w="130" w:type="dxa"/>
            <w:tcBorders/>
            <w:shd w:fill="auto" w:val="clear"/>
            <w:vAlign w:val="center"/>
          </w:tcPr>
          <w:p>
            <w:pPr>
              <w:pStyle w:val="TableContents"/>
              <w:spacing w:before="0" w:after="0"/>
              <w:ind w:left="0" w:right="0" w:firstLine="30"/>
              <w:rPr/>
            </w:pPr>
            <w:r>
              <w:rPr/>
              <w:t> </w:t>
            </w:r>
          </w:p>
        </w:tc>
        <w:tc>
          <w:tcPr>
            <w:tcW w:w="1491"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348" w:type="dxa"/>
            <w:tcBorders/>
            <w:shd w:fill="auto" w:val="clear"/>
            <w:vAlign w:val="center"/>
          </w:tcPr>
          <w:p>
            <w:pPr>
              <w:pStyle w:val="TableContents"/>
              <w:spacing w:before="0" w:after="0"/>
              <w:ind w:left="0" w:right="0" w:firstLine="30"/>
              <w:jc w:val="left"/>
              <w:rPr/>
            </w:pPr>
            <w:r>
              <w:rPr/>
              <w:t> </w:t>
            </w:r>
          </w:p>
        </w:tc>
        <w:tc>
          <w:tcPr>
            <w:tcW w:w="7857" w:type="dxa"/>
            <w:gridSpan w:val="22"/>
            <w:tcBorders/>
            <w:shd w:fill="auto" w:val="clear"/>
            <w:vAlign w:val="center"/>
          </w:tcPr>
          <w:p>
            <w:pPr>
              <w:pStyle w:val="TableContents"/>
              <w:spacing w:before="0" w:after="0"/>
              <w:ind w:left="0" w:right="0" w:firstLine="30"/>
              <w:jc w:val="center"/>
              <w:rPr>
                <w:rFonts w:ascii="inherit" w:hAnsi="inherit"/>
                <w:i/>
                <w:sz w:val="12"/>
              </w:rPr>
            </w:pPr>
            <w:r>
              <w:rPr>
                <w:rFonts w:ascii="inherit" w:hAnsi="inherit"/>
                <w:i/>
                <w:sz w:val="12"/>
              </w:rPr>
              <w:t>(in thousands)</w:t>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Balances at September 30, 2009</w:t>
            </w:r>
          </w:p>
        </w:tc>
        <w:tc>
          <w:tcPr>
            <w:tcW w:w="909" w:type="dxa"/>
            <w:tcBorders/>
            <w:shd w:fill="CCEEFF" w:val="clear"/>
            <w:vAlign w:val="center"/>
          </w:tcPr>
          <w:p>
            <w:pPr>
              <w:pStyle w:val="TableContents"/>
              <w:spacing w:before="0" w:after="0"/>
              <w:jc w:val="right"/>
              <w:rPr>
                <w:rFonts w:ascii="inherit" w:hAnsi="inherit"/>
                <w:sz w:val="12"/>
              </w:rPr>
            </w:pPr>
            <w:r>
              <w:rPr>
                <w:rFonts w:ascii="inherit" w:hAnsi="inherit"/>
                <w:sz w:val="12"/>
              </w:rPr>
              <w:t>48,703</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671" w:type="dxa"/>
            <w:tcBorders/>
            <w:shd w:fill="CCEEFF" w:val="clear"/>
            <w:vAlign w:val="center"/>
          </w:tcPr>
          <w:p>
            <w:pPr>
              <w:pStyle w:val="TableContents"/>
              <w:spacing w:before="0" w:after="0"/>
              <w:jc w:val="right"/>
              <w:rPr>
                <w:rFonts w:ascii="inherit" w:hAnsi="inherit"/>
                <w:sz w:val="12"/>
              </w:rPr>
            </w:pPr>
            <w:r>
              <w:rPr>
                <w:rFonts w:ascii="inherit" w:hAnsi="inherit"/>
                <w:sz w:val="12"/>
              </w:rPr>
              <w:t>487</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926" w:type="dxa"/>
            <w:tcBorders/>
            <w:shd w:fill="CCEEFF" w:val="clear"/>
            <w:vAlign w:val="center"/>
          </w:tcPr>
          <w:p>
            <w:pPr>
              <w:pStyle w:val="TableContents"/>
              <w:spacing w:before="0" w:after="0"/>
              <w:jc w:val="right"/>
              <w:rPr>
                <w:rFonts w:ascii="inherit" w:hAnsi="inherit"/>
                <w:sz w:val="12"/>
              </w:rPr>
            </w:pPr>
            <w:r>
              <w:rPr>
                <w:rFonts w:ascii="inherit" w:hAnsi="inherit"/>
                <w:sz w:val="12"/>
              </w:rPr>
              <w:t>217,176</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900" w:type="dxa"/>
            <w:tcBorders/>
            <w:shd w:fill="CCEEFF" w:val="clear"/>
            <w:vAlign w:val="center"/>
          </w:tcPr>
          <w:p>
            <w:pPr>
              <w:pStyle w:val="TableContents"/>
              <w:spacing w:before="0" w:after="0"/>
              <w:jc w:val="right"/>
              <w:rPr>
                <w:rFonts w:ascii="inherit" w:hAnsi="inherit"/>
                <w:sz w:val="12"/>
              </w:rPr>
            </w:pPr>
            <w:r>
              <w:rPr>
                <w:rFonts w:ascii="inherit" w:hAnsi="inherit"/>
                <w:sz w:val="12"/>
              </w:rPr>
              <w:t>202,642</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6"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1106" w:type="dxa"/>
            <w:tcBorders/>
            <w:shd w:fill="CCEEFF" w:val="clear"/>
            <w:vAlign w:val="center"/>
          </w:tcPr>
          <w:p>
            <w:pPr>
              <w:pStyle w:val="TableContents"/>
              <w:spacing w:before="0" w:after="0"/>
              <w:jc w:val="right"/>
              <w:rPr>
                <w:rFonts w:ascii="inherit" w:hAnsi="inherit"/>
                <w:sz w:val="12"/>
              </w:rPr>
            </w:pPr>
            <w:r>
              <w:rPr>
                <w:rFonts w:ascii="inherit" w:hAnsi="inherit"/>
                <w:sz w:val="12"/>
              </w:rPr>
              <w:t>(4,620</w:t>
            </w:r>
          </w:p>
        </w:tc>
        <w:tc>
          <w:tcPr>
            <w:tcW w:w="20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892" w:type="dxa"/>
            <w:tcBorders/>
            <w:shd w:fill="CCEEFF" w:val="clear"/>
            <w:vAlign w:val="center"/>
          </w:tcPr>
          <w:p>
            <w:pPr>
              <w:pStyle w:val="TableContents"/>
              <w:spacing w:before="0" w:after="0"/>
              <w:jc w:val="right"/>
              <w:rPr>
                <w:rFonts w:ascii="inherit" w:hAnsi="inherit"/>
                <w:sz w:val="12"/>
              </w:rPr>
            </w:pPr>
            <w:r>
              <w:rPr>
                <w:rFonts w:ascii="inherit" w:hAnsi="inherit"/>
                <w:sz w:val="12"/>
              </w:rPr>
              <w:t>415,685</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to 401(k) plan</w:t>
            </w:r>
          </w:p>
        </w:tc>
        <w:tc>
          <w:tcPr>
            <w:tcW w:w="909" w:type="dxa"/>
            <w:tcBorders/>
            <w:shd w:fill="auto" w:val="clear"/>
            <w:vAlign w:val="center"/>
          </w:tcPr>
          <w:p>
            <w:pPr>
              <w:pStyle w:val="TableContents"/>
              <w:spacing w:before="0" w:after="0"/>
              <w:jc w:val="right"/>
              <w:rPr>
                <w:rFonts w:ascii="inherit" w:hAnsi="inherit"/>
                <w:sz w:val="12"/>
              </w:rPr>
            </w:pPr>
            <w:r>
              <w:rPr>
                <w:rFonts w:ascii="inherit" w:hAnsi="inherit"/>
                <w:sz w:val="12"/>
              </w:rPr>
              <w:t>13</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260</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260</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Stock compensation</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4,512</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4,512</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Stock options and warrants exercised</w:t>
            </w:r>
          </w:p>
        </w:tc>
        <w:tc>
          <w:tcPr>
            <w:tcW w:w="909" w:type="dxa"/>
            <w:tcBorders/>
            <w:shd w:fill="auto" w:val="clear"/>
            <w:vAlign w:val="center"/>
          </w:tcPr>
          <w:p>
            <w:pPr>
              <w:pStyle w:val="TableContents"/>
              <w:spacing w:before="0" w:after="0"/>
              <w:jc w:val="right"/>
              <w:rPr>
                <w:rFonts w:ascii="inherit" w:hAnsi="inherit"/>
                <w:sz w:val="12"/>
              </w:rPr>
            </w:pPr>
            <w:r>
              <w:rPr>
                <w:rFonts w:ascii="inherit" w:hAnsi="inherit"/>
                <w:sz w:val="12"/>
              </w:rPr>
              <w:t>494</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1,596</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1,602</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due to acquisitions</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(31</w:t>
            </w:r>
          </w:p>
        </w:tc>
        <w:tc>
          <w:tcPr>
            <w:tcW w:w="142"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(31</w:t>
            </w:r>
          </w:p>
        </w:tc>
        <w:tc>
          <w:tcPr>
            <w:tcW w:w="465" w:type="dxa"/>
            <w:tcBorders/>
            <w:shd w:fill="CCEEFF"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Release of Restricted Stock</w:t>
            </w:r>
          </w:p>
        </w:tc>
        <w:tc>
          <w:tcPr>
            <w:tcW w:w="909" w:type="dxa"/>
            <w:tcBorders/>
            <w:shd w:fill="auto" w:val="clear"/>
            <w:vAlign w:val="center"/>
          </w:tcPr>
          <w:p>
            <w:pPr>
              <w:pStyle w:val="TableContents"/>
              <w:spacing w:before="0" w:after="0"/>
              <w:jc w:val="right"/>
              <w:rPr>
                <w:rFonts w:ascii="inherit" w:hAnsi="inherit"/>
                <w:sz w:val="12"/>
              </w:rPr>
            </w:pPr>
            <w:r>
              <w:rPr>
                <w:rFonts w:ascii="inherit" w:hAnsi="inherit"/>
                <w:sz w:val="12"/>
              </w:rPr>
              <w:t>16</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pPr>
            <w:r>
              <w:rPr/>
              <w:t>—</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Excess tax benefit from stock compensation</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1,861</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1,861</w:t>
            </w:r>
          </w:p>
        </w:tc>
        <w:tc>
          <w:tcPr>
            <w:tcW w:w="46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Unrealized gain (loss) on available-for-sale securities</w:t>
            </w:r>
          </w:p>
        </w:tc>
        <w:tc>
          <w:tcPr>
            <w:tcW w:w="909"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pPr>
            <w:r>
              <w:rPr/>
              <w:t>—</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Foreign currency translation adjustment</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(1,755</w:t>
            </w:r>
          </w:p>
        </w:tc>
        <w:tc>
          <w:tcPr>
            <w:tcW w:w="20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(1,755</w:t>
            </w:r>
          </w:p>
        </w:tc>
        <w:tc>
          <w:tcPr>
            <w:tcW w:w="465" w:type="dxa"/>
            <w:tcBorders/>
            <w:shd w:fill="CCEEFF"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48" w:type="dxa"/>
            <w:tcBorders/>
            <w:shd w:fill="auto" w:val="clear"/>
            <w:vAlign w:val="center"/>
          </w:tcPr>
          <w:p>
            <w:pPr>
              <w:pStyle w:val="TableContents"/>
              <w:spacing w:before="0" w:after="0"/>
              <w:ind w:left="0" w:right="0" w:firstLine="30"/>
              <w:rPr>
                <w:rFonts w:ascii="inherit" w:hAnsi="inherit"/>
                <w:sz w:val="12"/>
              </w:rPr>
            </w:pPr>
            <w:r>
              <w:rPr>
                <w:rFonts w:ascii="inherit" w:hAnsi="inherit"/>
                <w:sz w:val="12"/>
              </w:rPr>
              <w:t xml:space="preserve">Net income attributable to EZCORP, Inc. </w:t>
            </w:r>
          </w:p>
        </w:tc>
        <w:tc>
          <w:tcPr>
            <w:tcW w:w="909"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97,294</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97,294</w:t>
            </w:r>
          </w:p>
        </w:tc>
        <w:tc>
          <w:tcPr>
            <w:tcW w:w="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Balances at September 30, 2010</w:t>
            </w:r>
          </w:p>
        </w:tc>
        <w:tc>
          <w:tcPr>
            <w:tcW w:w="90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49,226</w:t>
            </w:r>
          </w:p>
        </w:tc>
        <w:tc>
          <w:tcPr>
            <w:tcW w:w="7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6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493</w:t>
            </w:r>
          </w:p>
        </w:tc>
        <w:tc>
          <w:tcPr>
            <w:tcW w:w="7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225,374</w:t>
            </w:r>
          </w:p>
        </w:tc>
        <w:tc>
          <w:tcPr>
            <w:tcW w:w="1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299,936</w:t>
            </w:r>
          </w:p>
        </w:tc>
        <w:tc>
          <w:tcPr>
            <w:tcW w:w="7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110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(6,375</w:t>
            </w:r>
          </w:p>
        </w:tc>
        <w:tc>
          <w:tcPr>
            <w:tcW w:w="2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8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519,428</w:t>
            </w:r>
          </w:p>
        </w:tc>
        <w:tc>
          <w:tcPr>
            <w:tcW w:w="4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to 401(k) plan</w:t>
            </w:r>
          </w:p>
        </w:tc>
        <w:tc>
          <w:tcPr>
            <w:tcW w:w="909" w:type="dxa"/>
            <w:tcBorders/>
            <w:shd w:fill="CCEEFF" w:val="clear"/>
            <w:vAlign w:val="center"/>
          </w:tcPr>
          <w:p>
            <w:pPr>
              <w:pStyle w:val="TableContents"/>
              <w:spacing w:before="0" w:after="0"/>
              <w:jc w:val="right"/>
              <w:rPr>
                <w:rFonts w:ascii="inherit" w:hAnsi="inherit"/>
                <w:sz w:val="12"/>
              </w:rPr>
            </w:pPr>
            <w:r>
              <w:rPr>
                <w:rFonts w:ascii="inherit" w:hAnsi="inherit"/>
                <w:sz w:val="12"/>
              </w:rPr>
              <w:t>12</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377</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377</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Stock compensation</w:t>
            </w:r>
          </w:p>
        </w:tc>
        <w:tc>
          <w:tcPr>
            <w:tcW w:w="909"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13,208</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13,208</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Stock options exercised</w:t>
            </w:r>
          </w:p>
        </w:tc>
        <w:tc>
          <w:tcPr>
            <w:tcW w:w="909" w:type="dxa"/>
            <w:tcBorders/>
            <w:shd w:fill="CCEEFF" w:val="clear"/>
            <w:vAlign w:val="center"/>
          </w:tcPr>
          <w:p>
            <w:pPr>
              <w:pStyle w:val="TableContents"/>
              <w:spacing w:before="0" w:after="0"/>
              <w:jc w:val="right"/>
              <w:rPr>
                <w:rFonts w:ascii="inherit" w:hAnsi="inherit"/>
                <w:sz w:val="12"/>
              </w:rPr>
            </w:pPr>
            <w:r>
              <w:rPr>
                <w:rFonts w:ascii="inherit" w:hAnsi="inherit"/>
                <w:sz w:val="12"/>
              </w:rPr>
              <w:t>62</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396</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397</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due to acquisitions</w:t>
            </w:r>
          </w:p>
        </w:tc>
        <w:tc>
          <w:tcPr>
            <w:tcW w:w="909" w:type="dxa"/>
            <w:tcBorders/>
            <w:shd w:fill="auto" w:val="clear"/>
            <w:vAlign w:val="center"/>
          </w:tcPr>
          <w:p>
            <w:pPr>
              <w:pStyle w:val="TableContents"/>
              <w:spacing w:before="0" w:after="0"/>
              <w:jc w:val="right"/>
              <w:rPr>
                <w:rFonts w:ascii="inherit" w:hAnsi="inherit"/>
                <w:sz w:val="12"/>
              </w:rPr>
            </w:pPr>
            <w:r>
              <w:rPr>
                <w:rFonts w:ascii="inherit" w:hAnsi="inherit"/>
                <w:sz w:val="12"/>
              </w:rPr>
              <w:t>209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2</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7,302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7,304</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Release of Restricted Stock</w:t>
            </w:r>
          </w:p>
        </w:tc>
        <w:tc>
          <w:tcPr>
            <w:tcW w:w="909" w:type="dxa"/>
            <w:tcBorders/>
            <w:shd w:fill="CCEEFF" w:val="clear"/>
            <w:vAlign w:val="center"/>
          </w:tcPr>
          <w:p>
            <w:pPr>
              <w:pStyle w:val="TableContents"/>
              <w:spacing w:before="0" w:after="0"/>
              <w:jc w:val="right"/>
              <w:rPr>
                <w:rFonts w:ascii="inherit" w:hAnsi="inherit"/>
                <w:sz w:val="12"/>
              </w:rPr>
            </w:pPr>
            <w:r>
              <w:rPr>
                <w:rFonts w:ascii="inherit" w:hAnsi="inherit"/>
                <w:sz w:val="12"/>
              </w:rPr>
              <w:t>690</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pPr>
            <w:r>
              <w:rPr/>
              <w:t>—</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Excess tax benefit from stock compensation</w:t>
            </w:r>
          </w:p>
        </w:tc>
        <w:tc>
          <w:tcPr>
            <w:tcW w:w="909"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5</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3,225</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3,230</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Taxes paid related to net share settlement of equity awards</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(7,484</w:t>
            </w:r>
          </w:p>
        </w:tc>
        <w:tc>
          <w:tcPr>
            <w:tcW w:w="142"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(7,484</w:t>
            </w:r>
          </w:p>
        </w:tc>
        <w:tc>
          <w:tcPr>
            <w:tcW w:w="465" w:type="dxa"/>
            <w:tcBorders/>
            <w:shd w:fill="CCEEFF"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Unrealized gain (loss) on available-for-sale securities</w:t>
            </w:r>
          </w:p>
        </w:tc>
        <w:tc>
          <w:tcPr>
            <w:tcW w:w="909"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605</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605</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Foreign currency translation adjustment</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5,024</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5,024</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rPr>
                <w:rFonts w:ascii="inherit" w:hAnsi="inherit"/>
                <w:sz w:val="12"/>
              </w:rPr>
            </w:pPr>
            <w:r>
              <w:rPr>
                <w:rFonts w:ascii="inherit" w:hAnsi="inherit"/>
                <w:sz w:val="12"/>
              </w:rPr>
              <w:t xml:space="preserve">Net income attributable to EZCORP, Inc. </w:t>
            </w:r>
          </w:p>
        </w:tc>
        <w:tc>
          <w:tcPr>
            <w:tcW w:w="909"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122,159</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122,159</w:t>
            </w:r>
          </w:p>
        </w:tc>
        <w:tc>
          <w:tcPr>
            <w:tcW w:w="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Balances at September 30, 2011</w:t>
            </w:r>
          </w:p>
        </w:tc>
        <w:tc>
          <w:tcPr>
            <w:tcW w:w="90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50,199</w:t>
            </w:r>
          </w:p>
        </w:tc>
        <w:tc>
          <w:tcPr>
            <w:tcW w:w="7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6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501</w:t>
            </w:r>
          </w:p>
        </w:tc>
        <w:tc>
          <w:tcPr>
            <w:tcW w:w="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2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242,398</w:t>
            </w:r>
          </w:p>
        </w:tc>
        <w:tc>
          <w:tcPr>
            <w:tcW w:w="14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0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422,095</w:t>
            </w:r>
          </w:p>
        </w:tc>
        <w:tc>
          <w:tcPr>
            <w:tcW w:w="7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110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(746</w:t>
            </w:r>
          </w:p>
        </w:tc>
        <w:tc>
          <w:tcPr>
            <w:tcW w:w="2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89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664,248</w:t>
            </w:r>
          </w:p>
        </w:tc>
        <w:tc>
          <w:tcPr>
            <w:tcW w:w="46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to 401(k) plan</w:t>
            </w:r>
          </w:p>
        </w:tc>
        <w:tc>
          <w:tcPr>
            <w:tcW w:w="909" w:type="dxa"/>
            <w:tcBorders/>
            <w:shd w:fill="auto" w:val="clear"/>
            <w:vAlign w:val="center"/>
          </w:tcPr>
          <w:p>
            <w:pPr>
              <w:pStyle w:val="TableContents"/>
              <w:spacing w:before="0" w:after="0"/>
              <w:jc w:val="right"/>
              <w:rPr>
                <w:rFonts w:ascii="inherit" w:hAnsi="inherit"/>
                <w:sz w:val="12"/>
              </w:rPr>
            </w:pPr>
            <w:r>
              <w:rPr>
                <w:rFonts w:ascii="inherit" w:hAnsi="inherit"/>
                <w:sz w:val="12"/>
              </w:rPr>
              <w:t>19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459</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459</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Stock compensation</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6,714</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6,714</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Stock options exercised</w:t>
            </w:r>
          </w:p>
        </w:tc>
        <w:tc>
          <w:tcPr>
            <w:tcW w:w="909" w:type="dxa"/>
            <w:tcBorders/>
            <w:shd w:fill="auto" w:val="clear"/>
            <w:vAlign w:val="center"/>
          </w:tcPr>
          <w:p>
            <w:pPr>
              <w:pStyle w:val="TableContents"/>
              <w:spacing w:before="0" w:after="0"/>
              <w:jc w:val="right"/>
              <w:rPr>
                <w:rFonts w:ascii="inherit" w:hAnsi="inherit"/>
                <w:sz w:val="12"/>
              </w:rPr>
            </w:pPr>
            <w:r>
              <w:rPr>
                <w:rFonts w:ascii="inherit" w:hAnsi="inherit"/>
                <w:sz w:val="12"/>
              </w:rPr>
              <w:t>201</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2</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647</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649</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due to acquisitions</w:t>
            </w:r>
          </w:p>
        </w:tc>
        <w:tc>
          <w:tcPr>
            <w:tcW w:w="909" w:type="dxa"/>
            <w:tcBorders/>
            <w:shd w:fill="CCEEFF" w:val="clear"/>
            <w:vAlign w:val="center"/>
          </w:tcPr>
          <w:p>
            <w:pPr>
              <w:pStyle w:val="TableContents"/>
              <w:spacing w:before="0" w:after="0"/>
              <w:jc w:val="right"/>
              <w:rPr>
                <w:rFonts w:ascii="inherit" w:hAnsi="inherit"/>
                <w:sz w:val="12"/>
              </w:rPr>
            </w:pPr>
            <w:r>
              <w:rPr>
                <w:rFonts w:ascii="inherit" w:hAnsi="inherit"/>
                <w:sz w:val="12"/>
              </w:rPr>
              <w:t>635</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6</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17,992</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17,998</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Release of Restricted Stock</w:t>
            </w:r>
          </w:p>
        </w:tc>
        <w:tc>
          <w:tcPr>
            <w:tcW w:w="909" w:type="dxa"/>
            <w:tcBorders/>
            <w:shd w:fill="auto" w:val="clear"/>
            <w:vAlign w:val="center"/>
          </w:tcPr>
          <w:p>
            <w:pPr>
              <w:pStyle w:val="TableContents"/>
              <w:spacing w:before="0" w:after="0"/>
              <w:jc w:val="right"/>
              <w:rPr>
                <w:rFonts w:ascii="inherit" w:hAnsi="inherit"/>
                <w:sz w:val="12"/>
              </w:rPr>
            </w:pPr>
            <w:r>
              <w:rPr>
                <w:rFonts w:ascii="inherit" w:hAnsi="inherit"/>
                <w:sz w:val="12"/>
              </w:rPr>
              <w:t>172</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Excess tax benefit from stock compensation</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2</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1,600</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1,602</w:t>
            </w:r>
          </w:p>
        </w:tc>
        <w:tc>
          <w:tcPr>
            <w:tcW w:w="46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Taxes paid related to net share settlement of equity awards</w:t>
            </w:r>
          </w:p>
        </w:tc>
        <w:tc>
          <w:tcPr>
            <w:tcW w:w="909"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(1,184</w:t>
            </w:r>
          </w:p>
        </w:tc>
        <w:tc>
          <w:tcPr>
            <w:tcW w:w="142"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(1,184</w:t>
            </w:r>
          </w:p>
        </w:tc>
        <w:tc>
          <w:tcPr>
            <w:tcW w:w="465" w:type="dxa"/>
            <w:tcBorders/>
            <w:shd w:fill="auto"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4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Unrealized gain (loss) on available-for-sale securities</w:t>
            </w:r>
          </w:p>
        </w:tc>
        <w:tc>
          <w:tcPr>
            <w:tcW w:w="909"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(478</w:t>
            </w:r>
          </w:p>
        </w:tc>
        <w:tc>
          <w:tcPr>
            <w:tcW w:w="20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(478</w:t>
            </w:r>
          </w:p>
        </w:tc>
        <w:tc>
          <w:tcPr>
            <w:tcW w:w="465" w:type="dxa"/>
            <w:tcBorders/>
            <w:shd w:fill="CCEEFF"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Foreign currency translation adjustment</w:t>
            </w:r>
          </w:p>
        </w:tc>
        <w:tc>
          <w:tcPr>
            <w:tcW w:w="909"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19"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1,111</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2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1,111</w:t>
            </w:r>
          </w:p>
        </w:tc>
        <w:tc>
          <w:tcPr>
            <w:tcW w:w="46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48" w:type="dxa"/>
            <w:tcBorders/>
            <w:shd w:fill="CCEEFF" w:val="clear"/>
            <w:vAlign w:val="center"/>
          </w:tcPr>
          <w:p>
            <w:pPr>
              <w:pStyle w:val="TableContents"/>
              <w:spacing w:before="0" w:after="0"/>
              <w:ind w:left="0" w:right="0" w:firstLine="30"/>
              <w:rPr>
                <w:rFonts w:ascii="inherit" w:hAnsi="inherit"/>
                <w:sz w:val="12"/>
              </w:rPr>
            </w:pPr>
            <w:r>
              <w:rPr>
                <w:rFonts w:ascii="inherit" w:hAnsi="inherit"/>
                <w:sz w:val="12"/>
              </w:rPr>
              <w:t xml:space="preserve">Net income attributable to EZCORP, Inc. </w:t>
            </w:r>
          </w:p>
        </w:tc>
        <w:tc>
          <w:tcPr>
            <w:tcW w:w="909"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1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2"/>
              </w:rPr>
            </w:pPr>
            <w:r>
              <w:rPr>
                <w:rFonts w:ascii="inherit" w:hAnsi="inherit"/>
                <w:sz w:val="12"/>
              </w:rPr>
              <w:t>143,708</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0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2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143,708</w:t>
            </w:r>
          </w:p>
        </w:tc>
        <w:tc>
          <w:tcPr>
            <w:tcW w:w="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Balances at September 30, 2012</w:t>
            </w:r>
          </w:p>
        </w:tc>
        <w:tc>
          <w:tcPr>
            <w:tcW w:w="90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2"/>
              </w:rPr>
            </w:pPr>
            <w:r>
              <w:rPr>
                <w:rFonts w:ascii="inherit" w:hAnsi="inherit"/>
                <w:sz w:val="12"/>
              </w:rPr>
              <w:t>51,226</w:t>
            </w:r>
          </w:p>
        </w:tc>
        <w:tc>
          <w:tcPr>
            <w:tcW w:w="7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6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2"/>
              </w:rPr>
            </w:pPr>
            <w:r>
              <w:rPr>
                <w:rFonts w:ascii="inherit" w:hAnsi="inherit"/>
                <w:sz w:val="12"/>
              </w:rPr>
              <w:t>512</w:t>
            </w:r>
          </w:p>
        </w:tc>
        <w:tc>
          <w:tcPr>
            <w:tcW w:w="7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2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2"/>
              </w:rPr>
            </w:pPr>
            <w:r>
              <w:rPr>
                <w:rFonts w:ascii="inherit" w:hAnsi="inherit"/>
                <w:sz w:val="12"/>
              </w:rPr>
              <w:t>268,626</w:t>
            </w:r>
          </w:p>
        </w:tc>
        <w:tc>
          <w:tcPr>
            <w:tcW w:w="14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0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2"/>
              </w:rPr>
            </w:pPr>
            <w:r>
              <w:rPr>
                <w:rFonts w:ascii="inherit" w:hAnsi="inherit"/>
                <w:sz w:val="12"/>
              </w:rPr>
              <w:t>565,803</w:t>
            </w:r>
          </w:p>
        </w:tc>
        <w:tc>
          <w:tcPr>
            <w:tcW w:w="7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110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2"/>
              </w:rPr>
            </w:pPr>
            <w:r>
              <w:rPr>
                <w:rFonts w:ascii="inherit" w:hAnsi="inherit"/>
                <w:sz w:val="12"/>
              </w:rPr>
              <w:t>(113</w:t>
            </w:r>
          </w:p>
        </w:tc>
        <w:tc>
          <w:tcPr>
            <w:tcW w:w="208"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8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834,828</w:t>
            </w:r>
          </w:p>
        </w:tc>
        <w:tc>
          <w:tcPr>
            <w:tcW w:w="4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7"/>
        </w:rPr>
      </w:pPr>
      <w:r>
        <w:rPr>
          <w:rFonts w:ascii="inherit" w:hAnsi="inherit"/>
          <w:i/>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lineRule="auto" w:line="288" w:before="0" w:after="0"/>
        <w:rPr/>
      </w:pPr>
      <w:hyperlink w:anchor="s149FCBE28F3900CCBC1E0F13F39FAE0B">
        <w:bookmarkStart w:id="53" w:name="s36A3F429E0AB11AF63FF0F13F9F224F6"/>
        <w:bookmarkEnd w:id="5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Notes to Consolidated Financial Statements</w:t>
      </w:r>
    </w:p>
    <w:p>
      <w:pPr>
        <w:pStyle w:val="TextBody"/>
        <w:spacing w:lineRule="auto" w:line="288" w:before="0" w:after="0"/>
        <w:jc w:val="left"/>
        <w:rPr>
          <w:rFonts w:ascii="inherit" w:hAnsi="inherit"/>
          <w:b/>
          <w:sz w:val="17"/>
        </w:rPr>
      </w:pPr>
      <w:bookmarkStart w:id="54" w:name="s4261A90C8B95735C5E660F13B82A560D"/>
      <w:bookmarkEnd w:id="54"/>
      <w:r>
        <w:rPr>
          <w:rFonts w:ascii="inherit" w:hAnsi="inherit"/>
          <w:b/>
          <w:sz w:val="17"/>
        </w:rPr>
        <w:t>NOTE 1: ORGANIZATION AND SUMMARY OF SIGNIFICANT ACCOUNTING POLICIES</w:t>
      </w:r>
    </w:p>
    <w:p>
      <w:pPr>
        <w:pStyle w:val="TextBody"/>
        <w:spacing w:lineRule="auto" w:line="288" w:before="0" w:after="0"/>
        <w:jc w:val="left"/>
        <w:rPr>
          <w:rFonts w:ascii="inherit" w:hAnsi="inherit"/>
          <w:b/>
          <w:sz w:val="17"/>
        </w:rPr>
      </w:pPr>
      <w:r>
        <w:rPr>
          <w:rFonts w:ascii="inherit" w:hAnsi="inherit"/>
          <w:b/>
          <w:sz w:val="17"/>
        </w:rPr>
        <w:t>Organization</w:t>
      </w:r>
    </w:p>
    <w:p>
      <w:pPr>
        <w:pStyle w:val="TextBody"/>
        <w:spacing w:lineRule="auto" w:line="288" w:before="0" w:after="0"/>
        <w:jc w:val="left"/>
        <w:rPr>
          <w:rFonts w:ascii="inherit" w:hAnsi="inherit"/>
          <w:sz w:val="17"/>
        </w:rPr>
      </w:pPr>
      <w:r>
        <w:rPr>
          <w:rFonts w:ascii="inherit" w:hAnsi="inherit"/>
          <w:sz w:val="17"/>
        </w:rPr>
        <w:t>We are a leading provider of specialty consumer financial services. We provide collateralized, non-recourse loans, commonly known as pawn loans, and a variety of short-term consumer loans including single-payment and multiple-payment unsecured loans and single-payment and multiple-payment auto title loans, or fee-based credit services to customers seeking loans.</w:t>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we operated a total of </w:t>
      </w:r>
      <w:r>
        <w:rPr>
          <w:rFonts w:ascii="inherit" w:hAnsi="inherit"/>
          <w:strike w:val="false"/>
          <w:dstrike w:val="false"/>
          <w:color w:val="000000"/>
          <w:sz w:val="17"/>
          <w:u w:val="none"/>
          <w:effect w:val="none"/>
        </w:rPr>
        <w:t>1,262</w:t>
      </w:r>
      <w:r>
        <w:rPr>
          <w:sz w:val="17"/>
        </w:rPr>
        <w:t xml:space="preserve"> </w:t>
      </w:r>
      <w:r>
        <w:rPr>
          <w:rFonts w:ascii="inherit" w:hAnsi="inherit"/>
          <w:sz w:val="17"/>
        </w:rPr>
        <w:t xml:space="preserve">locations, consisting of </w:t>
      </w:r>
      <w:r>
        <w:rPr>
          <w:rFonts w:ascii="inherit" w:hAnsi="inherit"/>
          <w:strike w:val="false"/>
          <w:dstrike w:val="false"/>
          <w:color w:val="000000"/>
          <w:sz w:val="17"/>
          <w:u w:val="none"/>
          <w:effect w:val="none"/>
        </w:rPr>
        <w:t>470</w:t>
      </w:r>
      <w:r>
        <w:rPr>
          <w:sz w:val="17"/>
        </w:rPr>
        <w:t xml:space="preserve"> </w:t>
      </w:r>
      <w:r>
        <w:rPr>
          <w:rFonts w:ascii="inherit" w:hAnsi="inherit"/>
          <w:sz w:val="17"/>
        </w:rPr>
        <w:t xml:space="preserve">U.S. pawn stores (operating as EZPAWN or Value Pawn), </w:t>
      </w:r>
      <w:r>
        <w:rPr>
          <w:rFonts w:ascii="inherit" w:hAnsi="inherit"/>
          <w:strike w:val="false"/>
          <w:dstrike w:val="false"/>
          <w:color w:val="000000"/>
          <w:sz w:val="17"/>
          <w:u w:val="none"/>
          <w:effect w:val="none"/>
        </w:rPr>
        <w:t>seven</w:t>
      </w:r>
      <w:r>
        <w:rPr>
          <w:sz w:val="17"/>
        </w:rPr>
        <w:t xml:space="preserve"> </w:t>
      </w:r>
      <w:r>
        <w:rPr>
          <w:rFonts w:ascii="inherit" w:hAnsi="inherit"/>
          <w:sz w:val="17"/>
        </w:rPr>
        <w:t xml:space="preserve">U.S. buy/sell stores (operating as Cash Converters), </w:t>
      </w:r>
      <w:r>
        <w:rPr>
          <w:rFonts w:ascii="inherit" w:hAnsi="inherit"/>
          <w:strike w:val="false"/>
          <w:dstrike w:val="false"/>
          <w:color w:val="000000"/>
          <w:sz w:val="17"/>
          <w:u w:val="none"/>
          <w:effect w:val="none"/>
        </w:rPr>
        <w:t>230</w:t>
      </w:r>
      <w:r>
        <w:rPr>
          <w:sz w:val="17"/>
        </w:rPr>
        <w:t xml:space="preserve"> </w:t>
      </w:r>
      <w:r>
        <w:rPr>
          <w:rFonts w:ascii="inherit" w:hAnsi="inherit"/>
          <w:sz w:val="17"/>
        </w:rPr>
        <w:t xml:space="preserve">pawn stores in Mexico (operating as Empeño Fácil or Empeñe Su Oro), </w:t>
      </w:r>
      <w:r>
        <w:rPr>
          <w:rFonts w:ascii="inherit" w:hAnsi="inherit"/>
          <w:strike w:val="false"/>
          <w:dstrike w:val="false"/>
          <w:color w:val="000000"/>
          <w:sz w:val="17"/>
          <w:u w:val="none"/>
          <w:effect w:val="none"/>
        </w:rPr>
        <w:t>442</w:t>
      </w:r>
      <w:r>
        <w:rPr>
          <w:sz w:val="17"/>
        </w:rPr>
        <w:t xml:space="preserve"> </w:t>
      </w:r>
      <w:r>
        <w:rPr>
          <w:rFonts w:ascii="inherit" w:hAnsi="inherit"/>
          <w:sz w:val="17"/>
        </w:rPr>
        <w:t xml:space="preserve">U.S. financial services stores (operating primarily as EZMONEY), </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financial services stores in Canada (operating as CASHMAX) and </w:t>
      </w:r>
      <w:r>
        <w:rPr>
          <w:rFonts w:ascii="inherit" w:hAnsi="inherit"/>
          <w:strike w:val="false"/>
          <w:dstrike w:val="false"/>
          <w:color w:val="000000"/>
          <w:sz w:val="17"/>
          <w:u w:val="none"/>
          <w:effect w:val="none"/>
        </w:rPr>
        <w:t>35</w:t>
      </w:r>
      <w:r>
        <w:rPr>
          <w:sz w:val="17"/>
        </w:rPr>
        <w:t xml:space="preserve"> </w:t>
      </w:r>
      <w:r>
        <w:rPr>
          <w:rFonts w:ascii="inherit" w:hAnsi="inherit"/>
          <w:sz w:val="17"/>
        </w:rPr>
        <w:t xml:space="preserve">buy/sell and financial services stores in Canada (operating as Cash Converters). In addition, we are the franchisor for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franchised stores in Canada pursuant to our acquisition of the Cash Converters master franchise in that country. We also own approximately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of Albemarle &amp; Bond Holdings PLC, one of the U.K.’s largest pawnbroking businesses with approximately </w:t>
      </w:r>
      <w:r>
        <w:rPr>
          <w:rFonts w:ascii="inherit" w:hAnsi="inherit"/>
          <w:strike w:val="false"/>
          <w:dstrike w:val="false"/>
          <w:color w:val="000000"/>
          <w:sz w:val="17"/>
          <w:u w:val="none"/>
          <w:effect w:val="none"/>
        </w:rPr>
        <w:t>230</w:t>
      </w:r>
      <w:r>
        <w:rPr>
          <w:sz w:val="17"/>
        </w:rPr>
        <w:t xml:space="preserve"> </w:t>
      </w:r>
      <w:r>
        <w:rPr>
          <w:rFonts w:ascii="inherit" w:hAnsi="inherit"/>
          <w:sz w:val="17"/>
        </w:rPr>
        <w:t xml:space="preserve">stores, and approximately </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of Cash Converters International Limited, which franchises and operates a worldwide network of approximately </w:t>
      </w:r>
      <w:r>
        <w:rPr>
          <w:rFonts w:ascii="inherit" w:hAnsi="inherit"/>
          <w:strike w:val="false"/>
          <w:dstrike w:val="false"/>
          <w:color w:val="000000"/>
          <w:sz w:val="17"/>
          <w:u w:val="none"/>
          <w:effect w:val="none"/>
        </w:rPr>
        <w:t>700</w:t>
      </w:r>
      <w:r>
        <w:rPr>
          <w:sz w:val="17"/>
        </w:rPr>
        <w:t xml:space="preserve"> </w:t>
      </w:r>
      <w:r>
        <w:rPr>
          <w:rFonts w:ascii="inherit" w:hAnsi="inherit"/>
          <w:sz w:val="17"/>
        </w:rPr>
        <w:t xml:space="preserve">financial services and second-hand retail stores. During the third quarter of fiscal 2013, our Board of Directors approved a plan to close </w:t>
      </w:r>
      <w:r>
        <w:rPr>
          <w:rFonts w:ascii="inherit" w:hAnsi="inherit"/>
          <w:strike w:val="false"/>
          <w:dstrike w:val="false"/>
          <w:color w:val="000000"/>
          <w:sz w:val="17"/>
          <w:u w:val="none"/>
          <w:effect w:val="none"/>
        </w:rPr>
        <w:t>107</w:t>
      </w:r>
      <w:r>
        <w:rPr>
          <w:sz w:val="17"/>
        </w:rPr>
        <w:t xml:space="preserve"> </w:t>
      </w:r>
      <w:r>
        <w:rPr>
          <w:rFonts w:ascii="inherit" w:hAnsi="inherit"/>
          <w:sz w:val="17"/>
        </w:rPr>
        <w:t>legacy stores (</w:t>
      </w:r>
      <w:r>
        <w:rPr>
          <w:rFonts w:ascii="inherit" w:hAnsi="inherit"/>
          <w:strike w:val="false"/>
          <w:dstrike w:val="false"/>
          <w:color w:val="000000"/>
          <w:sz w:val="17"/>
          <w:u w:val="none"/>
          <w:effect w:val="none"/>
        </w:rPr>
        <w:t>102</w:t>
      </w:r>
      <w:r>
        <w:rPr>
          <w:sz w:val="17"/>
        </w:rPr>
        <w:t xml:space="preserve"> </w:t>
      </w:r>
      <w:r>
        <w:rPr>
          <w:rFonts w:ascii="inherit" w:hAnsi="inherit"/>
          <w:sz w:val="17"/>
        </w:rPr>
        <w:t xml:space="preserve">of which were in operation at </w:t>
      </w:r>
      <w:r>
        <w:rPr>
          <w:rFonts w:ascii="inherit" w:hAnsi="inherit"/>
          <w:strike w:val="false"/>
          <w:dstrike w:val="false"/>
          <w:color w:val="000000"/>
          <w:sz w:val="17"/>
          <w:u w:val="none"/>
          <w:effect w:val="none"/>
        </w:rPr>
        <w:t>September 30, 2012</w:t>
      </w:r>
      <w:r>
        <w:rPr>
          <w:rFonts w:ascii="inherit" w:hAnsi="inherit"/>
          <w:sz w:val="17"/>
        </w:rPr>
        <w:t>) in a variety of locations. These stores are generally older, smaller stores that do not fit our future growth profile (See Note 2, "Discontinued Operations," for further details).</w:t>
      </w:r>
    </w:p>
    <w:p>
      <w:pPr>
        <w:pStyle w:val="TextBody"/>
        <w:spacing w:lineRule="auto" w:line="288" w:before="0" w:after="0"/>
        <w:jc w:val="left"/>
        <w:rPr>
          <w:rFonts w:ascii="inherit" w:hAnsi="inherit"/>
          <w:b/>
          <w:sz w:val="17"/>
        </w:rPr>
      </w:pPr>
      <w:r>
        <w:rPr>
          <w:rFonts w:ascii="inherit" w:hAnsi="inherit"/>
          <w:b/>
          <w:sz w:val="17"/>
        </w:rPr>
        <w:t>Consolidation</w:t>
      </w:r>
    </w:p>
    <w:p>
      <w:pPr>
        <w:pStyle w:val="TextBody"/>
        <w:spacing w:lineRule="auto" w:line="288" w:before="0" w:after="0"/>
        <w:jc w:val="left"/>
        <w:rPr>
          <w:sz w:val="17"/>
        </w:rPr>
      </w:pPr>
      <w:r>
        <w:rPr>
          <w:rFonts w:ascii="inherit" w:hAnsi="inherit"/>
          <w:sz w:val="17"/>
        </w:rPr>
        <w:t xml:space="preserve">The consolidated financial statements include the accounts of EZCORP, Inc. and our controlled subsidiaries. All significant inter-company accounts and transactions have been eliminated in consolidation. We own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of the outstanding equity interests in Prestaciones Finmart, S.A.P.I de C.V., SOFOM, E.N.R. ("Crediamigo") and </w:t>
      </w:r>
      <w:r>
        <w:rPr>
          <w:rFonts w:ascii="inherit" w:hAnsi="inherit"/>
          <w:strike w:val="false"/>
          <w:dstrike w:val="false"/>
          <w:color w:val="000000"/>
          <w:sz w:val="17"/>
          <w:u w:val="none"/>
          <w:effect w:val="none"/>
        </w:rPr>
        <w:t>72%</w:t>
      </w:r>
      <w:r>
        <w:rPr>
          <w:sz w:val="17"/>
        </w:rPr>
        <w:t xml:space="preserve"> </w:t>
      </w:r>
      <w:r>
        <w:rPr>
          <w:rFonts w:ascii="inherit" w:hAnsi="inherit"/>
          <w:sz w:val="17"/>
        </w:rPr>
        <w:t>of Ariste Holding Limited and its affiliates ("Cash Genie"), and therefore, include their results in our consolidated financial statements. We account for our investments in Albemarle &amp; Bond Holdings, PLC and Cash Converters International Limited using the equity method.</w:t>
      </w:r>
    </w:p>
    <w:p>
      <w:pPr>
        <w:pStyle w:val="TextBody"/>
        <w:spacing w:lineRule="auto" w:line="288" w:before="0" w:after="0"/>
        <w:rPr>
          <w:rFonts w:ascii="inherit" w:hAnsi="inherit"/>
          <w:b/>
          <w:sz w:val="17"/>
        </w:rPr>
      </w:pPr>
      <w:r>
        <w:rPr>
          <w:rFonts w:ascii="inherit" w:hAnsi="inherit"/>
          <w:b/>
          <w:sz w:val="17"/>
        </w:rPr>
        <w:t>Reclassifications</w:t>
      </w:r>
    </w:p>
    <w:p>
      <w:pPr>
        <w:pStyle w:val="TextBody"/>
        <w:spacing w:lineRule="auto" w:line="288" w:before="0" w:after="0"/>
        <w:rPr>
          <w:rFonts w:ascii="inherit" w:hAnsi="inherit"/>
          <w:sz w:val="17"/>
        </w:rPr>
      </w:pPr>
      <w:r>
        <w:rPr>
          <w:rFonts w:ascii="inherit" w:hAnsi="inherit"/>
          <w:sz w:val="17"/>
        </w:rPr>
        <w:t xml:space="preserve">Our consolidated financial statements reflect the reclassification of discontinued operations for all periods presented as a result of the store closures (See Note 2, "Discontinued Operations," for further details). </w:t>
      </w:r>
    </w:p>
    <w:p>
      <w:pPr>
        <w:pStyle w:val="TextBody"/>
        <w:spacing w:lineRule="auto" w:line="288" w:before="0" w:after="0"/>
        <w:rPr>
          <w:sz w:val="17"/>
        </w:rPr>
      </w:pPr>
      <w:r>
        <w:rPr>
          <w:rFonts w:ascii="inherit" w:hAnsi="inherit"/>
          <w:sz w:val="17"/>
        </w:rPr>
        <w:t xml:space="preserve">Previously, we reported segment information based primarily on product offerings. Beginning with the second quarter of fiscal </w:t>
      </w:r>
      <w:r>
        <w:rPr>
          <w:rFonts w:ascii="inherit" w:hAnsi="inherit"/>
          <w:strike w:val="false"/>
          <w:dstrike w:val="false"/>
          <w:color w:val="000000"/>
          <w:sz w:val="17"/>
          <w:u w:val="none"/>
          <w:effect w:val="none"/>
        </w:rPr>
        <w:t>2012</w:t>
      </w:r>
      <w:r>
        <w:rPr>
          <w:rFonts w:ascii="inherit" w:hAnsi="inherit"/>
          <w:sz w:val="17"/>
        </w:rPr>
        <w:t>, we redefined our reportable operating segments based on geography as our company is increasingly being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items including administrative expenses, depreciation and amortization, interest and our equity in the net income of unconsolidated affiliates. When practical, these items are allocated to segments. Interest is also allocated to operating segments when debt is incurred at the local country level and is nonrecourse to EZCORP, Inc. These items are now included in the segment’s measure of profit or loss (“segment contribution”). Expenses that cannot be allocated are included as corporate expenses.</w:t>
      </w:r>
    </w:p>
    <w:p>
      <w:pPr>
        <w:pStyle w:val="TextBody"/>
        <w:spacing w:lineRule="auto" w:line="288" w:before="0" w:after="0"/>
        <w:rPr>
          <w:sz w:val="17"/>
        </w:rPr>
      </w:pPr>
      <w:r>
        <w:rPr>
          <w:rFonts w:ascii="inherit" w:hAnsi="inherit"/>
          <w:sz w:val="17"/>
        </w:rPr>
        <w:t xml:space="preserve">In our second fiscal quarter of </w:t>
      </w:r>
      <w:r>
        <w:rPr>
          <w:rFonts w:ascii="inherit" w:hAnsi="inherit"/>
          <w:strike w:val="false"/>
          <w:dstrike w:val="false"/>
          <w:color w:val="000000"/>
          <w:sz w:val="17"/>
          <w:u w:val="none"/>
          <w:effect w:val="none"/>
        </w:rPr>
        <w:t>2011</w:t>
      </w:r>
      <w:r>
        <w:rPr>
          <w:rFonts w:ascii="inherit" w:hAnsi="inherit"/>
          <w:sz w:val="17"/>
        </w:rPr>
        <w:t>,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 throughout management’s discussion and analysis.</w:t>
      </w:r>
    </w:p>
    <w:p>
      <w:pPr>
        <w:pStyle w:val="TextBody"/>
        <w:spacing w:lineRule="auto" w:line="288" w:before="0" w:after="0"/>
        <w:jc w:val="left"/>
        <w:rPr>
          <w:rFonts w:ascii="inherit" w:hAnsi="inherit"/>
          <w:b/>
          <w:sz w:val="17"/>
        </w:rPr>
      </w:pPr>
      <w:r>
        <w:rPr>
          <w:rFonts w:ascii="inherit" w:hAnsi="inherit"/>
          <w:b/>
          <w:sz w:val="17"/>
        </w:rPr>
        <w:t>Pawn Loan and Sales Revenue Recognition</w:t>
      </w:r>
    </w:p>
    <w:p>
      <w:pPr>
        <w:pStyle w:val="TextBody"/>
        <w:spacing w:lineRule="auto" w:line="288" w:before="0" w:after="0"/>
        <w:jc w:val="left"/>
        <w:rPr>
          <w:sz w:val="17"/>
        </w:rPr>
      </w:pPr>
      <w:r>
        <w:rPr>
          <w:rFonts w:ascii="inherit" w:hAnsi="inherit"/>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w:t>
      </w:r>
      <w:r>
        <w:rPr>
          <w:rFonts w:ascii="inherit" w:hAnsi="inherit"/>
          <w:strike w:val="false"/>
          <w:dstrike w:val="false"/>
          <w:color w:val="000000"/>
          <w:sz w:val="17"/>
          <w:u w:val="none"/>
          <w:effect w:val="none"/>
        </w:rPr>
        <w:t>two months</w:t>
      </w:r>
      <w:r>
        <w:rPr>
          <w:rFonts w:ascii="inherit" w:hAnsi="inherit"/>
          <w:sz w:val="17"/>
        </w:rPr>
        <w:t xml:space="preserve">.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on the sale of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inventory is excluded from the amount recognized as sales and instead recorded as a liability in “Accounts payable and other accrued expenses” on our balance sheets until remitted to the appropriate governmental authorities.</w:t>
      </w:r>
    </w:p>
    <w:p>
      <w:pPr>
        <w:pStyle w:val="TextBody"/>
        <w:spacing w:lineRule="auto" w:line="288" w:before="0" w:after="0"/>
        <w:rPr>
          <w:rFonts w:ascii="inherit" w:hAnsi="inherit"/>
          <w:b/>
          <w:sz w:val="17"/>
        </w:rPr>
      </w:pPr>
      <w:r>
        <w:rPr>
          <w:rFonts w:ascii="inherit" w:hAnsi="inherit"/>
          <w:b/>
          <w:sz w:val="17"/>
        </w:rPr>
        <w:t>Consumer Loans</w:t>
      </w:r>
    </w:p>
    <w:p>
      <w:pPr>
        <w:pStyle w:val="TextBody"/>
        <w:spacing w:lineRule="auto" w:line="288" w:before="0" w:after="0"/>
        <w:jc w:val="left"/>
        <w:rPr>
          <w:rFonts w:ascii="inherit" w:hAnsi="inherit"/>
          <w:sz w:val="17"/>
        </w:rPr>
      </w:pPr>
      <w:r>
        <w:rPr>
          <w:rFonts w:ascii="inherit" w:hAnsi="inherit"/>
          <w:sz w:val="17"/>
        </w:rPr>
        <w:t xml:space="preserve">We provide a variety of short-term consumer loans including single-payment and multiple-payment unsecured loans and single-payment and multiple-payment auto title loans. In Texas, we provide fee-based credit services to customers seeking loans. In Mexico, Crediamigo enters into agreements with employers that permit it to market consumer loans to employees. Payments are withheld by the employers through payroll deductions and remitted to Crediamigo. </w:t>
      </w:r>
    </w:p>
    <w:p>
      <w:pPr>
        <w:pStyle w:val="TextBody"/>
        <w:spacing w:lineRule="auto" w:line="288" w:before="0" w:after="0"/>
        <w:jc w:val="left"/>
        <w:rPr>
          <w:rFonts w:ascii="inherit" w:hAnsi="inherit"/>
          <w:i/>
          <w:sz w:val="17"/>
        </w:rPr>
      </w:pPr>
      <w:r>
        <w:rPr>
          <w:rFonts w:ascii="inherit" w:hAnsi="inherit"/>
          <w:i/>
          <w:sz w:val="17"/>
        </w:rPr>
        <w:t>Revenue Recognition</w:t>
      </w:r>
    </w:p>
    <w:p>
      <w:pPr>
        <w:pStyle w:val="TextBody"/>
        <w:spacing w:lineRule="auto" w:line="288" w:before="0" w:after="0"/>
        <w:ind w:left="0" w:right="0" w:firstLine="360"/>
        <w:jc w:val="left"/>
        <w:rPr>
          <w:sz w:val="17"/>
        </w:rPr>
      </w:pPr>
      <w:r>
        <w:rPr>
          <w:rFonts w:ascii="inherit" w:hAnsi="inherit"/>
          <w:i/>
          <w:sz w:val="17"/>
        </w:rPr>
        <w:t xml:space="preserve">Unsecured Consumer Loan Credit Service Fees — </w:t>
      </w:r>
      <w:r>
        <w:rPr>
          <w:rFonts w:ascii="inherit" w:hAnsi="inherit"/>
          <w:sz w:val="17"/>
        </w:rPr>
        <w:t>We earn credit service fees when we assist customers in obtaining unsecured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Unsecured loan credit service fee revenue is included in “Consumer loan fees” on our statements of operations.</w:t>
      </w:r>
    </w:p>
    <w:p>
      <w:pPr>
        <w:pStyle w:val="TextBody"/>
        <w:spacing w:lineRule="auto" w:line="288" w:before="0" w:after="0"/>
        <w:ind w:left="0" w:right="0" w:firstLine="360"/>
        <w:jc w:val="left"/>
        <w:rPr>
          <w:sz w:val="17"/>
        </w:rPr>
      </w:pPr>
      <w:r>
        <w:rPr>
          <w:rFonts w:ascii="inherit" w:hAnsi="inherit"/>
          <w:i/>
          <w:sz w:val="17"/>
        </w:rPr>
        <w:t xml:space="preserve">Unsecured Consumer Loan Revenue — </w:t>
      </w:r>
      <w:r>
        <w:rPr>
          <w:rFonts w:ascii="inherit" w:hAnsi="inherit"/>
          <w:sz w:val="17"/>
        </w:rPr>
        <w:t>We accrue fees in accordance with state and provincial laws on the percentage of unsecured loans (single-payment and multiple-payment) we have made that we believe to be collectible. Accrued fees related to defaulted loans reduce fee revenue upon loan default, and increase fee revenue upon collection. Unsecured loan revenue is included in “Consumer loan fees” on our statements of operations.</w:t>
      </w:r>
    </w:p>
    <w:p>
      <w:pPr>
        <w:pStyle w:val="TextBody"/>
        <w:spacing w:lineRule="auto" w:line="288" w:before="0" w:after="0"/>
        <w:ind w:left="0" w:right="0" w:firstLine="360"/>
        <w:jc w:val="left"/>
        <w:rPr>
          <w:sz w:val="17"/>
        </w:rPr>
      </w:pPr>
      <w:r>
        <w:rPr>
          <w:rFonts w:ascii="inherit" w:hAnsi="inherit"/>
          <w:i/>
          <w:sz w:val="17"/>
        </w:rPr>
        <w:t xml:space="preserve">Long-term Unsecured Consumer Loan Revenue — </w:t>
      </w:r>
      <w:r>
        <w:rPr>
          <w:rFonts w:ascii="inherit" w:hAnsi="inherit"/>
          <w:sz w:val="17"/>
        </w:rPr>
        <w:t xml:space="preserve">Crediamigo customers obtain installment loans with a series of payments due over as long as a </w:t>
      </w:r>
      <w:r>
        <w:rPr>
          <w:rFonts w:ascii="inherit" w:hAnsi="inherit"/>
          <w:strike w:val="false"/>
          <w:dstrike w:val="false"/>
          <w:color w:val="000000"/>
          <w:sz w:val="17"/>
          <w:u w:val="none"/>
          <w:effect w:val="none"/>
        </w:rPr>
        <w:t>four</w:t>
      </w:r>
      <w:r>
        <w:rPr>
          <w:rFonts w:ascii="inherit" w:hAnsi="inherit"/>
          <w:sz w:val="17"/>
        </w:rPr>
        <w:t>-year period. We recognize consumer loan fees related to loans we originate based on the percentage of consumer loans made that we believe to be collectible. We recognize interest revenue ratably over the life of the related loans. We reserve the percentage of interest we expect not to collect. Accrued fees related to defaulted loans reduce consumer loan revenue upon loan default and increase consumer loan fee revenue upon collection.</w:t>
      </w:r>
    </w:p>
    <w:p>
      <w:pPr>
        <w:pStyle w:val="TextBody"/>
        <w:spacing w:lineRule="auto" w:line="288" w:before="0" w:after="0"/>
        <w:ind w:left="0" w:right="0" w:firstLine="360"/>
        <w:jc w:val="left"/>
        <w:rPr>
          <w:sz w:val="17"/>
        </w:rPr>
      </w:pPr>
      <w:r>
        <w:rPr>
          <w:rFonts w:ascii="inherit" w:hAnsi="inherit"/>
          <w:i/>
          <w:sz w:val="17"/>
        </w:rPr>
        <w:t xml:space="preserve">Auto Title Loan Credit Service Fee Revenue — </w:t>
      </w:r>
      <w:r>
        <w:rPr>
          <w:rFonts w:ascii="inherit" w:hAnsi="inherit"/>
          <w:sz w:val="17"/>
        </w:rPr>
        <w:t>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“Consumer loan fees” on our statements of operations.</w:t>
      </w:r>
    </w:p>
    <w:p>
      <w:pPr>
        <w:pStyle w:val="TextBody"/>
        <w:spacing w:lineRule="auto" w:line="288" w:before="0" w:after="0"/>
        <w:ind w:left="0" w:right="0" w:firstLine="360"/>
        <w:jc w:val="left"/>
        <w:rPr>
          <w:sz w:val="17"/>
        </w:rPr>
      </w:pPr>
      <w:r>
        <w:rPr>
          <w:rFonts w:ascii="inherit" w:hAnsi="inherit"/>
          <w:i/>
          <w:sz w:val="17"/>
        </w:rPr>
        <w:t xml:space="preserve">Auto Title Loan Revenue — </w:t>
      </w:r>
      <w:r>
        <w:rPr>
          <w:rFonts w:ascii="inherit" w:hAnsi="inherit"/>
          <w:sz w:val="17"/>
        </w:rPr>
        <w:t>We accrue fees in accordance with state laws on the percentage of auto title loans we have made that we believe to be collectible. We recognize the fee revenue ratably over the life of the loan. Auto title loan revenue is included in “Consumer loan fees” on our statements of operations.</w:t>
      </w:r>
    </w:p>
    <w:p>
      <w:pPr>
        <w:pStyle w:val="TextBody"/>
        <w:spacing w:lineRule="auto" w:line="288" w:before="0" w:after="0"/>
        <w:jc w:val="left"/>
        <w:rPr>
          <w:rFonts w:ascii="inherit" w:hAnsi="inherit"/>
          <w:i/>
          <w:sz w:val="17"/>
        </w:rPr>
      </w:pPr>
      <w:r>
        <w:rPr>
          <w:rFonts w:ascii="inherit" w:hAnsi="inherit"/>
          <w:i/>
          <w:sz w:val="17"/>
        </w:rPr>
        <w:t>Bad Debt and Allowance For Losses</w:t>
      </w:r>
    </w:p>
    <w:p>
      <w:pPr>
        <w:pStyle w:val="TextBody"/>
        <w:spacing w:lineRule="auto" w:line="288" w:before="0" w:after="0"/>
        <w:ind w:left="0" w:right="0" w:firstLine="360"/>
        <w:jc w:val="left"/>
        <w:rPr>
          <w:sz w:val="17"/>
        </w:rPr>
      </w:pPr>
      <w:r>
        <w:rPr>
          <w:rFonts w:ascii="inherit" w:hAnsi="inherit"/>
          <w:i/>
          <w:sz w:val="17"/>
        </w:rPr>
        <w:t xml:space="preserve">Unsecured Consumer Loan Credit Service Bad Debt — </w:t>
      </w:r>
      <w:r>
        <w:rPr>
          <w:rFonts w:ascii="inherit" w:hAnsi="inherit"/>
          <w:sz w:val="17"/>
        </w:rPr>
        <w:t>We issue letters of credit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w:t>
      </w:r>
    </w:p>
    <w:p>
      <w:pPr>
        <w:pStyle w:val="TextBody"/>
        <w:spacing w:lineRule="auto" w:line="288" w:before="0" w:after="0"/>
        <w:ind w:left="0" w:right="0" w:firstLine="360"/>
        <w:jc w:val="left"/>
        <w:rPr>
          <w:sz w:val="17"/>
        </w:rPr>
      </w:pPr>
      <w:r>
        <w:rPr>
          <w:rFonts w:ascii="inherit" w:hAnsi="inherit"/>
          <w:sz w:val="17"/>
        </w:rPr>
        <w:t xml:space="preserve">The majority of our credit service customers obtain short-term unsecured loans with a single maturity date. These short-term loans, with terms averaging about </w:t>
      </w:r>
      <w:r>
        <w:rPr>
          <w:rFonts w:ascii="inherit" w:hAnsi="inherit"/>
          <w:strike w:val="false"/>
          <w:dstrike w:val="false"/>
          <w:color w:val="000000"/>
          <w:sz w:val="17"/>
          <w:u w:val="none"/>
          <w:effect w:val="none"/>
        </w:rPr>
        <w:t>16</w:t>
      </w:r>
      <w:r>
        <w:rPr>
          <w:sz w:val="17"/>
        </w:rPr>
        <w:t> </w:t>
      </w:r>
      <w:r>
        <w:rPr>
          <w:rFonts w:ascii="inherit" w:hAnsi="inherit"/>
          <w:sz w:val="17"/>
        </w:rPr>
        <w:t xml:space="preserve">days, are considered defaulted if they have not been repaid or renewed by the maturity date. Other credit service customers obtain multiple-payment loans with a series of payments due over as much as a </w:t>
      </w:r>
      <w:r>
        <w:rPr>
          <w:rFonts w:ascii="inherit" w:hAnsi="inherit"/>
          <w:strike w:val="false"/>
          <w:dstrike w:val="false"/>
          <w:color w:val="000000"/>
          <w:sz w:val="17"/>
          <w:u w:val="none"/>
          <w:effect w:val="none"/>
        </w:rPr>
        <w:t>seven</w:t>
      </w:r>
      <w:r>
        <w:rPr>
          <w:rFonts w:ascii="inherit" w:hAnsi="inherit"/>
          <w:sz w:val="17"/>
        </w:rPr>
        <w:t xml:space="preserve">-month period. If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of multiple-payment loan is delinquent, that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is considered defaulted. If more than </w:t>
      </w:r>
      <w:r>
        <w:rPr>
          <w:rFonts w:ascii="inherit" w:hAnsi="inherit"/>
          <w:strike w:val="false"/>
          <w:dstrike w:val="false"/>
          <w:color w:val="000000"/>
          <w:sz w:val="17"/>
          <w:u w:val="none"/>
          <w:effect w:val="none"/>
        </w:rPr>
        <w:t>one</w:t>
      </w:r>
      <w:r>
        <w:rPr>
          <w:sz w:val="17"/>
        </w:rPr>
        <w:t xml:space="preserve"> </w:t>
      </w:r>
      <w:r>
        <w:rPr>
          <w:rFonts w:ascii="inherit" w:hAnsi="inherit"/>
          <w:sz w:val="17"/>
        </w:rPr>
        <w:t>payment is delinquent at any time, the entire loan is considered defaulted.</w:t>
      </w:r>
    </w:p>
    <w:p>
      <w:pPr>
        <w:pStyle w:val="TextBody"/>
        <w:spacing w:lineRule="auto" w:line="288" w:before="0" w:after="0"/>
        <w:ind w:left="0" w:right="0" w:firstLine="360"/>
        <w:jc w:val="left"/>
        <w:rPr>
          <w:sz w:val="17"/>
        </w:rPr>
      </w:pPr>
      <w:r>
        <w:rPr>
          <w:rFonts w:ascii="inherit" w:hAnsi="inherit"/>
          <w:i/>
          <w:sz w:val="17"/>
        </w:rPr>
        <w:t xml:space="preserve">Allowance for Losses on Unsecured Consumer Loan Credit Services — </w:t>
      </w:r>
      <w:r>
        <w:rPr>
          <w:rFonts w:ascii="inherit" w:hAnsi="inherit"/>
          <w:sz w:val="17"/>
        </w:rPr>
        <w:t xml:space="preserve">We provide an allowance for losses we expect to incur under letters of credit for brokered unsecured loans that have not yet matured. The allowance is based on recent loan default experience adjusted for seasonal variations. It includes all amounts we expect to pay to the unaffiliated lenders upon loan default, including loan principal, accrued interest, insufficient funds fees and late fees, net of the amounts we expect to collect from borrowers (collectively, “Expected LOC Losses”). Changes in the allowance are charged to consumer loan bad debt. We include the balance of Expected LOC Losses in “Accounts payable and other accrued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360"/>
        <w:jc w:val="left"/>
        <w:rPr>
          <w:rFonts w:ascii="inherit" w:hAnsi="inherit"/>
          <w:sz w:val="17"/>
        </w:rPr>
      </w:pPr>
      <w:r>
        <w:rPr>
          <w:rFonts w:ascii="inherit" w:hAnsi="inherit"/>
          <w:sz w:val="17"/>
        </w:rPr>
        <w:t>expenses” on our balance sheets. Based on the expected loss and collection percentages, we also provide an allowance for the unsecured loan credit service fees we expect not to collect, and charge changes in this allowance to consumer loan fee revenue.</w:t>
      </w:r>
    </w:p>
    <w:p>
      <w:pPr>
        <w:pStyle w:val="TextBody"/>
        <w:spacing w:lineRule="auto" w:line="288" w:before="0" w:after="0"/>
        <w:ind w:left="0" w:right="0" w:firstLine="360"/>
        <w:jc w:val="left"/>
        <w:rPr>
          <w:sz w:val="17"/>
        </w:rPr>
      </w:pPr>
      <w:r>
        <w:rPr>
          <w:rFonts w:ascii="inherit" w:hAnsi="inherit"/>
          <w:i/>
          <w:sz w:val="17"/>
        </w:rPr>
        <w:t xml:space="preserve">Unsecured Consumer Loan Bad Debt — </w:t>
      </w:r>
      <w:r>
        <w:rPr>
          <w:rFonts w:ascii="inherit" w:hAnsi="inherit"/>
          <w:sz w:val="17"/>
        </w:rPr>
        <w:t xml:space="preserve">We consider a single-payment loan defaulted if it has not been repaid or renewed by the maturity date. If </w:t>
      </w:r>
      <w:r>
        <w:rPr>
          <w:rFonts w:ascii="inherit" w:hAnsi="inherit"/>
          <w:strike w:val="false"/>
          <w:dstrike w:val="false"/>
          <w:color w:val="000000"/>
          <w:sz w:val="17"/>
          <w:u w:val="none"/>
          <w:effect w:val="none"/>
        </w:rPr>
        <w:t>one</w:t>
      </w:r>
      <w:r>
        <w:rPr>
          <w:sz w:val="17"/>
        </w:rPr>
        <w:t xml:space="preserve"> </w:t>
      </w:r>
      <w:r>
        <w:rPr>
          <w:rFonts w:ascii="inherit" w:hAnsi="inherit"/>
          <w:sz w:val="17"/>
        </w:rPr>
        <w:t>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w:t>
      </w:r>
    </w:p>
    <w:p>
      <w:pPr>
        <w:pStyle w:val="TextBody"/>
        <w:spacing w:lineRule="auto" w:line="288" w:before="0" w:after="0"/>
        <w:ind w:left="0" w:right="0" w:firstLine="360"/>
        <w:jc w:val="left"/>
        <w:rPr>
          <w:sz w:val="17"/>
        </w:rPr>
      </w:pPr>
      <w:r>
        <w:rPr>
          <w:rFonts w:ascii="inherit" w:hAnsi="inherit"/>
          <w:i/>
          <w:sz w:val="17"/>
        </w:rPr>
        <w:t xml:space="preserve">Unsecured Consumer Loan Allowance for Losses — </w:t>
      </w:r>
      <w:r>
        <w:rPr>
          <w:rFonts w:ascii="inherit" w:hAnsi="inherit"/>
          <w:sz w:val="17"/>
        </w:rPr>
        <w:t>We provide an allowance for losses on unsecured loans that have not yet matured and related fees receivable, based on recent loan default experience adjusted for seasonal variations. We charge any changes in the principal valuation allowance to consumer loan bad debt. We record changes in the fee receivable valuation allowance to consumer loan fee revenue.</w:t>
      </w:r>
    </w:p>
    <w:p>
      <w:pPr>
        <w:pStyle w:val="TextBody"/>
        <w:spacing w:lineRule="auto" w:line="288" w:before="0" w:after="0"/>
        <w:ind w:left="0" w:right="0" w:firstLine="360"/>
        <w:jc w:val="left"/>
        <w:rPr>
          <w:sz w:val="17"/>
        </w:rPr>
      </w:pPr>
      <w:r>
        <w:rPr>
          <w:rFonts w:ascii="inherit" w:hAnsi="inherit"/>
          <w:i/>
          <w:sz w:val="17"/>
        </w:rPr>
        <w:t xml:space="preserve">Long-Term Unsecured Consumer Loan Bad Debt — </w:t>
      </w:r>
      <w:r>
        <w:rPr>
          <w:rFonts w:ascii="inherit" w:hAnsi="inherit"/>
          <w:sz w:val="17"/>
        </w:rPr>
        <w:t xml:space="preserve">Consumer loans made by Crediamigo are considered in current status as long as the customer is employed and Crediamigo receives payments via payroll withholdings. Loans made to customers no longer employed are considered current if payments are made by the due date. If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of a loan is delinquent, that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is considered defaulted. If </w:t>
      </w:r>
      <w:r>
        <w:rPr>
          <w:rFonts w:ascii="inherit" w:hAnsi="inherit"/>
          <w:strike w:val="false"/>
          <w:dstrike w:val="false"/>
          <w:color w:val="000000"/>
          <w:sz w:val="17"/>
          <w:u w:val="none"/>
          <w:effect w:val="none"/>
        </w:rPr>
        <w:t>two</w:t>
      </w:r>
      <w:r>
        <w:rPr>
          <w:sz w:val="17"/>
        </w:rPr>
        <w:t xml:space="preserve"> </w:t>
      </w:r>
      <w:r>
        <w:rPr>
          <w:rFonts w:ascii="inherit" w:hAnsi="inherit"/>
          <w:sz w:val="17"/>
        </w:rPr>
        <w:t>or more payments are delinquent at any time, the entire loan is considered defaulted. Although defaulted loans may be collected later, Crediamigo charges the loan principal to consumer loan bad debt upon default, leaving only active loans in the reported balance. Collections of principal are recorded as a reduction of consumer loan bad debt when collected.</w:t>
      </w:r>
    </w:p>
    <w:p>
      <w:pPr>
        <w:pStyle w:val="TextBody"/>
        <w:spacing w:lineRule="auto" w:line="288" w:before="0" w:after="0"/>
        <w:ind w:left="0" w:right="0" w:firstLine="360"/>
        <w:jc w:val="left"/>
        <w:rPr>
          <w:sz w:val="17"/>
        </w:rPr>
      </w:pPr>
      <w:r>
        <w:rPr>
          <w:rFonts w:ascii="inherit" w:hAnsi="inherit"/>
          <w:i/>
          <w:sz w:val="17"/>
        </w:rPr>
        <w:t xml:space="preserve">Long-Term Unsecured Consumer Loan Allowance for Losses — </w:t>
      </w:r>
      <w:r>
        <w:rPr>
          <w:rFonts w:ascii="inherit" w:hAnsi="inherit"/>
          <w:sz w:val="17"/>
        </w:rPr>
        <w:t>Crediamigo provides an allowance for losses on consumer loans that have not yet matured and related fees receivable based on recent loan default experience. Changes in the principal valuation allowance are charged to consumer loan bad debt and changes in the interest receivable valuation allowance are charged to consumer loan fee revenue.</w:t>
      </w:r>
    </w:p>
    <w:p>
      <w:pPr>
        <w:pStyle w:val="TextBody"/>
        <w:spacing w:lineRule="auto" w:line="288" w:before="0" w:after="0"/>
        <w:ind w:left="0" w:right="0" w:firstLine="360"/>
        <w:jc w:val="left"/>
        <w:rPr>
          <w:sz w:val="17"/>
        </w:rPr>
      </w:pPr>
      <w:r>
        <w:rPr>
          <w:rFonts w:ascii="inherit" w:hAnsi="inherit"/>
          <w:i/>
          <w:sz w:val="17"/>
        </w:rPr>
        <w:t xml:space="preserve">Auto Title Loan Credit Services Bad Debt and Allowance for Losses — </w:t>
      </w:r>
      <w:r>
        <w:rPr>
          <w:rFonts w:ascii="inherit" w:hAnsi="inherit"/>
          <w:sz w:val="17"/>
        </w:rPr>
        <w:t>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w:t>
      </w:r>
    </w:p>
    <w:p>
      <w:pPr>
        <w:pStyle w:val="TextBody"/>
        <w:spacing w:lineRule="auto" w:line="288" w:before="0" w:after="0"/>
        <w:ind w:left="0" w:right="0" w:firstLine="360"/>
        <w:jc w:val="left"/>
        <w:rPr>
          <w:sz w:val="17"/>
        </w:rPr>
      </w:pPr>
      <w:r>
        <w:rPr>
          <w:rFonts w:ascii="inherit" w:hAnsi="inherit"/>
          <w:i/>
          <w:sz w:val="17"/>
        </w:rPr>
        <w:t xml:space="preserve">Auto Title Loan Bad Debt and Allowance for Losses — </w:t>
      </w:r>
      <w:r>
        <w:rPr>
          <w:rFonts w:ascii="inherit" w:hAnsi="inherit"/>
          <w:sz w:val="17"/>
        </w:rPr>
        <w:t>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consumer loan bad debt and charge uncollectable loans against this allowance. We record changes in the fee receivable valuation allowance to consumer loan fee revenue.</w:t>
      </w:r>
    </w:p>
    <w:p>
      <w:pPr>
        <w:pStyle w:val="TextBody"/>
        <w:spacing w:lineRule="auto" w:line="288" w:before="0" w:after="0"/>
        <w:jc w:val="left"/>
        <w:rPr>
          <w:rFonts w:ascii="inherit" w:hAnsi="inherit"/>
          <w:b/>
          <w:sz w:val="17"/>
        </w:rPr>
      </w:pPr>
      <w:r>
        <w:rPr>
          <w:rFonts w:ascii="inherit" w:hAnsi="inherit"/>
          <w:b/>
          <w:sz w:val="17"/>
        </w:rPr>
        <w:t>Inventory and Cost of Goods Sold</w:t>
      </w:r>
    </w:p>
    <w:p>
      <w:pPr>
        <w:pStyle w:val="TextBody"/>
        <w:spacing w:lineRule="auto" w:line="288" w:before="0" w:after="0"/>
        <w:jc w:val="left"/>
        <w:rPr>
          <w:rFonts w:ascii="inherit" w:hAnsi="inherit"/>
          <w:sz w:val="17"/>
        </w:rPr>
      </w:pPr>
      <w:r>
        <w:rPr>
          <w:rFonts w:ascii="inherit" w:hAnsi="inherit"/>
          <w:sz w:val="17"/>
        </w:rPr>
        <w:t>If a pawn loan is not redeemed, we record the forfeited collateral at cost (the principal amount of the pawn loan). We do not record loan loss allowances or charge-offs on the principal portion of pawn loans, as they are fully collateralized.</w:t>
      </w:r>
    </w:p>
    <w:p>
      <w:pPr>
        <w:pStyle w:val="TextBody"/>
        <w:spacing w:lineRule="auto" w:line="288" w:before="0" w:after="0"/>
        <w:jc w:val="left"/>
        <w:rPr>
          <w:rFonts w:ascii="inherit" w:hAnsi="inherit"/>
          <w:sz w:val="17"/>
        </w:rPr>
      </w:pPr>
      <w:r>
        <w:rPr>
          <w:rFonts w:ascii="inherit" w:hAnsi="inherit"/>
          <w:sz w:val="17"/>
        </w:rPr>
        <w:t>In order to state inventory at the lower of cost (specific identification) or market value, we record an allowance for excess, obsolete or slow moving inventory based on the type and age of merchandise. We include in cost of goods sold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pStyle w:val="TextBody"/>
        <w:spacing w:lineRule="auto" w:line="288" w:before="0" w:after="0"/>
        <w:jc w:val="left"/>
        <w:rPr>
          <w:rFonts w:ascii="inherit" w:hAnsi="inherit"/>
          <w:b/>
          <w:sz w:val="17"/>
        </w:rPr>
      </w:pPr>
      <w:r>
        <w:rPr>
          <w:rFonts w:ascii="inherit" w:hAnsi="inherit"/>
          <w:b/>
          <w:sz w:val="17"/>
        </w:rPr>
        <w:t>Cash and Cash Equivalents and Cash Concentrations</w:t>
      </w:r>
    </w:p>
    <w:p>
      <w:pPr>
        <w:pStyle w:val="TextBody"/>
        <w:spacing w:lineRule="auto" w:line="288" w:before="0" w:after="0"/>
        <w:jc w:val="left"/>
        <w:rPr>
          <w:rFonts w:ascii="inherit" w:hAnsi="inherit"/>
          <w:sz w:val="17"/>
        </w:rPr>
      </w:pPr>
      <w:r>
        <w:rPr>
          <w:rFonts w:ascii="inherit" w:hAnsi="inherit"/>
          <w:sz w:val="17"/>
        </w:rPr>
        <w:t xml:space="preserve">Cash and cash equivalents consist primarily of cash on deposit or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evaluating the credit quality of the primary financial institutions issuing investments or holding such deposits. Historically, we have not experienced any losses due to such cash concentrations. Restricted cash amounts represent amounts that can only be used to settle liabilities of Crediamigo's securitization trust or for interest payments on Crediamigo's debt. See Note 8, “Long-Term Debt and Capital Lease Obligations.”</w:t>
      </w:r>
    </w:p>
    <w:p>
      <w:pPr>
        <w:pStyle w:val="TextBody"/>
        <w:spacing w:lineRule="auto" w:line="288" w:before="0" w:after="0"/>
        <w:jc w:val="left"/>
        <w:rPr>
          <w:rFonts w:ascii="inherit" w:hAnsi="inherit"/>
          <w:b/>
          <w:sz w:val="17"/>
        </w:rPr>
      </w:pPr>
      <w:r>
        <w:rPr>
          <w:rFonts w:ascii="inherit" w:hAnsi="inherit"/>
          <w:b/>
          <w:sz w:val="17"/>
        </w:rPr>
        <w:t>Software Development Costs</w:t>
      </w:r>
    </w:p>
    <w:p>
      <w:pPr>
        <w:pStyle w:val="TextBody"/>
        <w:spacing w:lineRule="auto" w:line="288" w:before="0" w:after="0"/>
        <w:jc w:val="left"/>
        <w:rPr>
          <w:sz w:val="17"/>
        </w:rPr>
      </w:pPr>
      <w:r>
        <w:rPr>
          <w:rFonts w:ascii="inherit" w:hAnsi="inherit"/>
          <w:sz w:val="17"/>
        </w:rPr>
        <w:t xml:space="preserve">We capitalize certain costs incurred in connection with developing or obtaining software for internal use and amortize the costs by the straight-line method over the estimated useful lives of each system, typically </w:t>
      </w:r>
      <w:r>
        <w:rPr>
          <w:rFonts w:ascii="inherit" w:hAnsi="inherit"/>
          <w:strike w:val="false"/>
          <w:dstrike w:val="false"/>
          <w:color w:val="000000"/>
          <w:sz w:val="17"/>
          <w:u w:val="none"/>
          <w:effect w:val="none"/>
        </w:rPr>
        <w:t>five</w:t>
      </w:r>
      <w:r>
        <w:rPr>
          <w:sz w:val="17"/>
        </w:rPr>
        <w:t xml:space="preserve"> </w:t>
      </w:r>
      <w:r>
        <w:rPr>
          <w:rFonts w:ascii="inherit" w:hAnsi="inherit"/>
          <w:sz w:val="17"/>
        </w:rPr>
        <w:t>years.</w:t>
      </w:r>
    </w:p>
    <w:p>
      <w:pPr>
        <w:pStyle w:val="TextBody"/>
        <w:spacing w:lineRule="auto" w:line="288" w:before="0" w:after="0"/>
        <w:jc w:val="left"/>
        <w:rPr>
          <w:rFonts w:ascii="inherit" w:hAnsi="inherit"/>
          <w:b/>
          <w:sz w:val="17"/>
        </w:rPr>
      </w:pPr>
      <w:r>
        <w:rPr>
          <w:rFonts w:ascii="inherit" w:hAnsi="inherit"/>
          <w:b/>
          <w:sz w:val="17"/>
        </w:rPr>
        <w:t>Customer Layaway Deposits</w:t>
      </w:r>
    </w:p>
    <w:p>
      <w:pPr>
        <w:pStyle w:val="TextBody"/>
        <w:spacing w:lineRule="auto" w:line="288" w:before="0" w:after="0"/>
        <w:jc w:val="left"/>
        <w:rPr>
          <w:rFonts w:ascii="inherit" w:hAnsi="inherit"/>
          <w:sz w:val="17"/>
        </w:rPr>
      </w:pPr>
      <w:r>
        <w:rPr>
          <w:rFonts w:ascii="inherit" w:hAnsi="inherit"/>
          <w:sz w:val="17"/>
        </w:rPr>
        <w:t>Customer layaway deposits are recorded as deferred revenue until we collect the entire related sales price and deliver the related merchandise to the customer.</w:t>
      </w:r>
    </w:p>
    <w:p>
      <w:pPr>
        <w:pStyle w:val="TextBody"/>
        <w:spacing w:lineRule="auto" w:line="288" w:before="0" w:after="0"/>
        <w:jc w:val="left"/>
        <w:rPr>
          <w:rFonts w:ascii="inherit" w:hAnsi="inherit"/>
          <w:b/>
          <w:sz w:val="17"/>
        </w:rPr>
      </w:pPr>
      <w:r>
        <w:rPr>
          <w:rFonts w:ascii="inherit" w:hAnsi="inherit"/>
          <w:b/>
          <w:sz w:val="17"/>
        </w:rPr>
        <w:t>Intangible Assets</w:t>
      </w:r>
    </w:p>
    <w:p>
      <w:pPr>
        <w:pStyle w:val="TextBody"/>
        <w:spacing w:lineRule="auto" w:line="288" w:before="0" w:after="0"/>
        <w:jc w:val="left"/>
        <w:rPr>
          <w:sz w:val="17"/>
        </w:rPr>
      </w:pPr>
      <w:r>
        <w:rPr>
          <w:rFonts w:ascii="inherit" w:hAnsi="inherit"/>
          <w:sz w:val="17"/>
        </w:rPr>
        <w:t xml:space="preserve">Goodwill and other intangible assets having indefinite lives are not subject to amortization. In fiscal 2012 we early adopted the Financial Accounting Standards Board "FASB" issued Accounting Standards Update "ASU" 2012-02 </w:t>
      </w:r>
      <w:r>
        <w:rPr>
          <w:rFonts w:ascii="inherit" w:hAnsi="inherit"/>
          <w:i/>
          <w:sz w:val="17"/>
        </w:rPr>
        <w:t xml:space="preserve">Testing Indefinite-Lived Intangible Assets for Impairment </w:t>
      </w:r>
      <w:r>
        <w:rPr>
          <w:rFonts w:ascii="inherit" w:hAnsi="inherit"/>
          <w:sz w:val="17"/>
        </w:rPr>
        <w:t xml:space="preserve">and ASU 2011-08 </w:t>
      </w:r>
      <w:r>
        <w:rPr>
          <w:rFonts w:ascii="inherit" w:hAnsi="inherit"/>
          <w:i/>
          <w:sz w:val="17"/>
        </w:rPr>
        <w:t>Testing Goodwill for Impairment</w:t>
      </w:r>
      <w:r>
        <w:rPr>
          <w:rFonts w:ascii="inherit" w:hAnsi="inherit"/>
          <w:sz w:val="17"/>
        </w:rPr>
        <w:t>, which allows for a level of qualitative review for potential impairment of an indefinite lived asset. We review qualitative indicators annually on July 1st, or more frequently if necessary, to identify potential areas of risk for impairment. If there is an indicator that the fair market value of the segment has potentially dropped below the carrying value, then a full valuation of the segment is performed, using analyses of cash flows and other market valuation methods.  We amortize intangible assets with definite lives over their estimated useful lives using the straight-line method.</w:t>
      </w:r>
    </w:p>
    <w:p>
      <w:pPr>
        <w:pStyle w:val="TextBody"/>
        <w:spacing w:lineRule="auto" w:line="288" w:before="0" w:after="0"/>
        <w:jc w:val="left"/>
        <w:rPr>
          <w:rFonts w:ascii="inherit" w:hAnsi="inherit"/>
          <w:b/>
          <w:sz w:val="17"/>
        </w:rPr>
      </w:pPr>
      <w:r>
        <w:rPr>
          <w:rFonts w:ascii="inherit" w:hAnsi="inherit"/>
          <w:b/>
          <w:sz w:val="17"/>
        </w:rPr>
        <w:t>Property and Equipment</w:t>
      </w:r>
    </w:p>
    <w:p>
      <w:pPr>
        <w:pStyle w:val="TextBody"/>
        <w:spacing w:lineRule="auto" w:line="288" w:before="0" w:after="0"/>
        <w:jc w:val="left"/>
        <w:rPr>
          <w:sz w:val="17"/>
        </w:rPr>
      </w:pPr>
      <w:r>
        <w:rPr>
          <w:rFonts w:ascii="inherit" w:hAnsi="inherit"/>
          <w:sz w:val="17"/>
        </w:rPr>
        <w:t xml:space="preserve">We record property and equipment at cost. We depreciate these assets on a straight-line basis using estimated useful lives of </w:t>
      </w:r>
      <w:r>
        <w:rPr>
          <w:rFonts w:ascii="inherit" w:hAnsi="inherit"/>
          <w:strike w:val="false"/>
          <w:dstrike w:val="false"/>
          <w:color w:val="000000"/>
          <w:sz w:val="17"/>
          <w:u w:val="none"/>
          <w:effect w:val="none"/>
        </w:rPr>
        <w:t>30</w:t>
      </w:r>
      <w:r>
        <w:rPr>
          <w:sz w:val="17"/>
        </w:rPr>
        <w:t> </w:t>
      </w:r>
      <w:r>
        <w:rPr>
          <w:rFonts w:ascii="inherit" w:hAnsi="inherit"/>
          <w:sz w:val="17"/>
        </w:rPr>
        <w:t xml:space="preserve">years for buildings and </w:t>
      </w:r>
      <w:r>
        <w:rPr>
          <w:rFonts w:ascii="inherit" w:hAnsi="inherit"/>
          <w:strike w:val="false"/>
          <w:dstrike w:val="false"/>
          <w:color w:val="000000"/>
          <w:sz w:val="17"/>
          <w:u w:val="none"/>
          <w:effect w:val="none"/>
        </w:rPr>
        <w:t>2</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7</w:t>
      </w:r>
      <w:r>
        <w:rPr>
          <w:sz w:val="17"/>
        </w:rPr>
        <w:t> </w:t>
      </w:r>
      <w:r>
        <w:rPr>
          <w:rFonts w:ascii="inherit" w:hAnsi="inherit"/>
          <w:sz w:val="17"/>
        </w:rPr>
        <w:t xml:space="preserve">years for furniture, equipment and software development costs. We depreciate leasehold improvements over the shorter of their estimated useful life (typically </w:t>
      </w:r>
      <w:r>
        <w:rPr>
          <w:rFonts w:ascii="inherit" w:hAnsi="inherit"/>
          <w:strike w:val="false"/>
          <w:dstrike w:val="false"/>
          <w:color w:val="000000"/>
          <w:sz w:val="17"/>
          <w:u w:val="none"/>
          <w:effect w:val="none"/>
        </w:rPr>
        <w:t>10</w:t>
      </w:r>
      <w:r>
        <w:rPr>
          <w:sz w:val="17"/>
        </w:rPr>
        <w:t> </w:t>
      </w:r>
      <w:r>
        <w:rPr>
          <w:rFonts w:ascii="inherit" w:hAnsi="inherit"/>
          <w:sz w:val="17"/>
        </w:rPr>
        <w:t>years) or the reasonably assured lease term at the inception of the lease.</w:t>
      </w:r>
    </w:p>
    <w:p>
      <w:pPr>
        <w:pStyle w:val="TextBody"/>
        <w:spacing w:lineRule="auto" w:line="288" w:before="0" w:after="0"/>
        <w:jc w:val="left"/>
        <w:rPr>
          <w:sz w:val="17"/>
        </w:rPr>
      </w:pPr>
      <w:r>
        <w:rPr>
          <w:rFonts w:ascii="inherit" w:hAnsi="inherit"/>
          <w:b/>
          <w:sz w:val="17"/>
        </w:rPr>
        <w:t>Valuation of Tangible Long-Lived Assets</w:t>
      </w:r>
      <w:r>
        <w:rPr>
          <w:sz w:val="17"/>
        </w:rPr>
        <w:t xml:space="preserve"> </w:t>
      </w:r>
    </w:p>
    <w:p>
      <w:pPr>
        <w:pStyle w:val="TextBody"/>
        <w:spacing w:lineRule="auto" w:line="288" w:before="0" w:after="0"/>
        <w:jc w:val="left"/>
        <w:rPr>
          <w:rFonts w:ascii="inherit" w:hAnsi="inherit"/>
          <w:sz w:val="17"/>
        </w:rPr>
      </w:pPr>
      <w:r>
        <w:rPr>
          <w:rFonts w:ascii="inherit" w:hAnsi="inherit"/>
          <w:sz w:val="17"/>
        </w:rPr>
        <w:t>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When we determine that the net recorded amount of tangible long-lived assets may not be recoverable, we measure impairment based on the excess of the assets’ net recorded amount over the estimated fair value.</w:t>
      </w:r>
    </w:p>
    <w:p>
      <w:pPr>
        <w:pStyle w:val="TextBody"/>
        <w:spacing w:lineRule="auto" w:line="288" w:before="0" w:after="0"/>
        <w:jc w:val="left"/>
        <w:rPr>
          <w:sz w:val="17"/>
        </w:rPr>
      </w:pPr>
      <w:r>
        <w:rPr>
          <w:rFonts w:ascii="inherit" w:hAnsi="inherit"/>
          <w:b/>
          <w:sz w:val="17"/>
        </w:rPr>
        <w:t>Fair Value of Financial Instruments</w:t>
      </w:r>
      <w:r>
        <w:rPr>
          <w:sz w:val="17"/>
        </w:rPr>
        <w:t xml:space="preserve"> </w:t>
      </w:r>
    </w:p>
    <w:p>
      <w:pPr>
        <w:pStyle w:val="TextBody"/>
        <w:spacing w:lineRule="auto" w:line="288" w:before="0" w:after="0"/>
        <w:jc w:val="left"/>
        <w:rPr>
          <w:rFonts w:ascii="inherit" w:hAnsi="inherit"/>
          <w:sz w:val="17"/>
        </w:rPr>
      </w:pPr>
      <w:r>
        <w:rPr>
          <w:rFonts w:ascii="inherit" w:hAnsi="inherit"/>
          <w:sz w:val="17"/>
        </w:rPr>
        <w:t>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w:t>
      </w:r>
    </w:p>
    <w:p>
      <w:pPr>
        <w:pStyle w:val="TextBody"/>
        <w:spacing w:lineRule="auto" w:line="288" w:before="0" w:after="0"/>
        <w:jc w:val="left"/>
        <w:rPr>
          <w:rFonts w:ascii="inherit" w:hAnsi="inherit"/>
          <w:b/>
          <w:sz w:val="17"/>
        </w:rPr>
      </w:pPr>
      <w:r>
        <w:rPr>
          <w:rFonts w:ascii="inherit" w:hAnsi="inherit"/>
          <w:b/>
          <w:sz w:val="17"/>
        </w:rPr>
        <w:t>Derivative Instruments and Hedging Activities</w:t>
      </w:r>
    </w:p>
    <w:p>
      <w:pPr>
        <w:pStyle w:val="TextBody"/>
        <w:spacing w:lineRule="auto" w:line="288" w:before="0" w:after="0"/>
        <w:jc w:val="left"/>
        <w:rPr>
          <w:rFonts w:ascii="inherit" w:hAnsi="inherit"/>
          <w:sz w:val="17"/>
        </w:rPr>
      </w:pPr>
      <w:r>
        <w:rPr>
          <w:rFonts w:ascii="inherit" w:hAnsi="inherit"/>
          <w:sz w:val="17"/>
        </w:rPr>
        <w:t xml:space="preserve">We record all derivative instruments according to FASB ASC 815-20-25, “Derivatives and Hedging – Recognition.” Accounting for changes in the fair value of derivatives is determined by the intended use of the derivative, whether it is designated as a hedge and whether the hedging relationship is effective in achieving offsetting changes for the risk being hedged. Derivatives designated to hedge the changes in the fair value of an asset, liability or firm commitment due to an identified risk in the hedged item, such as interest rate risk or foreign currency exchange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cash flow hedge. We may enter into derivative contracts that are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50</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intended to economically hedge certain of our risks, even though hedge accounting does not apply or we elect not to apply hedge accounting. </w:t>
      </w:r>
    </w:p>
    <w:p>
      <w:pPr>
        <w:pStyle w:val="TextBody"/>
        <w:spacing w:lineRule="auto" w:line="288" w:before="0" w:after="0"/>
        <w:jc w:val="left"/>
        <w:rPr>
          <w:rFonts w:ascii="inherit" w:hAnsi="inherit"/>
          <w:b/>
          <w:sz w:val="17"/>
        </w:rPr>
      </w:pPr>
      <w:r>
        <w:rPr>
          <w:rFonts w:ascii="inherit" w:hAnsi="inherit"/>
          <w:b/>
          <w:sz w:val="17"/>
        </w:rPr>
        <w:t>Acquisitions</w:t>
      </w:r>
    </w:p>
    <w:p>
      <w:pPr>
        <w:pStyle w:val="TextBody"/>
        <w:spacing w:lineRule="auto" w:line="288" w:before="0" w:after="0"/>
        <w:jc w:val="left"/>
        <w:rPr>
          <w:rFonts w:ascii="inherit" w:hAnsi="inherit"/>
          <w:sz w:val="17"/>
        </w:rPr>
      </w:pPr>
      <w:r>
        <w:rPr>
          <w:rFonts w:ascii="inherit" w:hAnsi="inherit"/>
          <w:sz w:val="17"/>
        </w:rPr>
        <w:t>We adopted FASB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immediately expense transaction costs that would have been included in the purchase price allocation under previous accounting standards.</w:t>
      </w:r>
    </w:p>
    <w:p>
      <w:pPr>
        <w:pStyle w:val="TextBody"/>
        <w:spacing w:lineRule="auto" w:line="288" w:before="0" w:after="0"/>
        <w:jc w:val="left"/>
        <w:rPr>
          <w:rFonts w:ascii="inherit" w:hAnsi="inherit"/>
          <w:b/>
          <w:sz w:val="17"/>
        </w:rPr>
      </w:pPr>
      <w:r>
        <w:rPr>
          <w:rFonts w:ascii="inherit" w:hAnsi="inherit"/>
          <w:b/>
          <w:sz w:val="17"/>
        </w:rPr>
        <w:t>Foreign Currency Translation</w:t>
      </w:r>
    </w:p>
    <w:p>
      <w:pPr>
        <w:pStyle w:val="TextBody"/>
        <w:spacing w:lineRule="auto" w:line="288" w:before="0" w:after="0"/>
        <w:jc w:val="left"/>
        <w:rPr>
          <w:sz w:val="17"/>
        </w:rPr>
      </w:pPr>
      <w:r>
        <w:rPr>
          <w:rFonts w:ascii="inherit" w:hAnsi="inherit"/>
          <w:sz w:val="17"/>
        </w:rPr>
        <w:t xml:space="preserve">Our equity investments in Albemarle &amp; Bond and Cash Converters International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Empeño Fácil, our wholly-owned subsidiary, and Crediamigo, our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owned subsidiary, is the Mexican peso. The functional currency of our wholly-owned foreign subsidiary in Canada is the Canadian dollar, and the functional currency of Cash Genie, our </w:t>
      </w:r>
      <w:r>
        <w:rPr>
          <w:rFonts w:ascii="inherit" w:hAnsi="inherit"/>
          <w:strike w:val="false"/>
          <w:dstrike w:val="false"/>
          <w:color w:val="000000"/>
          <w:sz w:val="17"/>
          <w:u w:val="none"/>
          <w:effect w:val="none"/>
        </w:rPr>
        <w:t>72%</w:t>
      </w:r>
      <w:r>
        <w:rPr>
          <w:sz w:val="17"/>
        </w:rPr>
        <w:t xml:space="preserve"> </w:t>
      </w:r>
      <w:r>
        <w:rPr>
          <w:rFonts w:ascii="inherit" w:hAnsi="inherit"/>
          <w:sz w:val="17"/>
        </w:rPr>
        <w:t>owned subsidiary, is the British Pound. Our foreign subsidiaries'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as a separate component of stockholders’ equity. Foreign currency transaction gains and losses have not been significant, and are reported as “Other” (income) or expense in our statements of operations.</w:t>
      </w:r>
    </w:p>
    <w:p>
      <w:pPr>
        <w:pStyle w:val="TextBody"/>
        <w:spacing w:lineRule="auto" w:line="288" w:before="0" w:after="0"/>
        <w:jc w:val="left"/>
        <w:rPr>
          <w:rFonts w:ascii="inherit" w:hAnsi="inherit"/>
          <w:b/>
          <w:sz w:val="17"/>
        </w:rPr>
      </w:pPr>
      <w:r>
        <w:rPr>
          <w:rFonts w:ascii="inherit" w:hAnsi="inherit"/>
          <w:b/>
          <w:sz w:val="17"/>
        </w:rPr>
        <w:t>Securitization of Consumer Loans</w:t>
      </w:r>
    </w:p>
    <w:p>
      <w:pPr>
        <w:pStyle w:val="TextBody"/>
        <w:spacing w:lineRule="auto" w:line="288" w:before="0" w:after="0"/>
        <w:jc w:val="left"/>
        <w:rPr>
          <w:rFonts w:ascii="inherit" w:hAnsi="inherit"/>
          <w:sz w:val="17"/>
        </w:rPr>
      </w:pPr>
      <w:r>
        <w:rPr>
          <w:rFonts w:ascii="inherit" w:hAnsi="inherit"/>
          <w:sz w:val="17"/>
        </w:rPr>
        <w:t xml:space="preserve">Our majority-owned subsidiary, Crediamigo, periodically transfers certain consumer loans to a bankruptcy remote trust in securitization transactions. These securitizations are accounted for as secured borrowings, and no gains or losses are recognized at the time of the transaction. Secured borrowings are transactions involving transfers of financial assets that are accounted for as financings with the assets pledged as collateral. We consolidate the assets and liabilities of the trust and disclose on our consolidated balance sheet the consolidated assets and liabilities of the trust that can only be used to settle its liabilities. </w:t>
      </w:r>
    </w:p>
    <w:p>
      <w:pPr>
        <w:pStyle w:val="TextBody"/>
        <w:spacing w:lineRule="auto" w:line="288" w:before="0" w:after="0"/>
        <w:jc w:val="left"/>
        <w:rPr>
          <w:rFonts w:ascii="inherit" w:hAnsi="inherit"/>
          <w:b/>
          <w:sz w:val="17"/>
        </w:rPr>
      </w:pPr>
      <w:r>
        <w:rPr>
          <w:rFonts w:ascii="inherit" w:hAnsi="inherit"/>
          <w:b/>
          <w:sz w:val="17"/>
        </w:rPr>
        <w:t>Operations Expense</w:t>
      </w:r>
    </w:p>
    <w:p>
      <w:pPr>
        <w:pStyle w:val="TextBody"/>
        <w:spacing w:lineRule="auto" w:line="288" w:before="0" w:after="0"/>
        <w:jc w:val="left"/>
        <w:rPr>
          <w:rFonts w:ascii="inherit" w:hAnsi="inherit"/>
          <w:sz w:val="17"/>
        </w:rPr>
      </w:pPr>
      <w:r>
        <w:rPr>
          <w:rFonts w:ascii="inherit" w:hAnsi="inherit"/>
          <w:sz w:val="17"/>
        </w:rPr>
        <w:t>Included in operations expense are costs related to operating our stores. These costs include labor, other direct expenses such as utilities, supplies and banking fees, and indirect expenses such as store rent, building repairs and maintenance, advertising, store property taxes and insurance, regional and area management expenses and the costs of our bad debt collection center.</w:t>
      </w:r>
    </w:p>
    <w:p>
      <w:pPr>
        <w:pStyle w:val="TextBody"/>
        <w:spacing w:lineRule="auto" w:line="288" w:before="0" w:after="0"/>
        <w:jc w:val="left"/>
        <w:rPr>
          <w:rFonts w:ascii="inherit" w:hAnsi="inherit"/>
          <w:b/>
          <w:sz w:val="17"/>
        </w:rPr>
      </w:pPr>
      <w:r>
        <w:rPr>
          <w:rFonts w:ascii="inherit" w:hAnsi="inherit"/>
          <w:b/>
          <w:sz w:val="17"/>
        </w:rPr>
        <w:t>Administrative Expense</w:t>
      </w:r>
    </w:p>
    <w:p>
      <w:pPr>
        <w:pStyle w:val="TextBody"/>
        <w:spacing w:lineRule="auto" w:line="288" w:before="0" w:after="0"/>
        <w:jc w:val="left"/>
        <w:rPr>
          <w:rFonts w:ascii="inherit" w:hAnsi="inherit"/>
          <w:sz w:val="17"/>
        </w:rPr>
      </w:pPr>
      <w:r>
        <w:rPr>
          <w:rFonts w:ascii="inherit" w:hAnsi="inherit"/>
          <w:sz w:val="17"/>
        </w:rPr>
        <w:t>Included in administrative expense are costs related to our executive and administrative offices. This includes executive and administrative salaries, wages, stock and incentive compensation, professional fees, license fees and costs related to the operation of our administrative offices such as rent, property taxes, insurance and information technology.</w:t>
      </w:r>
    </w:p>
    <w:p>
      <w:pPr>
        <w:pStyle w:val="TextBody"/>
        <w:spacing w:lineRule="auto" w:line="288" w:before="0" w:after="0"/>
        <w:jc w:val="left"/>
        <w:rPr>
          <w:rFonts w:ascii="inherit" w:hAnsi="inherit"/>
          <w:b/>
          <w:sz w:val="17"/>
        </w:rPr>
      </w:pPr>
      <w:r>
        <w:rPr>
          <w:rFonts w:ascii="inherit" w:hAnsi="inherit"/>
          <w:b/>
          <w:sz w:val="17"/>
        </w:rPr>
        <w:t>Advertising</w:t>
      </w:r>
    </w:p>
    <w:p>
      <w:pPr>
        <w:pStyle w:val="TextBody"/>
        <w:spacing w:lineRule="auto" w:line="288" w:before="0" w:after="0"/>
        <w:jc w:val="left"/>
        <w:rPr>
          <w:rFonts w:ascii="inherit" w:hAnsi="inherit"/>
          <w:sz w:val="17"/>
        </w:rPr>
      </w:pPr>
      <w:r>
        <w:rPr>
          <w:rFonts w:ascii="inherit" w:hAnsi="inherit"/>
          <w:sz w:val="17"/>
        </w:rPr>
        <w:t>We expense advertising costs as incurred.</w:t>
      </w:r>
    </w:p>
    <w:p>
      <w:pPr>
        <w:pStyle w:val="TextBody"/>
        <w:spacing w:lineRule="auto" w:line="288" w:before="0" w:after="0"/>
        <w:jc w:val="left"/>
        <w:rPr>
          <w:rFonts w:ascii="inherit" w:hAnsi="inherit"/>
          <w:b/>
          <w:sz w:val="17"/>
        </w:rPr>
      </w:pPr>
      <w:r>
        <w:rPr>
          <w:rFonts w:ascii="inherit" w:hAnsi="inherit"/>
          <w:b/>
          <w:sz w:val="17"/>
        </w:rPr>
        <w:t>Income Taxes</w:t>
      </w:r>
    </w:p>
    <w:p>
      <w:pPr>
        <w:pStyle w:val="TextBody"/>
        <w:spacing w:lineRule="auto" w:line="288" w:before="0" w:after="0"/>
        <w:jc w:val="left"/>
        <w:rPr>
          <w:rFonts w:ascii="inherit" w:hAnsi="inherit"/>
          <w:sz w:val="17"/>
        </w:rPr>
      </w:pPr>
      <w:r>
        <w:rPr>
          <w:rFonts w:ascii="inherit" w:hAnsi="inherit"/>
          <w:sz w:val="17"/>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pStyle w:val="TextBody"/>
        <w:spacing w:lineRule="auto" w:line="288" w:before="0" w:after="0"/>
        <w:jc w:val="left"/>
        <w:rPr>
          <w:rFonts w:ascii="inherit" w:hAnsi="inherit"/>
          <w:sz w:val="17"/>
        </w:rPr>
      </w:pPr>
      <w:r>
        <w:rPr>
          <w:rFonts w:ascii="inherit" w:hAnsi="inherit"/>
          <w:sz w:val="17"/>
        </w:rPr>
        <w:t xml:space="preserve">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51</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Stock Compensation</w:t>
      </w:r>
    </w:p>
    <w:p>
      <w:pPr>
        <w:pStyle w:val="TextBody"/>
        <w:spacing w:lineRule="auto" w:line="288" w:before="0" w:after="0"/>
        <w:jc w:val="left"/>
        <w:rPr>
          <w:rFonts w:ascii="inherit" w:hAnsi="inherit"/>
          <w:sz w:val="17"/>
        </w:rPr>
      </w:pPr>
      <w:r>
        <w:rPr>
          <w:rFonts w:ascii="inherit" w:hAnsi="inherit"/>
          <w:sz w:val="17"/>
        </w:rPr>
        <w:t>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we grant options, our policy is to estimate the grant-date fair value of the options using the Black-Scholes-Merton option-pricing model and amortize that fair value to compensation expense on a ratable basis over the options’ vesting periods.</w:t>
      </w:r>
    </w:p>
    <w:p>
      <w:pPr>
        <w:pStyle w:val="TextBody"/>
        <w:spacing w:lineRule="auto" w:line="288" w:before="0" w:after="0"/>
        <w:jc w:val="left"/>
        <w:rPr>
          <w:rFonts w:ascii="inherit" w:hAnsi="inherit"/>
          <w:b/>
          <w:sz w:val="17"/>
        </w:rPr>
      </w:pPr>
      <w:r>
        <w:rPr>
          <w:rFonts w:ascii="inherit" w:hAnsi="inherit"/>
          <w:b/>
          <w:sz w:val="17"/>
        </w:rPr>
        <w:t>Use of Estimates</w:t>
      </w:r>
    </w:p>
    <w:p>
      <w:pPr>
        <w:pStyle w:val="TextBody"/>
        <w:spacing w:lineRule="auto" w:line="288" w:before="0" w:after="0"/>
        <w:jc w:val="left"/>
        <w:rPr>
          <w:rFonts w:ascii="inherit" w:hAnsi="inherit"/>
          <w:sz w:val="17"/>
        </w:rPr>
      </w:pPr>
      <w:r>
        <w:rPr>
          <w:rFonts w:ascii="inherit" w:hAnsi="inherit"/>
          <w:sz w:val="17"/>
        </w:rPr>
        <w:t>Generally accepted accounting principles require us to make estimates and assumptions that affect the amounts reported in the financial statements and accompanying notes. Actual results could differ materially from those estimates.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Recently Issued Accounting Pronouncements</w:t>
      </w:r>
    </w:p>
    <w:p>
      <w:pPr>
        <w:pStyle w:val="TextBody"/>
        <w:spacing w:lineRule="auto" w:line="288" w:before="0" w:after="0"/>
        <w:rPr>
          <w:sz w:val="17"/>
        </w:rPr>
      </w:pPr>
      <w:r>
        <w:rPr>
          <w:rFonts w:ascii="inherit" w:hAnsi="inherit"/>
          <w:sz w:val="17"/>
        </w:rPr>
        <w:t xml:space="preserve">In October 2012, the FASB ASU 2012-04, </w:t>
      </w:r>
      <w:r>
        <w:rPr>
          <w:rFonts w:ascii="inherit" w:hAnsi="inherit"/>
          <w:i/>
          <w:sz w:val="17"/>
        </w:rPr>
        <w:t xml:space="preserve">Technical Corrections and Improvements. </w:t>
      </w:r>
      <w:r>
        <w:rPr>
          <w:rFonts w:ascii="inherit" w:hAnsi="inherit"/>
          <w:sz w:val="17"/>
        </w:rPr>
        <w:t>This update clarifies the Codification or corrects unintended application of guidance and includes amendments identifying when the use of fair value should be linked to the definition of fair value in Topic 820, Fair Value Measurement. Amendments to the Codification without transition guidance are effective upon issuance for both public and nonpublic entities. For public entities, amendments subject to transition guidance will be effective for fiscal periods beginning after December 15, 2012. We do not anticipate that the adoption of ASU 2012-04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the FASB issued ASU 2011-11, </w:t>
      </w:r>
      <w:r>
        <w:rPr>
          <w:rFonts w:ascii="inherit" w:hAnsi="inherit"/>
          <w:i/>
          <w:sz w:val="17"/>
        </w:rPr>
        <w:t>Disclosures about Offsetting Assets and Liabilities.</w:t>
      </w:r>
      <w:r>
        <w:rPr>
          <w:sz w:val="17"/>
        </w:rPr>
        <w:t xml:space="preserve"> </w:t>
      </w:r>
      <w:r>
        <w:rPr>
          <w:rFonts w:ascii="inherit" w:hAnsi="inherit"/>
          <w:sz w:val="17"/>
        </w:rPr>
        <w:t xml:space="preserve">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w:t>
      </w:r>
      <w:r>
        <w:rPr>
          <w:rFonts w:ascii="inherit" w:hAnsi="inherit"/>
          <w:strike w:val="false"/>
          <w:dstrike w:val="false"/>
          <w:color w:val="000000"/>
          <w:sz w:val="17"/>
          <w:u w:val="none"/>
          <w:effect w:val="none"/>
        </w:rPr>
        <w:t>January 1, 2013</w:t>
      </w:r>
      <w:r>
        <w:rPr>
          <w:rFonts w:ascii="inherit" w:hAnsi="inherit"/>
          <w:sz w:val="17"/>
        </w:rPr>
        <w:t>. Disclosures are required retrospectively for all comparative periods presented. Currently, we do not enter into any right of offset arrangements and we do not anticipate that the adoption of ASU 2011-11 will have a material effect on our financial position, results of operations or cash flows.</w:t>
      </w:r>
    </w:p>
    <w:p>
      <w:pPr>
        <w:pStyle w:val="TextBody"/>
        <w:spacing w:lineRule="auto" w:line="288" w:before="0" w:after="0"/>
        <w:rPr>
          <w:rFonts w:ascii="inherit" w:hAnsi="inherit"/>
          <w:b/>
          <w:sz w:val="17"/>
        </w:rPr>
      </w:pPr>
      <w:r>
        <w:rPr>
          <w:rFonts w:ascii="inherit" w:hAnsi="inherit"/>
          <w:b/>
          <w:sz w:val="17"/>
        </w:rPr>
        <w:t>Recently Adopted Accounting Pronouncements</w:t>
      </w:r>
    </w:p>
    <w:p>
      <w:pPr>
        <w:pStyle w:val="TextBody"/>
        <w:spacing w:lineRule="auto" w:line="288" w:before="0" w:after="0"/>
        <w:rPr>
          <w:sz w:val="17"/>
        </w:rPr>
      </w:pPr>
      <w:r>
        <w:rPr>
          <w:rFonts w:ascii="inherit" w:hAnsi="inherit"/>
          <w:sz w:val="17"/>
        </w:rPr>
        <w:t xml:space="preserve">In August 2012, the FASB issued ASU 2012-03, </w:t>
      </w:r>
      <w:r>
        <w:rPr>
          <w:rFonts w:ascii="inherit" w:hAnsi="inherit"/>
          <w:i/>
          <w:sz w:val="17"/>
        </w:rPr>
        <w:t xml:space="preserve">Technical Amendments and Corrections to SEC Sections—Amendments to SEC Paragraphs Pursuant to SEC Staff Accounting Bulletin No. 114, Technical Amendments Pursuant to SEC Release No. 33-9250, and Corrections Related to FASB Accounting Standards Update 2010-22. </w:t>
      </w:r>
      <w:r>
        <w:rPr>
          <w:rFonts w:ascii="inherit" w:hAnsi="inherit"/>
          <w:sz w:val="17"/>
        </w:rPr>
        <w:t xml:space="preserve">This update Amends various SEC paragraphs pursuant to the issuance of Staff Accounting Bulletin No. 114; pursuant to the issuance of the SEC’s Final Rule, “Technical Amendments to Commission Rules and Forms Related to the FASB’s Accounting Standards Codification,” Release Nos. 33-9250, 34-65052, and IC-29748 August 8, 2011; and related to ASU 2010-22, </w:t>
      </w:r>
      <w:r>
        <w:rPr>
          <w:rFonts w:ascii="inherit" w:hAnsi="inherit"/>
          <w:i/>
          <w:sz w:val="17"/>
        </w:rPr>
        <w:t>Accounting for Various Topics</w:t>
      </w:r>
      <w:r>
        <w:rPr>
          <w:rFonts w:ascii="inherit" w:hAnsi="inherit"/>
          <w:sz w:val="17"/>
        </w:rPr>
        <w:t xml:space="preserve">. The amendments in this update are effective upon issuance. We adopted this update during our interim period beginning July 1, 2012 with no material effect on our financial position, results of operations or cash flows. </w:t>
      </w:r>
    </w:p>
    <w:p>
      <w:pPr>
        <w:pStyle w:val="TextBody"/>
        <w:spacing w:lineRule="auto" w:line="288" w:before="0" w:after="0"/>
        <w:rPr>
          <w:sz w:val="17"/>
        </w:rPr>
      </w:pPr>
      <w:r>
        <w:rPr>
          <w:rFonts w:ascii="inherit" w:hAnsi="inherit"/>
          <w:sz w:val="17"/>
        </w:rPr>
        <w:t xml:space="preserve">In July 2012, the FASB issued Accounting Standards Updates ("ASU") 2012-02, </w:t>
      </w:r>
      <w:r>
        <w:rPr>
          <w:rFonts w:ascii="inherit" w:hAnsi="inherit"/>
          <w:i/>
          <w:sz w:val="17"/>
        </w:rPr>
        <w:t xml:space="preserve">Testing Indefinite-Lived Intangible Assets for Impairment. </w:t>
      </w:r>
      <w:r>
        <w:rPr>
          <w:rFonts w:ascii="inherit" w:hAnsi="inherit"/>
          <w:sz w:val="17"/>
        </w:rPr>
        <w:t xml:space="preserve">This update amends FASB ASC 350 (Intangibles – Goodwill and Other) by allowing entities to first assess qualitative factors to determine whether it is necessary to perform a quantitative impairment test. The amendments in this update are effective for annual and interim impairment tests performed for fiscal years beginning on or after </w:t>
      </w:r>
      <w:r>
        <w:rPr>
          <w:rFonts w:ascii="inherit" w:hAnsi="inherit"/>
          <w:strike w:val="false"/>
          <w:dstrike w:val="false"/>
          <w:color w:val="000000"/>
          <w:sz w:val="17"/>
          <w:u w:val="none"/>
          <w:effect w:val="none"/>
        </w:rPr>
        <w:t>September 15, 2012</w:t>
      </w:r>
      <w:r>
        <w:rPr>
          <w:rFonts w:ascii="inherit" w:hAnsi="inherit"/>
          <w:sz w:val="17"/>
        </w:rPr>
        <w:t>. We early adopted this ASU 2012-02 in our interim period beginning July 1, 2012 with no material effect on our financial position, results of operations or cash flows.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September 2011</w:t>
      </w:r>
      <w:r>
        <w:rPr>
          <w:rFonts w:ascii="inherit" w:hAnsi="inherit"/>
          <w:sz w:val="17"/>
        </w:rPr>
        <w:t xml:space="preserve">, the FASB issued ASU 2011-08, </w:t>
      </w:r>
      <w:r>
        <w:rPr>
          <w:rFonts w:ascii="inherit" w:hAnsi="inherit"/>
          <w:i/>
          <w:sz w:val="17"/>
        </w:rPr>
        <w:t>Testing Goodwill for Impairment.</w:t>
      </w:r>
      <w:r>
        <w:rPr>
          <w:sz w:val="17"/>
        </w:rPr>
        <w:t xml:space="preserve"> </w:t>
      </w:r>
      <w:r>
        <w:rPr>
          <w:rFonts w:ascii="inherit" w:hAnsi="inherit"/>
          <w:sz w:val="17"/>
        </w:rPr>
        <w:t xml:space="preserve">This update amends FASB ASC 350 (Intangibles – Goodwill and Other) by allowing entities to first assess qualitative factors to determine whether it is necessary to perform the two-step quantitative goodwill impairment test. The amendments in this update are effective for annual and interim goodwill impairment tests performed for fiscal years beginning on or after </w:t>
      </w:r>
      <w:r>
        <w:rPr>
          <w:rFonts w:ascii="inherit" w:hAnsi="inherit"/>
          <w:strike w:val="false"/>
          <w:dstrike w:val="false"/>
          <w:color w:val="000000"/>
          <w:sz w:val="17"/>
          <w:u w:val="none"/>
          <w:effect w:val="none"/>
        </w:rPr>
        <w:t>December 15, 2011</w:t>
      </w:r>
      <w:r>
        <w:rPr>
          <w:rFonts w:ascii="inherit" w:hAnsi="inherit"/>
          <w:sz w:val="17"/>
        </w:rPr>
        <w:t>. We early adopted this ASU 2011-08 in our interim period beginning July 1, 2012 with no material effect on our financial position, results of operations or cash flows.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May 2011</w:t>
      </w:r>
      <w:r>
        <w:rPr>
          <w:rFonts w:ascii="inherit" w:hAnsi="inherit"/>
          <w:sz w:val="17"/>
        </w:rPr>
        <w:t xml:space="preserve">, the FASB issued ASU 2011-04, </w:t>
      </w:r>
      <w:r>
        <w:rPr>
          <w:rFonts w:ascii="inherit" w:hAnsi="inherit"/>
          <w:i/>
          <w:sz w:val="17"/>
        </w:rPr>
        <w:t>Amendments to Achieve Common Fair Value Measurement and Disclosure Requirements in U.S. Generally Accepted Accounting Principles (“GAAP”) and International Financial Reporting Standards (“IFRS”).</w:t>
      </w:r>
      <w:r>
        <w:rPr>
          <w:sz w:val="17"/>
        </w:rPr>
        <w:t xml:space="preserve"> </w:t>
      </w:r>
      <w:r>
        <w:rPr>
          <w:rFonts w:ascii="inherit" w:hAnsi="inherit"/>
          <w:sz w:val="17"/>
        </w:rPr>
        <w:t xml:space="preserve">This update amends FASB ASC 820 (Fair Value Measurement) by providing common principles and requirements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52</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for measuring fair value, as well as similar disclosure requirements between U.S. GAAP and IFRS. It changes certain fair value measurement principles, clarifies the application of existing fair value concepts, and expands disclosure requirements, particularly for Level 3 fair value measurements. ASU 2011-04 is effective for interim and annual periods beginning on or after </w:t>
      </w:r>
      <w:r>
        <w:rPr>
          <w:rFonts w:ascii="inherit" w:hAnsi="inherit"/>
          <w:strike w:val="false"/>
          <w:dstrike w:val="false"/>
          <w:color w:val="000000"/>
          <w:sz w:val="17"/>
          <w:u w:val="none"/>
          <w:effect w:val="none"/>
        </w:rPr>
        <w:t>December 15, 2011</w:t>
      </w:r>
      <w:r>
        <w:rPr>
          <w:rFonts w:ascii="inherit" w:hAnsi="inherit"/>
          <w:sz w:val="17"/>
        </w:rPr>
        <w:t xml:space="preserve">. We adopted ASU 2011-04 in our interim period beginning </w:t>
      </w:r>
      <w:r>
        <w:rPr>
          <w:rFonts w:ascii="inherit" w:hAnsi="inherit"/>
          <w:strike w:val="false"/>
          <w:dstrike w:val="false"/>
          <w:color w:val="000000"/>
          <w:sz w:val="17"/>
          <w:u w:val="none"/>
          <w:effect w:val="none"/>
        </w:rPr>
        <w:t>January 1, 2012</w:t>
      </w:r>
      <w:r>
        <w:rPr>
          <w:sz w:val="17"/>
        </w:rPr>
        <w:t xml:space="preserve"> </w:t>
      </w:r>
      <w:r>
        <w:rPr>
          <w:rFonts w:ascii="inherit" w:hAnsi="inherit"/>
          <w:sz w:val="17"/>
        </w:rPr>
        <w:t>with no material effect on our financial position, results of operations or cash flows.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the FASB issued ASU 2011-12, </w:t>
      </w:r>
      <w:r>
        <w:rPr>
          <w:rFonts w:ascii="inherit" w:hAnsi="inherit"/>
          <w:i/>
          <w:sz w:val="17"/>
        </w:rPr>
        <w:t>Deferral of the Effective Date for Amendments to the Presentation of Reclassifications of Items Out of Accumulated Other Comprehensive Income in ASU 2011-05.</w:t>
      </w:r>
      <w:r>
        <w:rPr>
          <w:sz w:val="17"/>
        </w:rPr>
        <w:t xml:space="preserve"> </w:t>
      </w:r>
      <w:r>
        <w:rPr>
          <w:rFonts w:ascii="inherit" w:hAnsi="inherit"/>
          <w:sz w:val="17"/>
        </w:rPr>
        <w:t xml:space="preserve">This update supersedes certain content in ASU 2011-05 </w:t>
      </w:r>
      <w:r>
        <w:rPr>
          <w:rFonts w:ascii="inherit" w:hAnsi="inherit"/>
          <w:i/>
          <w:sz w:val="17"/>
        </w:rPr>
        <w:t>Presentation of Comprehensive Income</w:t>
      </w:r>
      <w:r>
        <w:rPr>
          <w:sz w:val="17"/>
        </w:rPr>
        <w:t xml:space="preserve"> </w:t>
      </w:r>
      <w:r>
        <w:rPr>
          <w:rFonts w:ascii="inherit" w:hAnsi="inherit"/>
          <w:sz w:val="17"/>
        </w:rPr>
        <w:t xml:space="preserve">that requires entities to present on the face of the financial statements reclassification adjustments for items that are reclassified from other comprehensive income to net income in the statements where the components of net income and the components of other comprehensive income are presented. This update is effective for fiscal years, and interim periods within those years, beginning after </w:t>
      </w:r>
      <w:r>
        <w:rPr>
          <w:rFonts w:ascii="inherit" w:hAnsi="inherit"/>
          <w:strike w:val="false"/>
          <w:dstrike w:val="false"/>
          <w:color w:val="000000"/>
          <w:sz w:val="17"/>
          <w:u w:val="none"/>
          <w:effect w:val="none"/>
        </w:rPr>
        <w:t>December 15, 2011</w:t>
      </w:r>
      <w:r>
        <w:rPr>
          <w:rFonts w:ascii="inherit" w:hAnsi="inherit"/>
          <w:sz w:val="17"/>
        </w:rPr>
        <w:t xml:space="preserve">. All other requirements in ASU 2011-05, including the requirement to report comprehensive income in either a single continuous financial statement or in two separate but consecutive financial statements, were not affected by ASU 2011-12. This update is effective for fiscal years beginning on or after </w:t>
      </w:r>
      <w:r>
        <w:rPr>
          <w:rFonts w:ascii="inherit" w:hAnsi="inherit"/>
          <w:strike w:val="false"/>
          <w:dstrike w:val="false"/>
          <w:color w:val="000000"/>
          <w:sz w:val="17"/>
          <w:u w:val="none"/>
          <w:effect w:val="none"/>
        </w:rPr>
        <w:t>December 15, 2011</w:t>
      </w:r>
      <w:r>
        <w:rPr>
          <w:rFonts w:ascii="inherit" w:hAnsi="inherit"/>
          <w:sz w:val="17"/>
        </w:rPr>
        <w:t xml:space="preserve">. We early adopted this amended standard in our fiscal year beginning </w:t>
      </w:r>
      <w:r>
        <w:rPr>
          <w:rFonts w:ascii="inherit" w:hAnsi="inherit"/>
          <w:strike w:val="false"/>
          <w:dstrike w:val="false"/>
          <w:color w:val="000000"/>
          <w:sz w:val="17"/>
          <w:u w:val="none"/>
          <w:effect w:val="none"/>
        </w:rPr>
        <w:t>October 1, 2011</w:t>
      </w:r>
      <w:r>
        <w:rPr>
          <w:sz w:val="17"/>
        </w:rPr>
        <w:t xml:space="preserve"> </w:t>
      </w:r>
      <w:r>
        <w:rPr>
          <w:rFonts w:ascii="inherit" w:hAnsi="inherit"/>
          <w:sz w:val="17"/>
        </w:rPr>
        <w:t>with no effect on our financial position, results of operations or cash flows.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2010</w:t>
      </w:r>
      <w:r>
        <w:rPr>
          <w:rFonts w:ascii="inherit" w:hAnsi="inherit"/>
          <w:sz w:val="17"/>
        </w:rPr>
        <w:t xml:space="preserve">, the FASB issued ASU 2010-29, </w:t>
      </w:r>
      <w:r>
        <w:rPr>
          <w:rFonts w:ascii="inherit" w:hAnsi="inherit"/>
          <w:i/>
          <w:sz w:val="17"/>
        </w:rPr>
        <w:t>Disclosure of Supplementary Pro Forma Information for Business Combinations</w:t>
      </w:r>
      <w:r>
        <w:rPr>
          <w:rFonts w:ascii="inherit" w:hAnsi="inherit"/>
          <w:sz w:val="17"/>
        </w:rPr>
        <w:t xml:space="preserve">. The amendments in this update specify that, when presenting comparative financial statements, entities should disclose revenue and earnings of the combined entity as though the business combinations that occurred during the current year had occurred as of the beginning of the comparable prior annual reporting period. ASU 2010-29 also expands the supplemental pro forma disclosures to include a description of the nature and amount of material, nonrecurring pro forma adjustments directly attributable to the business combination included in the reported pro forma revenue and earnings. The amendments are effective prospectively for material (on an individual or an aggregate basis) business combinations entered into in fiscal years beginning on or after </w:t>
      </w:r>
      <w:r>
        <w:rPr>
          <w:rFonts w:ascii="inherit" w:hAnsi="inherit"/>
          <w:strike w:val="false"/>
          <w:dstrike w:val="false"/>
          <w:color w:val="000000"/>
          <w:sz w:val="17"/>
          <w:u w:val="none"/>
          <w:effect w:val="none"/>
        </w:rPr>
        <w:t>December 15, 2010</w:t>
      </w:r>
      <w:r>
        <w:rPr>
          <w:rFonts w:ascii="inherit" w:hAnsi="inherit"/>
          <w:sz w:val="17"/>
        </w:rPr>
        <w:t xml:space="preserve">. We adopted this amended standard on </w:t>
      </w:r>
      <w:r>
        <w:rPr>
          <w:rFonts w:ascii="inherit" w:hAnsi="inherit"/>
          <w:strike w:val="false"/>
          <w:dstrike w:val="false"/>
          <w:color w:val="000000"/>
          <w:sz w:val="17"/>
          <w:u w:val="none"/>
          <w:effect w:val="none"/>
        </w:rPr>
        <w:t>October 1, 2011</w:t>
      </w:r>
      <w:r>
        <w:rPr>
          <w:rFonts w:ascii="inherit" w:hAnsi="inherit"/>
          <w:sz w:val="17"/>
        </w:rPr>
        <w:t>, resulting in no effect on our financial position, operations or cash flows.</w:t>
      </w:r>
    </w:p>
    <w:p>
      <w:pPr>
        <w:pStyle w:val="TextBody"/>
        <w:spacing w:lineRule="auto" w:line="288" w:before="0" w:after="0"/>
        <w:rPr>
          <w:sz w:val="17"/>
        </w:rPr>
      </w:pPr>
      <w:bookmarkStart w:id="55" w:name="sd3066c683e5846519245349709208b7f"/>
      <w:bookmarkEnd w:id="55"/>
      <w:r>
        <w:rPr>
          <w:rFonts w:ascii="inherit" w:hAnsi="inherit"/>
          <w:b/>
          <w:strike w:val="false"/>
          <w:dstrike w:val="false"/>
          <w:color w:val="000000"/>
          <w:sz w:val="17"/>
          <w:u w:val="none"/>
          <w:effect w:val="none"/>
        </w:rPr>
        <w:t>NOTE 2: DISCONTINUED OPERATIONS</w:t>
      </w:r>
      <w:r>
        <w:rPr>
          <w:sz w:val="17"/>
        </w:rPr>
        <w:t xml:space="preserve"> </w:t>
      </w:r>
    </w:p>
    <w:p>
      <w:pPr>
        <w:pStyle w:val="TextBody"/>
        <w:spacing w:lineRule="auto" w:line="288" w:before="0" w:after="0"/>
        <w:jc w:val="left"/>
        <w:rPr>
          <w:sz w:val="17"/>
        </w:rPr>
      </w:pPr>
      <w:r>
        <w:rPr>
          <w:rFonts w:ascii="inherit" w:hAnsi="inherit"/>
          <w:sz w:val="17"/>
        </w:rPr>
        <w:t xml:space="preserve">During the third quarter of fiscal 2013, our Board of Directors approved a plan to close </w:t>
      </w:r>
      <w:r>
        <w:rPr>
          <w:rFonts w:ascii="inherit" w:hAnsi="inherit"/>
          <w:strike w:val="false"/>
          <w:dstrike w:val="false"/>
          <w:color w:val="000000"/>
          <w:sz w:val="17"/>
          <w:u w:val="none"/>
          <w:effect w:val="none"/>
        </w:rPr>
        <w:t>107</w:t>
      </w:r>
      <w:r>
        <w:rPr>
          <w:sz w:val="17"/>
        </w:rPr>
        <w:t xml:space="preserve"> </w:t>
      </w:r>
      <w:r>
        <w:rPr>
          <w:rFonts w:ascii="inherit" w:hAnsi="inherit"/>
          <w:sz w:val="17"/>
        </w:rPr>
        <w:t>legacy stores (</w:t>
      </w:r>
      <w:r>
        <w:rPr>
          <w:rFonts w:ascii="inherit" w:hAnsi="inherit"/>
          <w:strike w:val="false"/>
          <w:dstrike w:val="false"/>
          <w:color w:val="000000"/>
          <w:sz w:val="17"/>
          <w:u w:val="none"/>
          <w:effect w:val="none"/>
        </w:rPr>
        <w:t>102</w:t>
      </w:r>
      <w:r>
        <w:rPr>
          <w:rFonts w:ascii="inherit" w:hAnsi="inherit"/>
          <w:sz w:val="17"/>
        </w:rPr>
        <w:t xml:space="preserve">, </w:t>
      </w:r>
      <w:r>
        <w:rPr>
          <w:rFonts w:ascii="inherit" w:hAnsi="inherit"/>
          <w:strike w:val="false"/>
          <w:dstrike w:val="false"/>
          <w:color w:val="000000"/>
          <w:sz w:val="17"/>
          <w:u w:val="none"/>
          <w:effect w:val="none"/>
        </w:rPr>
        <w:t>94</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of which were in operation at September 30, 2012, 2011 and 2010, respectively) in a variety of locations. These stores are generally older, smaller stores that do not fit our future growth profile. </w:t>
      </w:r>
    </w:p>
    <w:p>
      <w:pPr>
        <w:pStyle w:val="TextBody"/>
        <w:spacing w:lineRule="auto" w:line="288" w:before="0" w:after="0"/>
        <w:jc w:val="left"/>
        <w:rPr>
          <w:rFonts w:ascii="inherit" w:hAnsi="inherit"/>
          <w:sz w:val="17"/>
        </w:rPr>
      </w:pPr>
      <w:r>
        <w:rPr>
          <w:rFonts w:ascii="inherit" w:hAnsi="inherit"/>
          <w:sz w:val="17"/>
        </w:rPr>
        <w:t>Store closures as discontinued operations include:</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57</w:t>
            </w:r>
            <w:r>
              <w:rPr>
                <w:sz w:val="17"/>
              </w:rPr>
              <w:t xml:space="preserve"> </w:t>
            </w:r>
            <w:r>
              <w:rPr>
                <w:rFonts w:ascii="inherit" w:hAnsi="inherit"/>
                <w:sz w:val="17"/>
              </w:rPr>
              <w:t xml:space="preserve">stores in Mexico, </w:t>
            </w:r>
            <w:r>
              <w:rPr>
                <w:rFonts w:ascii="inherit" w:hAnsi="inherit"/>
                <w:strike w:val="false"/>
                <w:dstrike w:val="false"/>
                <w:color w:val="000000"/>
                <w:sz w:val="17"/>
                <w:u w:val="none"/>
                <w:effect w:val="none"/>
              </w:rPr>
              <w:t>52</w:t>
            </w:r>
            <w:r>
              <w:rPr>
                <w:sz w:val="17"/>
              </w:rPr>
              <w:t xml:space="preserve"> </w:t>
            </w:r>
            <w:r>
              <w:rPr>
                <w:rFonts w:ascii="inherit" w:hAnsi="inherit"/>
                <w:sz w:val="17"/>
              </w:rPr>
              <w:t xml:space="preserve">of which are small, jewelry-only asset group formats. We will continue to operate our full-service SWS stores under the Empeño Fácil brand, and expect to continue our rapid storefront growth in Mexico.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29</w:t>
            </w:r>
            <w:r>
              <w:rPr>
                <w:sz w:val="17"/>
              </w:rPr>
              <w:t xml:space="preserve"> </w:t>
            </w:r>
            <w:r>
              <w:rPr>
                <w:rFonts w:ascii="inherit" w:hAnsi="inherit"/>
                <w:sz w:val="17"/>
              </w:rPr>
              <w:t>stores in Canada, where we are in the process of transitioning to an integrated buy/sell and financial services model under the Cash Converters brand. The affected asset group consists of stores that are not optimal for that model because of location or size. We will continue to operate full-service buy/sell and financial services center stores under the Cash Converters brand in Canada and the United States.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financial services stores in Dallas, Texas and the State of Florida, where we are exiting both locations primarily to onerous regulatory requirements. In addition,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jewelry-only concept store will be closed, which was our only jewelry-only store in the United States.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Certain balances in the consolidated financial statements and footnote disclosures have been revised as a result of the discontinued operations.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Discontinued operations in fiscal 2012, 2011 and 2010 include </w:t>
      </w:r>
      <w:r>
        <w:rPr>
          <w:rFonts w:ascii="inherit" w:hAnsi="inherit"/>
          <w:strike w:val="false"/>
          <w:dstrike w:val="false"/>
          <w:color w:val="000000"/>
          <w:sz w:val="17"/>
          <w:u w:val="none"/>
          <w:effect w:val="none"/>
        </w:rPr>
        <w:t>$17.3 million</w:t>
      </w:r>
      <w:r>
        <w:rPr>
          <w:rFonts w:ascii="inherit" w:hAnsi="inherit"/>
          <w:sz w:val="17"/>
        </w:rPr>
        <w:t xml:space="preserve">, </w:t>
      </w:r>
      <w:r>
        <w:rPr>
          <w:rFonts w:ascii="inherit" w:hAnsi="inherit"/>
          <w:strike w:val="false"/>
          <w:dstrike w:val="false"/>
          <w:color w:val="000000"/>
          <w:sz w:val="17"/>
          <w:u w:val="none"/>
          <w:effect w:val="none"/>
        </w:rPr>
        <w:t>$16.5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$7.9 million</w:t>
      </w:r>
      <w:r>
        <w:rPr>
          <w:sz w:val="17"/>
        </w:rPr>
        <w:t xml:space="preserve"> </w:t>
      </w:r>
      <w:r>
        <w:rPr>
          <w:rFonts w:ascii="inherit" w:hAnsi="inherit"/>
          <w:sz w:val="17"/>
        </w:rPr>
        <w:t xml:space="preserve">of revenues and </w:t>
      </w:r>
      <w:r>
        <w:rPr>
          <w:rFonts w:ascii="inherit" w:hAnsi="inherit"/>
          <w:strike w:val="false"/>
          <w:dstrike w:val="false"/>
          <w:color w:val="000000"/>
          <w:sz w:val="17"/>
          <w:u w:val="none"/>
          <w:effect w:val="none"/>
        </w:rPr>
        <w:t>$4.8 million</w:t>
      </w:r>
      <w:r>
        <w:rPr>
          <w:rFonts w:ascii="inherit" w:hAnsi="inherit"/>
          <w:sz w:val="17"/>
        </w:rPr>
        <w:t xml:space="preserve">, </w:t>
      </w:r>
      <w:r>
        <w:rPr>
          <w:rFonts w:ascii="inherit" w:hAnsi="inherit"/>
          <w:strike w:val="false"/>
          <w:dstrike w:val="false"/>
          <w:color w:val="000000"/>
          <w:sz w:val="17"/>
          <w:u w:val="none"/>
          <w:effect w:val="none"/>
        </w:rPr>
        <w:t>$1.5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$1.3 million</w:t>
      </w:r>
      <w:r>
        <w:rPr>
          <w:sz w:val="17"/>
        </w:rPr>
        <w:t xml:space="preserve"> </w:t>
      </w:r>
      <w:r>
        <w:rPr>
          <w:rFonts w:ascii="inherit" w:hAnsi="inherit"/>
          <w:sz w:val="17"/>
        </w:rPr>
        <w:t xml:space="preserve">pre-tax operating losses from stores being closed, respectively. </w:t>
      </w:r>
    </w:p>
    <w:p>
      <w:pPr>
        <w:pStyle w:val="TextBody"/>
        <w:spacing w:lineRule="auto" w:line="288" w:before="0" w:after="0"/>
        <w:jc w:val="left"/>
        <w:rPr>
          <w:rFonts w:ascii="inherit" w:hAnsi="inherit"/>
          <w:b/>
          <w:sz w:val="17"/>
        </w:rPr>
      </w:pPr>
      <w:bookmarkStart w:id="56" w:name="s8D5D8F3A82F2E12089ED0F13B7259AE7"/>
      <w:bookmarkEnd w:id="56"/>
      <w:r>
        <w:rPr>
          <w:rFonts w:ascii="inherit" w:hAnsi="inherit"/>
          <w:b/>
          <w:sz w:val="17"/>
        </w:rPr>
        <w:t>NOTE 3: ACQUISITIONS</w:t>
      </w:r>
    </w:p>
    <w:p>
      <w:pPr>
        <w:pStyle w:val="TextBody"/>
        <w:spacing w:lineRule="auto" w:line="288" w:before="0" w:after="0"/>
        <w:jc w:val="left"/>
        <w:rPr>
          <w:rFonts w:ascii="inherit" w:hAnsi="inherit"/>
          <w:b/>
          <w:sz w:val="17"/>
        </w:rPr>
      </w:pPr>
      <w:r>
        <w:rPr>
          <w:rFonts w:ascii="inherit" w:hAnsi="inherit"/>
          <w:b/>
          <w:sz w:val="17"/>
        </w:rPr>
        <w:t>Crediamigo</w:t>
      </w:r>
    </w:p>
    <w:p>
      <w:pPr>
        <w:pStyle w:val="TextBody"/>
        <w:spacing w:lineRule="auto" w:line="288" w:before="0" w:after="0"/>
        <w:jc w:val="left"/>
        <w:rPr>
          <w:sz w:val="17"/>
        </w:rPr>
      </w:pPr>
      <w:r>
        <w:rPr>
          <w:rFonts w:ascii="inherit" w:hAnsi="inherit"/>
          <w:sz w:val="17"/>
        </w:rPr>
        <w:t xml:space="preserve">On January 30, 2012, we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interest in Crediamigo, a specialty consumer finance company headquartered in Mexico City. The total consideration of $</w:t>
      </w:r>
      <w:r>
        <w:rPr>
          <w:rFonts w:ascii="inherit" w:hAnsi="inherit"/>
          <w:strike w:val="false"/>
          <w:dstrike w:val="false"/>
          <w:color w:val="000000"/>
          <w:sz w:val="17"/>
          <w:u w:val="none"/>
          <w:effect w:val="none"/>
        </w:rPr>
        <w:t>60.1 million</w:t>
      </w:r>
      <w:r>
        <w:rPr>
          <w:rFonts w:ascii="inherit" w:hAnsi="inherit"/>
          <w:sz w:val="17"/>
        </w:rPr>
        <w:t xml:space="preserve">, net of cash acquired, includes contingent consideration related to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earn out payments. If certain financial performance targets are achieved during calendar years </w:t>
      </w:r>
      <w:r>
        <w:rPr>
          <w:rFonts w:ascii="Times New Roman" w:hAnsi="Times New Roman"/>
          <w:strike w:val="false"/>
          <w:dstrike w:val="false"/>
          <w:color w:val="000000"/>
          <w:sz w:val="17"/>
          <w:u w:val="none"/>
          <w:effect w:val="none"/>
        </w:rPr>
        <w:t>2012</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2013</w:t>
      </w:r>
      <w:r>
        <w:rPr>
          <w:rFonts w:ascii="inherit" w:hAnsi="inherit"/>
          <w:sz w:val="17"/>
        </w:rPr>
        <w:t xml:space="preserve">, we will make a payment to the sellers of </w:t>
      </w:r>
      <w:r>
        <w:rPr>
          <w:rFonts w:ascii="inherit" w:hAnsi="inherit"/>
          <w:strike w:val="false"/>
          <w:dstrike w:val="false"/>
          <w:color w:val="000000"/>
          <w:sz w:val="17"/>
          <w:u w:val="none"/>
          <w:effect w:val="none"/>
        </w:rPr>
        <w:t>$12.0 million</w:t>
      </w:r>
      <w:r>
        <w:rPr>
          <w:sz w:val="17"/>
        </w:rPr>
        <w:t xml:space="preserve"> </w:t>
      </w:r>
      <w:r>
        <w:rPr>
          <w:rFonts w:ascii="inherit" w:hAnsi="inherit"/>
          <w:sz w:val="17"/>
        </w:rPr>
        <w:t xml:space="preserve">dollars, each year, for a total amount of </w:t>
      </w:r>
      <w:r>
        <w:rPr>
          <w:rFonts w:ascii="inherit" w:hAnsi="inherit"/>
          <w:strike w:val="false"/>
          <w:dstrike w:val="false"/>
          <w:color w:val="000000"/>
          <w:sz w:val="17"/>
          <w:u w:val="none"/>
          <w:effect w:val="none"/>
        </w:rPr>
        <w:t>$24.0 million</w:t>
      </w:r>
      <w:r>
        <w:rPr>
          <w:sz w:val="17"/>
        </w:rPr>
        <w:t xml:space="preserve"> </w:t>
      </w:r>
      <w:r>
        <w:rPr>
          <w:rFonts w:ascii="inherit" w:hAnsi="inherit"/>
          <w:sz w:val="17"/>
        </w:rPr>
        <w:t xml:space="preserve">dollars. The purchase price above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53</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includes a fair value amount of $</w:t>
      </w:r>
      <w:r>
        <w:rPr>
          <w:rFonts w:ascii="inherit" w:hAnsi="inherit"/>
          <w:strike w:val="false"/>
          <w:dstrike w:val="false"/>
          <w:color w:val="000000"/>
          <w:sz w:val="17"/>
          <w:u w:val="none"/>
          <w:effect w:val="none"/>
        </w:rPr>
        <w:t>23.0 million</w:t>
      </w:r>
      <w:r>
        <w:rPr>
          <w:sz w:val="17"/>
        </w:rPr>
        <w:t xml:space="preserve"> </w:t>
      </w:r>
      <w:r>
        <w:rPr>
          <w:rFonts w:ascii="inherit" w:hAnsi="inherit"/>
          <w:sz w:val="17"/>
        </w:rPr>
        <w:t>attributable to the contingent consideration payments. This amount was calculated using a probability-weighted discounted cash flow approach, in which all outcomes were successful. The significant inputs used for the valuation are not observable in the market, and thus this fair value measurement represents a Level 3 measurement within the fair value hierarchy.</w:t>
      </w:r>
    </w:p>
    <w:p>
      <w:pPr>
        <w:pStyle w:val="TextBody"/>
        <w:spacing w:lineRule="auto" w:line="288" w:before="0" w:after="0"/>
        <w:jc w:val="left"/>
        <w:rPr>
          <w:sz w:val="17"/>
        </w:rPr>
      </w:pPr>
      <w:r>
        <w:rPr>
          <w:rFonts w:ascii="inherit" w:hAnsi="inherit"/>
          <w:sz w:val="17"/>
        </w:rPr>
        <w:t xml:space="preserve">Pursuant to the Master Transaction Agreement, the sellers have a put option with respect to their remaining shares of Crediamigo. Each seller has the right to sell their Crediamigo shares to us during the exercise period commencing on January 30, 2014 and ending on January 30, 2017 , with no more than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of the seller's shares being sold within a consecutive </w:t>
      </w:r>
      <w:r>
        <w:rPr>
          <w:rFonts w:ascii="inherit" w:hAnsi="inherit"/>
          <w:strike w:val="false"/>
          <w:dstrike w:val="false"/>
          <w:color w:val="000000"/>
          <w:sz w:val="17"/>
          <w:u w:val="none"/>
          <w:effect w:val="none"/>
        </w:rPr>
        <w:t>twelve</w:t>
      </w:r>
      <w:r>
        <w:rPr>
          <w:rFonts w:ascii="inherit" w:hAnsi="inherit"/>
          <w:sz w:val="17"/>
        </w:rPr>
        <w:t>-month period. Under the guidance in ASC 480-10-S99, securities that are redeemable for cash or other assets are to be classified outside of permanent equity; therefore, we have included the redeemable noncontrolling interest related to Crediamigo in temporary equity.</w:t>
      </w:r>
    </w:p>
    <w:p>
      <w:pPr>
        <w:pStyle w:val="TextBody"/>
        <w:spacing w:lineRule="auto" w:line="288" w:before="0" w:after="0"/>
        <w:jc w:val="left"/>
        <w:rPr>
          <w:sz w:val="17"/>
        </w:rPr>
      </w:pPr>
      <w:r>
        <w:rPr>
          <w:rFonts w:ascii="inherit" w:hAnsi="inherit"/>
          <w:sz w:val="17"/>
        </w:rPr>
        <w:t xml:space="preserve">The fair value of the redeemable noncontrolling interest in Crediamigo was estimated by applying an income approach and a market approach. This fair value measurement is based on significant inputs that are not observable in the market and thus represents a Level 3 measurement. Key assumptions include discount rates ranging from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18%</w:t>
      </w:r>
      <w:r>
        <w:rPr>
          <w:rFonts w:ascii="inherit" w:hAnsi="inherit"/>
          <w:sz w:val="17"/>
        </w:rPr>
        <w:t>, representing discounts for lack of control and lack of marketability that market participants would consider when estimating the fair value of the noncontrolling interest. The fair market value of Crediamigo was determined using a multiple of future earnings.</w:t>
      </w:r>
    </w:p>
    <w:p>
      <w:pPr>
        <w:pStyle w:val="TextBody"/>
        <w:spacing w:lineRule="auto" w:line="288" w:before="0" w:after="0"/>
        <w:jc w:val="left"/>
        <w:rPr>
          <w:sz w:val="17"/>
        </w:rPr>
      </w:pPr>
      <w:r>
        <w:rPr>
          <w:rFonts w:ascii="inherit" w:hAnsi="inherit"/>
          <w:sz w:val="17"/>
        </w:rPr>
        <w:t xml:space="preserve">The </w:t>
      </w:r>
      <w:r>
        <w:rPr>
          <w:rFonts w:ascii="Times New Roman" w:hAnsi="Times New Roman"/>
          <w:strike w:val="false"/>
          <w:dstrike w:val="false"/>
          <w:color w:val="000000"/>
          <w:sz w:val="17"/>
          <w:u w:val="none"/>
          <w:effect w:val="none"/>
        </w:rPr>
        <w:t>year ended</w:t>
      </w:r>
      <w:r>
        <w:rPr>
          <w:sz w:val="17"/>
        </w:rPr>
        <w:t xml:space="preserve"> </w:t>
      </w:r>
      <w:r>
        <w:rPr>
          <w:rFonts w:ascii="Times New Roman" w:hAnsi="Times New Roman"/>
          <w:strike w:val="false"/>
          <w:dstrike w:val="false"/>
          <w:color w:val="000000"/>
          <w:sz w:val="17"/>
          <w:u w:val="none"/>
          <w:effect w:val="none"/>
        </w:rPr>
        <w:t>September 30, 2012</w:t>
      </w:r>
      <w:r>
        <w:rPr>
          <w:rFonts w:ascii="inherit" w:hAnsi="inherit"/>
          <w:sz w:val="17"/>
        </w:rPr>
        <w:t xml:space="preserve">, includes </w:t>
      </w:r>
      <w:r>
        <w:rPr>
          <w:rFonts w:ascii="inherit" w:hAnsi="inherit"/>
          <w:strike w:val="false"/>
          <w:dstrike w:val="false"/>
          <w:color w:val="000000"/>
          <w:sz w:val="17"/>
          <w:u w:val="none"/>
          <w:effect w:val="none"/>
        </w:rPr>
        <w:t>$27.7 million</w:t>
      </w:r>
      <w:r>
        <w:rPr>
          <w:sz w:val="17"/>
        </w:rPr>
        <w:t xml:space="preserve"> </w:t>
      </w:r>
      <w:r>
        <w:rPr>
          <w:rFonts w:ascii="inherit" w:hAnsi="inherit"/>
          <w:sz w:val="17"/>
        </w:rPr>
        <w:t xml:space="preserve">in total revenues and </w:t>
      </w:r>
      <w:r>
        <w:rPr>
          <w:rFonts w:ascii="inherit" w:hAnsi="inherit"/>
          <w:strike w:val="false"/>
          <w:dstrike w:val="false"/>
          <w:color w:val="000000"/>
          <w:sz w:val="17"/>
          <w:u w:val="none"/>
          <w:effect w:val="none"/>
        </w:rPr>
        <w:t>$10.1 million</w:t>
      </w:r>
      <w:r>
        <w:rPr>
          <w:sz w:val="17"/>
        </w:rPr>
        <w:t xml:space="preserve"> </w:t>
      </w:r>
      <w:r>
        <w:rPr>
          <w:rFonts w:ascii="inherit" w:hAnsi="inherit"/>
          <w:sz w:val="17"/>
        </w:rPr>
        <w:t>in income attributable to EZCORP, Inc. related to the Crediamigo acquisition. The purchase price allocation is preliminary as we continue to receive information regarding the acquired assets. We have recorded provisional amounts for certain assets and liabilities for which we have not yet received all information necessary to finalize our assessment.</w:t>
      </w:r>
    </w:p>
    <w:p>
      <w:pPr>
        <w:pStyle w:val="TextBody"/>
        <w:spacing w:lineRule="auto" w:line="288" w:before="0" w:after="0"/>
        <w:jc w:val="left"/>
        <w:rPr>
          <w:rFonts w:ascii="inherit" w:hAnsi="inherit"/>
          <w:b/>
          <w:sz w:val="17"/>
        </w:rPr>
      </w:pPr>
      <w:r>
        <w:rPr>
          <w:rFonts w:ascii="inherit" w:hAnsi="inherit"/>
          <w:b/>
          <w:sz w:val="17"/>
        </w:rPr>
        <w:t>Cash Genie</w:t>
      </w:r>
    </w:p>
    <w:p>
      <w:pPr>
        <w:pStyle w:val="TextBody"/>
        <w:spacing w:lineRule="auto" w:line="288" w:before="0" w:after="0"/>
        <w:jc w:val="left"/>
        <w:rPr>
          <w:sz w:val="17"/>
        </w:rPr>
      </w:pPr>
      <w:r>
        <w:rPr>
          <w:rFonts w:ascii="inherit" w:hAnsi="inherit"/>
          <w:sz w:val="17"/>
        </w:rPr>
        <w:t xml:space="preserve">On April 14, 2012, we acquired a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interest in Ariste Holding Limited and its affiliates, which provides online loans in the U.K under the name "Cash Genie." As this acquisition was individually immaterial, we present its related information, other than information related to the redeemable noncontrolling interest, on a combined basis. </w:t>
      </w:r>
    </w:p>
    <w:p>
      <w:pPr>
        <w:pStyle w:val="TextBody"/>
        <w:spacing w:lineRule="auto" w:line="288" w:before="0" w:after="0"/>
        <w:jc w:val="left"/>
        <w:rPr>
          <w:sz w:val="17"/>
        </w:rPr>
      </w:pPr>
      <w:r>
        <w:rPr>
          <w:rFonts w:ascii="inherit" w:hAnsi="inherit"/>
          <w:sz w:val="17"/>
        </w:rPr>
        <w:t xml:space="preserve">Pursuant to the acquisition agreement, the sellers have a put option with respect to their remaining shares of Cash Genie. Each of the sellers has the right to sell his Cash Genie shares to us for cash, during the exercise period commencing on April 14, 2014 and ending on April 14, 2016, with no more than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of the seller's shares being sold within a consecutive </w:t>
      </w:r>
      <w:r>
        <w:rPr>
          <w:rFonts w:ascii="inherit" w:hAnsi="inherit"/>
          <w:strike w:val="false"/>
          <w:dstrike w:val="false"/>
          <w:color w:val="000000"/>
          <w:sz w:val="17"/>
          <w:u w:val="none"/>
          <w:effect w:val="none"/>
        </w:rPr>
        <w:t>12</w:t>
      </w:r>
      <w:r>
        <w:rPr>
          <w:rFonts w:ascii="inherit" w:hAnsi="inherit"/>
          <w:sz w:val="17"/>
        </w:rPr>
        <w:t>-month period. In addition, each of the sellers has the right to sell his Cash Genie shares to us in exchange for shares of Class A non-voting common stock at any time after April 14, 2012. Under the guidance in ASC 480-10-S99, securities that are redeemable for cash or other assets are to be classified outside of permanent equity; therefore, we have included the redeemable noncontrolling interest related to Cash Genie in temporary equity.</w:t>
      </w:r>
    </w:p>
    <w:p>
      <w:pPr>
        <w:pStyle w:val="TextBody"/>
        <w:spacing w:lineRule="auto" w:line="288" w:before="0" w:after="0"/>
        <w:jc w:val="left"/>
        <w:rPr>
          <w:sz w:val="17"/>
        </w:rPr>
      </w:pPr>
      <w:r>
        <w:rPr>
          <w:rFonts w:ascii="inherit" w:hAnsi="inherit"/>
          <w:sz w:val="17"/>
        </w:rPr>
        <w:t xml:space="preserve">Effective November 13, 2012, we increased out ownership in Cash Genie to </w:t>
      </w:r>
      <w:r>
        <w:rPr>
          <w:rFonts w:ascii="inherit" w:hAnsi="inherit"/>
          <w:strike w:val="false"/>
          <w:dstrike w:val="false"/>
          <w:color w:val="000000"/>
          <w:sz w:val="17"/>
          <w:u w:val="none"/>
          <w:effect w:val="none"/>
        </w:rPr>
        <w:t>95%</w:t>
      </w:r>
      <w:r>
        <w:rPr>
          <w:rFonts w:ascii="inherit" w:hAnsi="inherit"/>
          <w:sz w:val="17"/>
        </w:rPr>
        <w:t>. See Note 25, “Subsequent Events.”</w:t>
      </w:r>
    </w:p>
    <w:p>
      <w:pPr>
        <w:pStyle w:val="TextBody"/>
        <w:spacing w:lineRule="auto" w:line="288" w:before="0" w:after="0"/>
        <w:jc w:val="left"/>
        <w:rPr>
          <w:sz w:val="17"/>
        </w:rPr>
      </w:pPr>
      <w:r>
        <w:rPr>
          <w:rFonts w:ascii="inherit" w:hAnsi="inherit"/>
          <w:sz w:val="17"/>
        </w:rPr>
        <w:t xml:space="preserve">The fair value of the Cash Genie redeemable noncontrolling interest was estimated by applying an income and market approach. This fair value measurement is based on significant inputs that are not observable in the market and thus represents a Level 3 measurement. Key assumptions include discount rates ranging from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18%</w:t>
      </w:r>
      <w:r>
        <w:rPr>
          <w:rFonts w:ascii="inherit" w:hAnsi="inherit"/>
          <w:sz w:val="17"/>
        </w:rPr>
        <w:t xml:space="preserve">, representing discounts for lack of control and lack of marketability that market participants would consider when estimating the fair value of the noncontrolling interest. The fair market value of Cash Genie was determined using a multiple of future earnings.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54</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Other</w:t>
      </w:r>
    </w:p>
    <w:p>
      <w:pPr>
        <w:pStyle w:val="TextBody"/>
        <w:spacing w:lineRule="auto" w:line="288" w:before="0" w:after="0"/>
        <w:jc w:val="left"/>
        <w:rPr>
          <w:sz w:val="17"/>
        </w:rPr>
      </w:pPr>
      <w:r>
        <w:rPr>
          <w:rFonts w:ascii="inherit" w:hAnsi="inherit"/>
          <w:sz w:val="17"/>
        </w:rPr>
        <w:t xml:space="preserve">The </w:t>
      </w:r>
      <w:r>
        <w:rPr>
          <w:rFonts w:ascii="Times New Roman" w:hAnsi="Times New Roman"/>
          <w:strike w:val="false"/>
          <w:dstrike w:val="false"/>
          <w:color w:val="000000"/>
          <w:sz w:val="17"/>
          <w:u w:val="none"/>
          <w:effect w:val="none"/>
        </w:rPr>
        <w:t>year ended</w:t>
      </w:r>
      <w:r>
        <w:rPr>
          <w:sz w:val="17"/>
        </w:rPr>
        <w:t xml:space="preserve"> </w:t>
      </w:r>
      <w:r>
        <w:rPr>
          <w:rFonts w:ascii="Times New Roman" w:hAnsi="Times New Roman"/>
          <w:strike w:val="false"/>
          <w:dstrike w:val="false"/>
          <w:color w:val="000000"/>
          <w:sz w:val="17"/>
          <w:u w:val="none"/>
          <w:effect w:val="none"/>
        </w:rPr>
        <w:t>September 30, 2012</w:t>
      </w:r>
      <w:r>
        <w:rPr>
          <w:rFonts w:ascii="inherit" w:hAnsi="inherit"/>
          <w:sz w:val="17"/>
        </w:rPr>
        <w:t xml:space="preserve">, includes the acquisition of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locations in the U.S. and </w:t>
      </w:r>
      <w:r>
        <w:rPr>
          <w:rFonts w:ascii="inherit" w:hAnsi="inherit"/>
          <w:strike w:val="false"/>
          <w:dstrike w:val="false"/>
          <w:color w:val="000000"/>
          <w:sz w:val="17"/>
          <w:u w:val="none"/>
          <w:effect w:val="none"/>
        </w:rPr>
        <w:t>one</w:t>
      </w:r>
      <w:r>
        <w:rPr>
          <w:sz w:val="17"/>
        </w:rPr>
        <w:t xml:space="preserve"> </w:t>
      </w:r>
      <w:r>
        <w:rPr>
          <w:rFonts w:ascii="inherit" w:hAnsi="inherit"/>
          <w:sz w:val="17"/>
        </w:rPr>
        <w:t>in Canada. As these acquisitions were individually immaterial, we present their related information on a combined basis.</w:t>
      </w:r>
    </w:p>
    <w:p>
      <w:pPr>
        <w:pStyle w:val="TextBody"/>
        <w:spacing w:lineRule="auto" w:line="288" w:before="0" w:after="0"/>
        <w:jc w:val="left"/>
        <w:rPr>
          <w:sz w:val="17"/>
        </w:rPr>
      </w:pPr>
      <w:r>
        <w:rPr>
          <w:rFonts w:ascii="inherit" w:hAnsi="inherit"/>
          <w:sz w:val="17"/>
        </w:rPr>
        <w:t xml:space="preserve">The following tables provide information related to domestic and foreign acquisitions for the </w:t>
      </w:r>
      <w:r>
        <w:rPr>
          <w:rFonts w:ascii="Times New Roman" w:hAnsi="Times New Roman"/>
          <w:strike w:val="false"/>
          <w:dstrike w:val="false"/>
          <w:color w:val="000000"/>
          <w:sz w:val="17"/>
          <w:u w:val="none"/>
          <w:effect w:val="none"/>
        </w:rPr>
        <w:t>years ended</w:t>
      </w:r>
      <w:r>
        <w:rPr>
          <w:sz w:val="17"/>
        </w:rPr>
        <w:t xml:space="preserve"> </w:t>
      </w:r>
      <w:r>
        <w:rPr>
          <w:rFonts w:ascii="Times New Roman" w:hAnsi="Times New Roman"/>
          <w:strike w:val="false"/>
          <w:dstrike w:val="false"/>
          <w:color w:val="000000"/>
          <w:sz w:val="17"/>
          <w:u w:val="none"/>
          <w:effect w:val="none"/>
        </w:rPr>
        <w:t>September 30, 2012</w:t>
      </w:r>
      <w:r>
        <w:rPr>
          <w:rFonts w:ascii="inherit" w:hAnsi="inherit"/>
          <w:sz w:val="17"/>
        </w:rPr>
        <w:t xml:space="preserve">, </w:t>
      </w:r>
      <w:r>
        <w:rPr>
          <w:rFonts w:ascii="Times New Roman" w:hAnsi="Times New Roman"/>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rFonts w:ascii="inherit" w:hAnsi="inherit"/>
          <w:sz w:val="17"/>
        </w:rPr>
        <w:t>:</w:t>
      </w:r>
    </w:p>
    <w:tbl>
      <w:tblPr>
        <w:tblW w:w="10205" w:type="dxa"/>
        <w:jc w:val="center"/>
        <w:tblInd w:w="0" w:type="dxa"/>
        <w:tblCellMar>
          <w:top w:w="0" w:type="dxa"/>
          <w:left w:w="0" w:type="dxa"/>
          <w:bottom w:w="0" w:type="dxa"/>
          <w:right w:w="0" w:type="dxa"/>
        </w:tblCellMar>
      </w:tblPr>
      <w:tblGrid>
        <w:gridCol w:w="4233"/>
        <w:gridCol w:w="1379"/>
        <w:gridCol w:w="127"/>
        <w:gridCol w:w="126"/>
        <w:gridCol w:w="1394"/>
        <w:gridCol w:w="135"/>
        <w:gridCol w:w="126"/>
        <w:gridCol w:w="1176"/>
        <w:gridCol w:w="97"/>
        <w:gridCol w:w="126"/>
        <w:gridCol w:w="1176"/>
        <w:gridCol w:w="110"/>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233"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33" w:type="dxa"/>
            <w:tcBorders/>
            <w:shd w:fill="auto" w:val="clear"/>
            <w:vAlign w:val="center"/>
          </w:tcPr>
          <w:p>
            <w:pPr>
              <w:pStyle w:val="TableContents"/>
              <w:spacing w:before="0" w:after="0"/>
              <w:ind w:left="0" w:right="0" w:firstLine="30"/>
              <w:jc w:val="left"/>
              <w:rPr/>
            </w:pPr>
            <w:r>
              <w:rPr/>
              <w:t> </w:t>
            </w:r>
          </w:p>
        </w:tc>
        <w:tc>
          <w:tcPr>
            <w:tcW w:w="597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4233" w:type="dxa"/>
            <w:tcBorders/>
            <w:shd w:fill="auto" w:val="clear"/>
            <w:vAlign w:val="center"/>
          </w:tcPr>
          <w:p>
            <w:pPr>
              <w:pStyle w:val="TableContents"/>
              <w:spacing w:before="0" w:after="0"/>
              <w:ind w:left="0" w:right="0" w:firstLine="30"/>
              <w:jc w:val="left"/>
              <w:rPr/>
            </w:pPr>
            <w:r>
              <w:rPr/>
              <w:t> </w:t>
            </w:r>
          </w:p>
        </w:tc>
        <w:tc>
          <w:tcPr>
            <w:tcW w:w="3161"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6" w:type="dxa"/>
            <w:tcBorders/>
            <w:shd w:fill="auto" w:val="clear"/>
            <w:vAlign w:val="center"/>
          </w:tcPr>
          <w:p>
            <w:pPr>
              <w:pStyle w:val="TableContents"/>
              <w:spacing w:before="0" w:after="0"/>
              <w:ind w:left="0" w:right="0" w:firstLine="30"/>
              <w:rPr/>
            </w:pPr>
            <w:r>
              <w:rPr/>
              <w:t> </w:t>
            </w:r>
          </w:p>
        </w:tc>
        <w:tc>
          <w:tcPr>
            <w:tcW w:w="1273" w:type="dxa"/>
            <w:gridSpan w:val="2"/>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26" w:type="dxa"/>
            <w:tcBorders/>
            <w:shd w:fill="auto" w:val="clear"/>
            <w:vAlign w:val="center"/>
          </w:tcPr>
          <w:p>
            <w:pPr>
              <w:pStyle w:val="TableContents"/>
              <w:spacing w:before="0" w:after="0"/>
              <w:ind w:left="0" w:right="0" w:firstLine="30"/>
              <w:rPr/>
            </w:pPr>
            <w:r>
              <w:rPr/>
              <w:t> </w:t>
            </w:r>
          </w:p>
        </w:tc>
        <w:tc>
          <w:tcPr>
            <w:tcW w:w="1286" w:type="dxa"/>
            <w:gridSpan w:val="2"/>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4233" w:type="dxa"/>
            <w:tcBorders/>
            <w:shd w:fill="auto" w:val="clear"/>
            <w:vAlign w:val="center"/>
          </w:tcPr>
          <w:p>
            <w:pPr>
              <w:pStyle w:val="TableContents"/>
              <w:spacing w:before="0" w:after="0"/>
              <w:ind w:left="0" w:right="0" w:firstLine="30"/>
              <w:jc w:val="left"/>
              <w:rPr/>
            </w:pPr>
            <w:r>
              <w:rPr/>
              <w:t> </w:t>
            </w:r>
          </w:p>
        </w:tc>
        <w:tc>
          <w:tcPr>
            <w:tcW w:w="150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Crediamigo</w:t>
            </w:r>
          </w:p>
        </w:tc>
        <w:tc>
          <w:tcPr>
            <w:tcW w:w="126" w:type="dxa"/>
            <w:tcBorders/>
            <w:shd w:fill="auto" w:val="clear"/>
            <w:vAlign w:val="center"/>
          </w:tcPr>
          <w:p>
            <w:pPr>
              <w:pStyle w:val="TableContents"/>
              <w:spacing w:before="0" w:after="0"/>
              <w:ind w:left="0" w:right="0" w:firstLine="30"/>
              <w:rPr/>
            </w:pPr>
            <w:r>
              <w:rPr/>
              <w:t> </w:t>
            </w:r>
          </w:p>
        </w:tc>
        <w:tc>
          <w:tcPr>
            <w:tcW w:w="152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c>
          <w:tcPr>
            <w:tcW w:w="126" w:type="dxa"/>
            <w:tcBorders/>
            <w:shd w:fill="auto" w:val="clear"/>
            <w:vAlign w:val="center"/>
          </w:tcPr>
          <w:p>
            <w:pPr>
              <w:pStyle w:val="TableContents"/>
              <w:spacing w:before="0" w:after="0"/>
              <w:ind w:left="0" w:right="0" w:firstLine="30"/>
              <w:rPr/>
            </w:pPr>
            <w:r>
              <w:rPr/>
              <w:t> </w:t>
            </w:r>
          </w:p>
        </w:tc>
        <w:tc>
          <w:tcPr>
            <w:tcW w:w="1273" w:type="dxa"/>
            <w:gridSpan w:val="2"/>
            <w:vMerge w:val="continue"/>
            <w:tcBorders>
              <w:bottom w:val="single" w:sz="2" w:space="0" w:color="000000"/>
            </w:tcBorders>
            <w:shd w:fill="auto" w:val="clear"/>
            <w:tcMar>
              <w:bottom w:w="30" w:type="dxa"/>
            </w:tcMar>
            <w:vAlign w:val="center"/>
          </w:tcPr>
          <w:p>
            <w:pPr>
              <w:pStyle w:val="Normal"/>
              <w:rPr/>
            </w:pPr>
            <w:r>
              <w:rPr/>
            </w:r>
          </w:p>
        </w:tc>
        <w:tc>
          <w:tcPr>
            <w:tcW w:w="126" w:type="dxa"/>
            <w:tcBorders/>
            <w:shd w:fill="auto" w:val="clear"/>
            <w:vAlign w:val="center"/>
          </w:tcPr>
          <w:p>
            <w:pPr>
              <w:pStyle w:val="TableContents"/>
              <w:spacing w:before="0" w:after="0"/>
              <w:ind w:left="0" w:right="0" w:firstLine="30"/>
              <w:rPr/>
            </w:pPr>
            <w:r>
              <w:rPr/>
              <w:t> </w:t>
            </w:r>
          </w:p>
        </w:tc>
        <w:tc>
          <w:tcPr>
            <w:tcW w:w="1286"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2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Number of asset purchase acquisitions</w:t>
            </w:r>
          </w:p>
        </w:tc>
        <w:tc>
          <w:tcPr>
            <w:tcW w:w="1379"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2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9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w:t>
            </w:r>
          </w:p>
        </w:tc>
        <w:tc>
          <w:tcPr>
            <w:tcW w:w="1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76"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76" w:type="dxa"/>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Number of stock purchase acquisitions</w:t>
            </w:r>
          </w:p>
        </w:tc>
        <w:tc>
          <w:tcPr>
            <w:tcW w:w="1379"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94"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76" w:type="dxa"/>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76"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3" w:type="dxa"/>
            <w:tcBorders/>
            <w:shd w:fill="CCEEFF" w:val="clear"/>
            <w:vAlign w:val="center"/>
          </w:tcPr>
          <w:p>
            <w:pPr>
              <w:pStyle w:val="TableContents"/>
              <w:spacing w:before="0" w:after="0"/>
              <w:ind w:left="0" w:right="0" w:firstLine="30"/>
              <w:rPr/>
            </w:pPr>
            <w:r>
              <w:rPr/>
              <w:t> </w:t>
            </w:r>
          </w:p>
        </w:tc>
        <w:tc>
          <w:tcPr>
            <w:tcW w:w="1506" w:type="dxa"/>
            <w:gridSpan w:val="2"/>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29" w:type="dxa"/>
            <w:gridSpan w:val="2"/>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ind w:left="0" w:right="0" w:firstLine="30"/>
              <w:rPr/>
            </w:pPr>
            <w:r>
              <w:rPr/>
              <w:t> </w:t>
            </w:r>
          </w:p>
        </w:tc>
      </w:tr>
      <w:tr>
        <w:trPr/>
        <w:tc>
          <w:tcPr>
            <w:tcW w:w="42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stores acquired</w:t>
            </w:r>
          </w:p>
        </w:tc>
        <w:tc>
          <w:tcPr>
            <w:tcW w:w="1379" w:type="dxa"/>
            <w:tcBorders/>
            <w:shd w:fill="auto" w:val="clear"/>
            <w:vAlign w:val="center"/>
          </w:tcPr>
          <w:p>
            <w:pPr>
              <w:pStyle w:val="TableContents"/>
              <w:spacing w:before="0" w:after="0"/>
              <w:jc w:val="right"/>
              <w:rPr/>
            </w:pPr>
            <w:r>
              <w:rPr/>
              <w:t>—</w:t>
            </w:r>
          </w:p>
        </w:tc>
        <w:tc>
          <w:tcPr>
            <w:tcW w:w="1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94" w:type="dxa"/>
            <w:tcBorders/>
            <w:shd w:fill="auto" w:val="clear"/>
            <w:vAlign w:val="center"/>
          </w:tcPr>
          <w:p>
            <w:pPr>
              <w:pStyle w:val="TableContents"/>
              <w:spacing w:before="0" w:after="0"/>
              <w:jc w:val="right"/>
              <w:rPr>
                <w:rFonts w:ascii="inherit" w:hAnsi="inherit"/>
                <w:sz w:val="17"/>
              </w:rPr>
            </w:pPr>
            <w:r>
              <w:rPr>
                <w:rFonts w:ascii="inherit" w:hAnsi="inherit"/>
                <w:sz w:val="17"/>
              </w:rPr>
              <w:t>50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76" w:type="dxa"/>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76" w:type="dxa"/>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stores acquired</w:t>
            </w:r>
          </w:p>
        </w:tc>
        <w:tc>
          <w:tcPr>
            <w:tcW w:w="137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12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9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7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76"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stores acquired</w:t>
            </w:r>
          </w:p>
        </w:tc>
        <w:tc>
          <w:tcPr>
            <w:tcW w:w="137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12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w:t>
            </w:r>
          </w:p>
        </w:tc>
        <w:tc>
          <w:tcPr>
            <w:tcW w:w="13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w:t>
            </w:r>
          </w:p>
        </w:tc>
        <w:tc>
          <w:tcPr>
            <w:tcW w:w="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center"/>
        <w:tblInd w:w="0" w:type="dxa"/>
        <w:tblCellMar>
          <w:top w:w="0" w:type="dxa"/>
          <w:left w:w="0" w:type="dxa"/>
          <w:bottom w:w="0" w:type="dxa"/>
          <w:right w:w="0" w:type="dxa"/>
        </w:tblCellMar>
      </w:tblPr>
      <w:tblGrid>
        <w:gridCol w:w="3697"/>
        <w:gridCol w:w="168"/>
        <w:gridCol w:w="1176"/>
        <w:gridCol w:w="157"/>
        <w:gridCol w:w="133"/>
        <w:gridCol w:w="161"/>
        <w:gridCol w:w="1226"/>
        <w:gridCol w:w="150"/>
        <w:gridCol w:w="133"/>
        <w:gridCol w:w="161"/>
        <w:gridCol w:w="1138"/>
        <w:gridCol w:w="149"/>
        <w:gridCol w:w="133"/>
        <w:gridCol w:w="161"/>
        <w:gridCol w:w="1138"/>
        <w:gridCol w:w="32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69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97" w:type="dxa"/>
            <w:tcBorders/>
            <w:shd w:fill="auto" w:val="clear"/>
            <w:vAlign w:val="center"/>
          </w:tcPr>
          <w:p>
            <w:pPr>
              <w:pStyle w:val="TableContents"/>
              <w:spacing w:before="0" w:after="0"/>
              <w:ind w:left="0" w:right="0" w:firstLine="30"/>
              <w:rPr/>
            </w:pPr>
            <w:r>
              <w:rPr/>
              <w:t> </w:t>
            </w:r>
          </w:p>
        </w:tc>
        <w:tc>
          <w:tcPr>
            <w:tcW w:w="650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3697" w:type="dxa"/>
            <w:tcBorders/>
            <w:shd w:fill="auto" w:val="clear"/>
            <w:vAlign w:val="center"/>
          </w:tcPr>
          <w:p>
            <w:pPr>
              <w:pStyle w:val="TableContents"/>
              <w:spacing w:before="0" w:after="0"/>
              <w:ind w:left="0" w:right="0" w:firstLine="30"/>
              <w:rPr/>
            </w:pPr>
            <w:r>
              <w:rPr/>
              <w:t> </w:t>
            </w:r>
          </w:p>
        </w:tc>
        <w:tc>
          <w:tcPr>
            <w:tcW w:w="31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3" w:type="dxa"/>
            <w:tcBorders/>
            <w:shd w:fill="auto" w:val="clear"/>
            <w:vAlign w:val="center"/>
          </w:tcPr>
          <w:p>
            <w:pPr>
              <w:pStyle w:val="TableContents"/>
              <w:spacing w:before="0" w:after="0"/>
              <w:ind w:left="0" w:right="0" w:firstLine="30"/>
              <w:rPr/>
            </w:pPr>
            <w:r>
              <w:rPr/>
              <w:t> </w:t>
            </w:r>
          </w:p>
        </w:tc>
        <w:tc>
          <w:tcPr>
            <w:tcW w:w="1448" w:type="dxa"/>
            <w:gridSpan w:val="3"/>
            <w:vMerge w:val="restart"/>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3" w:type="dxa"/>
            <w:tcBorders/>
            <w:shd w:fill="auto" w:val="clear"/>
            <w:vAlign w:val="center"/>
          </w:tcPr>
          <w:p>
            <w:pPr>
              <w:pStyle w:val="TableContents"/>
              <w:spacing w:before="0" w:after="0"/>
              <w:ind w:left="0" w:right="0" w:firstLine="30"/>
              <w:rPr/>
            </w:pPr>
            <w:r>
              <w:rPr/>
              <w:t> </w:t>
            </w:r>
          </w:p>
        </w:tc>
        <w:tc>
          <w:tcPr>
            <w:tcW w:w="1623" w:type="dxa"/>
            <w:gridSpan w:val="3"/>
            <w:vMerge w:val="restart"/>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3697" w:type="dxa"/>
            <w:tcBorders/>
            <w:shd w:fill="auto" w:val="clear"/>
            <w:vAlign w:val="center"/>
          </w:tcPr>
          <w:p>
            <w:pPr>
              <w:pStyle w:val="TableContents"/>
              <w:spacing w:before="0" w:after="0"/>
              <w:ind w:left="0" w:right="0" w:firstLine="30"/>
              <w:rPr/>
            </w:pPr>
            <w:r>
              <w:rPr/>
              <w:t> </w:t>
            </w:r>
          </w:p>
        </w:tc>
        <w:tc>
          <w:tcPr>
            <w:tcW w:w="150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Crediamigo</w:t>
            </w:r>
          </w:p>
        </w:tc>
        <w:tc>
          <w:tcPr>
            <w:tcW w:w="133" w:type="dxa"/>
            <w:tcBorders/>
            <w:shd w:fill="auto" w:val="clear"/>
            <w:vAlign w:val="center"/>
          </w:tcPr>
          <w:p>
            <w:pPr>
              <w:pStyle w:val="TableContents"/>
              <w:spacing w:before="0" w:after="0"/>
              <w:ind w:left="0" w:right="0" w:firstLine="30"/>
              <w:rPr/>
            </w:pPr>
            <w:r>
              <w:rPr/>
              <w:t> </w:t>
            </w:r>
          </w:p>
        </w:tc>
        <w:tc>
          <w:tcPr>
            <w:tcW w:w="15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c>
          <w:tcPr>
            <w:tcW w:w="133" w:type="dxa"/>
            <w:tcBorders/>
            <w:shd w:fill="auto" w:val="clear"/>
            <w:vAlign w:val="center"/>
          </w:tcPr>
          <w:p>
            <w:pPr>
              <w:pStyle w:val="TableContents"/>
              <w:spacing w:before="0" w:after="0"/>
              <w:ind w:left="0" w:right="0" w:firstLine="30"/>
              <w:rPr/>
            </w:pPr>
            <w:r>
              <w:rPr/>
              <w:t> </w:t>
            </w:r>
          </w:p>
        </w:tc>
        <w:tc>
          <w:tcPr>
            <w:tcW w:w="1448" w:type="dxa"/>
            <w:gridSpan w:val="3"/>
            <w:vMerge w:val="continue"/>
            <w:tcBorders/>
            <w:shd w:fill="auto" w:val="clear"/>
            <w:vAlign w:val="center"/>
          </w:tcPr>
          <w:p>
            <w:pPr>
              <w:pStyle w:val="Normal"/>
              <w:rPr/>
            </w:pPr>
            <w:r>
              <w:rPr/>
            </w:r>
          </w:p>
        </w:tc>
        <w:tc>
          <w:tcPr>
            <w:tcW w:w="133" w:type="dxa"/>
            <w:tcBorders/>
            <w:shd w:fill="auto" w:val="clear"/>
            <w:vAlign w:val="center"/>
          </w:tcPr>
          <w:p>
            <w:pPr>
              <w:pStyle w:val="TableContents"/>
              <w:spacing w:before="0" w:after="0"/>
              <w:ind w:left="0" w:right="0" w:firstLine="30"/>
              <w:rPr/>
            </w:pPr>
            <w:r>
              <w:rPr/>
              <w:t> </w:t>
            </w:r>
          </w:p>
        </w:tc>
        <w:tc>
          <w:tcPr>
            <w:tcW w:w="1623" w:type="dxa"/>
            <w:gridSpan w:val="3"/>
            <w:vMerge w:val="continue"/>
            <w:tcBorders/>
            <w:shd w:fill="auto" w:val="clear"/>
            <w:vAlign w:val="center"/>
          </w:tcPr>
          <w:p>
            <w:pPr>
              <w:pStyle w:val="Normal"/>
              <w:rPr/>
            </w:pPr>
            <w:r>
              <w:rPr/>
            </w:r>
          </w:p>
        </w:tc>
      </w:tr>
      <w:tr>
        <w:trPr/>
        <w:tc>
          <w:tcPr>
            <w:tcW w:w="3697" w:type="dxa"/>
            <w:tcBorders/>
            <w:shd w:fill="auto" w:val="clear"/>
            <w:vAlign w:val="center"/>
          </w:tcPr>
          <w:p>
            <w:pPr>
              <w:pStyle w:val="TableContents"/>
              <w:spacing w:before="0" w:after="0"/>
              <w:ind w:left="0" w:right="0" w:firstLine="30"/>
              <w:rPr/>
            </w:pPr>
            <w:r>
              <w:rPr/>
              <w:t> </w:t>
            </w:r>
          </w:p>
        </w:tc>
        <w:tc>
          <w:tcPr>
            <w:tcW w:w="6508" w:type="dxa"/>
            <w:gridSpan w:val="15"/>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Consideration:</w:t>
            </w:r>
          </w:p>
        </w:tc>
        <w:tc>
          <w:tcPr>
            <w:tcW w:w="150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37"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48"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23" w:type="dxa"/>
            <w:gridSpan w:val="3"/>
            <w:tcBorders/>
            <w:shd w:fill="CCEEFF" w:val="clear"/>
            <w:vAlign w:val="center"/>
          </w:tcPr>
          <w:p>
            <w:pPr>
              <w:pStyle w:val="TableContents"/>
              <w:spacing w:before="0" w:after="0"/>
              <w:ind w:left="0" w:right="0" w:firstLine="300"/>
              <w:rPr/>
            </w:pPr>
            <w:r>
              <w:rPr/>
              <w:t> </w:t>
            </w:r>
          </w:p>
        </w:tc>
      </w:tr>
      <w:tr>
        <w:trPr/>
        <w:tc>
          <w:tcPr>
            <w:tcW w:w="3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shd w:fill="auto" w:val="clear"/>
            <w:vAlign w:val="center"/>
          </w:tcPr>
          <w:p>
            <w:pPr>
              <w:pStyle w:val="TableContents"/>
              <w:spacing w:before="0" w:after="0"/>
              <w:jc w:val="right"/>
              <w:rPr>
                <w:rFonts w:ascii="inherit" w:hAnsi="inherit"/>
                <w:sz w:val="17"/>
              </w:rPr>
            </w:pPr>
            <w:r>
              <w:rPr>
                <w:rFonts w:ascii="inherit" w:hAnsi="inherit"/>
                <w:sz w:val="17"/>
              </w:rPr>
              <w:t>45,001</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auto" w:val="clear"/>
            <w:vAlign w:val="center"/>
          </w:tcPr>
          <w:p>
            <w:pPr>
              <w:pStyle w:val="TableContents"/>
              <w:spacing w:before="0" w:after="0"/>
              <w:jc w:val="right"/>
              <w:rPr>
                <w:rFonts w:ascii="inherit" w:hAnsi="inherit"/>
                <w:sz w:val="17"/>
              </w:rPr>
            </w:pPr>
            <w:r>
              <w:rPr>
                <w:rFonts w:ascii="inherit" w:hAnsi="inherit"/>
                <w:sz w:val="17"/>
              </w:rPr>
              <w:t>95,415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8" w:type="dxa"/>
            <w:tcBorders/>
            <w:shd w:fill="auto" w:val="clear"/>
            <w:vAlign w:val="center"/>
          </w:tcPr>
          <w:p>
            <w:pPr>
              <w:pStyle w:val="TableContents"/>
              <w:spacing w:before="0" w:after="0"/>
              <w:jc w:val="right"/>
              <w:rPr>
                <w:rFonts w:ascii="inherit" w:hAnsi="inherit"/>
                <w:sz w:val="17"/>
              </w:rPr>
            </w:pPr>
            <w:r>
              <w:rPr>
                <w:rFonts w:ascii="inherit" w:hAnsi="inherit"/>
                <w:sz w:val="17"/>
              </w:rPr>
              <w:t>69,057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8" w:type="dxa"/>
            <w:tcBorders/>
            <w:shd w:fill="auto" w:val="clear"/>
            <w:vAlign w:val="center"/>
          </w:tcPr>
          <w:p>
            <w:pPr>
              <w:pStyle w:val="TableContents"/>
              <w:spacing w:before="0" w:after="0"/>
              <w:jc w:val="right"/>
              <w:rPr>
                <w:rFonts w:ascii="inherit" w:hAnsi="inherit"/>
                <w:sz w:val="17"/>
              </w:rPr>
            </w:pPr>
            <w:r>
              <w:rPr>
                <w:rFonts w:ascii="inherit" w:hAnsi="inherit"/>
                <w:sz w:val="17"/>
              </w:rPr>
              <w:t>21,864</w:t>
            </w:r>
          </w:p>
        </w:tc>
        <w:tc>
          <w:tcPr>
            <w:tcW w:w="32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instruments</w:t>
            </w:r>
          </w:p>
        </w:tc>
        <w:tc>
          <w:tcPr>
            <w:tcW w:w="1344" w:type="dxa"/>
            <w:gridSpan w:val="2"/>
            <w:tcBorders/>
            <w:shd w:fill="CCEEFF" w:val="clear"/>
            <w:vAlign w:val="center"/>
          </w:tcPr>
          <w:p>
            <w:pPr>
              <w:pStyle w:val="TableContents"/>
              <w:spacing w:before="0" w:after="0"/>
              <w:jc w:val="right"/>
              <w:rPr/>
            </w:pPr>
            <w:r>
              <w:rPr/>
              <w:t>—</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17,984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7,304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99" w:type="dxa"/>
            <w:gridSpan w:val="2"/>
            <w:tcBorders/>
            <w:shd w:fill="CCEEFF" w:val="clear"/>
            <w:vAlign w:val="center"/>
          </w:tcPr>
          <w:p>
            <w:pPr>
              <w:pStyle w:val="TableContents"/>
              <w:spacing w:before="0" w:after="0"/>
              <w:jc w:val="right"/>
              <w:rPr/>
            </w:pPr>
            <w:r>
              <w:rPr/>
              <w:t>—</w:t>
            </w:r>
          </w:p>
        </w:tc>
        <w:tc>
          <w:tcPr>
            <w:tcW w:w="32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consideration</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5,785</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9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99" w:type="dxa"/>
            <w:gridSpan w:val="2"/>
            <w:tcBorders/>
            <w:shd w:fill="auto" w:val="clear"/>
            <w:vAlign w:val="center"/>
          </w:tcPr>
          <w:p>
            <w:pPr>
              <w:pStyle w:val="TableContents"/>
              <w:spacing w:before="0" w:after="0"/>
              <w:jc w:val="right"/>
              <w:rPr/>
            </w:pPr>
            <w:r>
              <w:rPr/>
              <w:t>—</w:t>
            </w:r>
          </w:p>
        </w:tc>
        <w:tc>
          <w:tcPr>
            <w:tcW w:w="32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Contingent consideration</w:t>
            </w:r>
          </w:p>
        </w:tc>
        <w:tc>
          <w:tcPr>
            <w:tcW w:w="13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23,000</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2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Fair value of total consideration transferred</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73,786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113,399</w:t>
            </w:r>
          </w:p>
        </w:tc>
        <w:tc>
          <w:tcPr>
            <w:tcW w:w="15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9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76,361</w:t>
            </w:r>
          </w:p>
        </w:tc>
        <w:tc>
          <w:tcPr>
            <w:tcW w:w="14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9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21,864</w:t>
            </w:r>
          </w:p>
        </w:tc>
        <w:tc>
          <w:tcPr>
            <w:tcW w:w="32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acquired</w:t>
            </w:r>
          </w:p>
        </w:tc>
        <w:tc>
          <w:tcPr>
            <w:tcW w:w="13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(13,641</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(2,833</w:t>
            </w:r>
          </w:p>
        </w:tc>
        <w:tc>
          <w:tcPr>
            <w:tcW w:w="1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(1,138</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w:t>
            </w:r>
          </w:p>
        </w:tc>
        <w:tc>
          <w:tcPr>
            <w:tcW w:w="32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purchase price</w:t>
            </w:r>
          </w:p>
        </w:tc>
        <w:tc>
          <w:tcPr>
            <w:tcW w:w="16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60,145</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110,566</w:t>
            </w:r>
          </w:p>
        </w:tc>
        <w:tc>
          <w:tcPr>
            <w:tcW w:w="15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75,223</w:t>
            </w:r>
          </w:p>
        </w:tc>
        <w:tc>
          <w:tcPr>
            <w:tcW w:w="14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21,806</w:t>
            </w:r>
          </w:p>
        </w:tc>
        <w:tc>
          <w:tcPr>
            <w:tcW w:w="32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55</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546"/>
        <w:gridCol w:w="171"/>
        <w:gridCol w:w="1245"/>
        <w:gridCol w:w="83"/>
        <w:gridCol w:w="134"/>
        <w:gridCol w:w="177"/>
        <w:gridCol w:w="1279"/>
        <w:gridCol w:w="84"/>
        <w:gridCol w:w="134"/>
        <w:gridCol w:w="166"/>
        <w:gridCol w:w="1121"/>
        <w:gridCol w:w="80"/>
        <w:gridCol w:w="134"/>
        <w:gridCol w:w="166"/>
        <w:gridCol w:w="1121"/>
        <w:gridCol w:w="56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6" w:type="dxa"/>
            <w:tcBorders/>
            <w:shd w:fill="auto" w:val="clear"/>
            <w:vAlign w:val="center"/>
          </w:tcPr>
          <w:p>
            <w:pPr>
              <w:pStyle w:val="TableContents"/>
              <w:spacing w:before="0" w:after="0"/>
              <w:ind w:left="0" w:right="0" w:firstLine="30"/>
              <w:rPr/>
            </w:pPr>
            <w:r>
              <w:rPr/>
              <w:t> </w:t>
            </w:r>
          </w:p>
        </w:tc>
        <w:tc>
          <w:tcPr>
            <w:tcW w:w="6659"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3546" w:type="dxa"/>
            <w:tcBorders/>
            <w:shd w:fill="auto" w:val="clear"/>
            <w:vAlign w:val="center"/>
          </w:tcPr>
          <w:p>
            <w:pPr>
              <w:pStyle w:val="TableContents"/>
              <w:spacing w:before="0" w:after="0"/>
              <w:ind w:left="0" w:right="0" w:firstLine="30"/>
              <w:rPr/>
            </w:pPr>
            <w:r>
              <w:rPr/>
              <w:t> </w:t>
            </w:r>
          </w:p>
        </w:tc>
        <w:tc>
          <w:tcPr>
            <w:tcW w:w="317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4" w:type="dxa"/>
            <w:tcBorders/>
            <w:shd w:fill="auto" w:val="clear"/>
            <w:vAlign w:val="center"/>
          </w:tcPr>
          <w:p>
            <w:pPr>
              <w:pStyle w:val="TableContents"/>
              <w:spacing w:before="0" w:after="0"/>
              <w:ind w:left="0" w:right="0" w:firstLine="30"/>
              <w:rPr/>
            </w:pPr>
            <w:r>
              <w:rPr/>
              <w:t> </w:t>
            </w:r>
          </w:p>
        </w:tc>
        <w:tc>
          <w:tcPr>
            <w:tcW w:w="1367" w:type="dxa"/>
            <w:gridSpan w:val="3"/>
            <w:vMerge w:val="restart"/>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4" w:type="dxa"/>
            <w:tcBorders/>
            <w:shd w:fill="auto" w:val="clear"/>
            <w:vAlign w:val="center"/>
          </w:tcPr>
          <w:p>
            <w:pPr>
              <w:pStyle w:val="TableContents"/>
              <w:spacing w:before="0" w:after="0"/>
              <w:ind w:left="0" w:right="0" w:firstLine="30"/>
              <w:rPr/>
            </w:pPr>
            <w:r>
              <w:rPr/>
              <w:t> </w:t>
            </w:r>
          </w:p>
        </w:tc>
        <w:tc>
          <w:tcPr>
            <w:tcW w:w="1851" w:type="dxa"/>
            <w:gridSpan w:val="3"/>
            <w:vMerge w:val="restart"/>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3546"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r>
          </w:p>
        </w:tc>
        <w:tc>
          <w:tcPr>
            <w:tcW w:w="14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Crediamigo</w:t>
            </w:r>
          </w:p>
        </w:tc>
        <w:tc>
          <w:tcPr>
            <w:tcW w:w="134" w:type="dxa"/>
            <w:tcBorders/>
            <w:shd w:fill="auto" w:val="clear"/>
            <w:vAlign w:val="center"/>
          </w:tcPr>
          <w:p>
            <w:pPr>
              <w:pStyle w:val="TableContents"/>
              <w:spacing w:before="0" w:after="0"/>
              <w:ind w:left="0" w:right="0" w:firstLine="30"/>
              <w:rPr/>
            </w:pPr>
            <w:r>
              <w:rPr/>
              <w:t> </w:t>
            </w:r>
          </w:p>
        </w:tc>
        <w:tc>
          <w:tcPr>
            <w:tcW w:w="15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c>
          <w:tcPr>
            <w:tcW w:w="134" w:type="dxa"/>
            <w:tcBorders/>
            <w:shd w:fill="auto" w:val="clear"/>
            <w:vAlign w:val="center"/>
          </w:tcPr>
          <w:p>
            <w:pPr>
              <w:pStyle w:val="TableContents"/>
              <w:spacing w:before="0" w:after="0"/>
              <w:ind w:left="0" w:right="0" w:firstLine="30"/>
              <w:rPr/>
            </w:pPr>
            <w:r>
              <w:rPr/>
              <w:t> </w:t>
            </w:r>
          </w:p>
        </w:tc>
        <w:tc>
          <w:tcPr>
            <w:tcW w:w="1367" w:type="dxa"/>
            <w:gridSpan w:val="3"/>
            <w:vMerge w:val="continue"/>
            <w:tcBorders/>
            <w:shd w:fill="auto" w:val="clear"/>
            <w:vAlign w:val="center"/>
          </w:tcPr>
          <w:p>
            <w:pPr>
              <w:pStyle w:val="Normal"/>
              <w:rPr/>
            </w:pPr>
            <w:r>
              <w:rPr/>
            </w:r>
          </w:p>
        </w:tc>
        <w:tc>
          <w:tcPr>
            <w:tcW w:w="134" w:type="dxa"/>
            <w:tcBorders/>
            <w:shd w:fill="auto" w:val="clear"/>
            <w:vAlign w:val="center"/>
          </w:tcPr>
          <w:p>
            <w:pPr>
              <w:pStyle w:val="TableContents"/>
              <w:spacing w:before="0" w:after="0"/>
              <w:ind w:left="0" w:right="0" w:firstLine="30"/>
              <w:rPr/>
            </w:pPr>
            <w:r>
              <w:rPr/>
              <w:t> </w:t>
            </w:r>
          </w:p>
        </w:tc>
        <w:tc>
          <w:tcPr>
            <w:tcW w:w="1851" w:type="dxa"/>
            <w:gridSpan w:val="3"/>
            <w:vMerge w:val="continue"/>
            <w:tcBorders/>
            <w:shd w:fill="auto" w:val="clear"/>
            <w:vAlign w:val="center"/>
          </w:tcPr>
          <w:p>
            <w:pPr>
              <w:pStyle w:val="Normal"/>
              <w:rPr/>
            </w:pPr>
            <w:r>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6659" w:type="dxa"/>
            <w:gridSpan w:val="15"/>
            <w:tcBorders>
              <w:top w:val="single" w:sz="2" w:space="0" w:color="000000"/>
            </w:tcBorders>
            <w:shd w:fill="auto" w:val="clear"/>
            <w:tcMar>
              <w:top w:w="30" w:type="dxa"/>
            </w:tcMar>
            <w:vAlign w:val="center"/>
          </w:tcPr>
          <w:p>
            <w:pPr>
              <w:pStyle w:val="TableContents"/>
              <w:spacing w:before="0" w:after="0"/>
              <w:ind w:left="0" w:right="0" w:firstLine="300"/>
              <w:jc w:val="center"/>
              <w:rPr>
                <w:rFonts w:ascii="inherit" w:hAnsi="inherit"/>
                <w:i/>
                <w:sz w:val="13"/>
              </w:rPr>
            </w:pPr>
            <w:r>
              <w:rPr>
                <w:rFonts w:ascii="inherit" w:hAnsi="inherit"/>
                <w:i/>
                <w:sz w:val="13"/>
              </w:rPr>
              <w:t>(in thousands)</w:t>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shd w:fill="CCEEFF" w:val="clear"/>
            <w:vAlign w:val="center"/>
          </w:tcPr>
          <w:p>
            <w:pPr>
              <w:pStyle w:val="TableContents"/>
              <w:spacing w:before="0" w:after="0"/>
              <w:jc w:val="right"/>
              <w:rPr>
                <w:rFonts w:ascii="inherit" w:hAnsi="inherit"/>
                <w:sz w:val="17"/>
              </w:rPr>
            </w:pPr>
            <w:r>
              <w:rPr>
                <w:rFonts w:ascii="inherit" w:hAnsi="inherit"/>
                <w:sz w:val="17"/>
              </w:rPr>
              <w:t>6,781</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rFonts w:ascii="inherit" w:hAnsi="inherit"/>
                <w:sz w:val="17"/>
              </w:rPr>
            </w:pPr>
            <w:r>
              <w:rPr>
                <w:rFonts w:ascii="inherit" w:hAnsi="inherit"/>
                <w:sz w:val="17"/>
              </w:rPr>
              <w:t>8,572</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rFonts w:ascii="inherit" w:hAnsi="inherit"/>
                <w:sz w:val="17"/>
              </w:rPr>
            </w:pPr>
            <w:r>
              <w:rPr>
                <w:rFonts w:ascii="inherit" w:hAnsi="inherit"/>
                <w:sz w:val="17"/>
              </w:rPr>
              <w:t>2,700</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8,935</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3,641</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710</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pPr>
            <w:r>
              <w:rPr/>
              <w:t>—</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18,844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1,940</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1,270</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379</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416" w:type="dxa"/>
            <w:gridSpan w:val="2"/>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5,911</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4,838</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1,542</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416" w:type="dxa"/>
            <w:gridSpan w:val="2"/>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238</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461</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3,543</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204</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728</w:t>
            </w:r>
          </w:p>
        </w:tc>
        <w:tc>
          <w:tcPr>
            <w:tcW w:w="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564"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31,322</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18,715</w:t>
            </w:r>
          </w:p>
        </w:tc>
        <w:tc>
          <w:tcPr>
            <w:tcW w:w="8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16,579</w:t>
            </w:r>
          </w:p>
        </w:tc>
        <w:tc>
          <w:tcPr>
            <w:tcW w:w="8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4,910</w:t>
            </w:r>
          </w:p>
        </w:tc>
        <w:tc>
          <w:tcPr>
            <w:tcW w:w="5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2,326</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4,061</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1,051</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387</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99,486</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99,747</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56,703</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15,870</w:t>
            </w:r>
          </w:p>
        </w:tc>
        <w:tc>
          <w:tcPr>
            <w:tcW w:w="5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56,120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pPr>
            <w:r>
              <w:rPr/>
              <w:t>—</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16,400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3,980</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2,478</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1,027</w:t>
            </w:r>
          </w:p>
        </w:tc>
        <w:tc>
          <w:tcPr>
            <w:tcW w:w="5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7,497</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w:t>
            </w:r>
          </w:p>
        </w:tc>
        <w:tc>
          <w:tcPr>
            <w:tcW w:w="56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CCEEFF" w:val="clear"/>
            <w:vAlign w:val="center"/>
          </w:tcPr>
          <w:p>
            <w:pPr>
              <w:pStyle w:val="TableContents"/>
              <w:spacing w:before="0" w:after="0"/>
              <w:jc w:val="right"/>
              <w:rPr>
                <w:rFonts w:ascii="inherit" w:hAnsi="inherit"/>
                <w:sz w:val="17"/>
              </w:rPr>
            </w:pPr>
            <w:r>
              <w:rPr>
                <w:rFonts w:ascii="inherit" w:hAnsi="inherit"/>
                <w:sz w:val="17"/>
              </w:rPr>
              <w:t>213,151</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7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126,797</w:t>
            </w:r>
          </w:p>
        </w:tc>
        <w:tc>
          <w:tcPr>
            <w:tcW w:w="8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76,891</w:t>
            </w:r>
          </w:p>
        </w:tc>
        <w:tc>
          <w:tcPr>
            <w:tcW w:w="8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22,224</w:t>
            </w:r>
          </w:p>
        </w:tc>
        <w:tc>
          <w:tcPr>
            <w:tcW w:w="5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499"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40"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851" w:type="dxa"/>
            <w:gridSpan w:val="3"/>
            <w:tcBorders/>
            <w:shd w:fill="auto" w:val="clear"/>
            <w:vAlign w:val="center"/>
          </w:tcPr>
          <w:p>
            <w:pPr>
              <w:pStyle w:val="TableContents"/>
              <w:spacing w:before="0" w:after="0"/>
              <w:ind w:left="0" w:right="0" w:firstLine="300"/>
              <w:rPr/>
            </w:pPr>
            <w:r>
              <w:rPr/>
              <w:t> </w:t>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CCEEFF" w:val="clear"/>
            <w:vAlign w:val="center"/>
          </w:tcPr>
          <w:p>
            <w:pPr>
              <w:pStyle w:val="TableContents"/>
              <w:spacing w:before="0" w:after="0"/>
              <w:jc w:val="right"/>
              <w:rPr>
                <w:rFonts w:ascii="inherit" w:hAnsi="inherit"/>
                <w:sz w:val="17"/>
              </w:rPr>
            </w:pPr>
            <w:r>
              <w:rPr>
                <w:rFonts w:ascii="inherit" w:hAnsi="inherit"/>
                <w:sz w:val="17"/>
              </w:rPr>
              <w:t>6,853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shd w:fill="CCEEFF" w:val="clear"/>
            <w:vAlign w:val="center"/>
          </w:tcPr>
          <w:p>
            <w:pPr>
              <w:pStyle w:val="TableContents"/>
              <w:spacing w:before="0" w:after="0"/>
              <w:jc w:val="right"/>
              <w:rPr>
                <w:rFonts w:ascii="inherit" w:hAnsi="inherit"/>
                <w:sz w:val="17"/>
              </w:rPr>
            </w:pPr>
            <w:r>
              <w:rPr>
                <w:rFonts w:ascii="inherit" w:hAnsi="inherit"/>
                <w:sz w:val="17"/>
              </w:rPr>
              <w:t>5,496</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rFonts w:ascii="inherit" w:hAnsi="inherit"/>
                <w:sz w:val="17"/>
              </w:rPr>
            </w:pPr>
            <w:r>
              <w:rPr>
                <w:rFonts w:ascii="inherit" w:hAnsi="inherit"/>
                <w:sz w:val="17"/>
              </w:rPr>
              <w:t>1,176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rFonts w:ascii="inherit" w:hAnsi="inherit"/>
                <w:sz w:val="17"/>
              </w:rPr>
            </w:pPr>
            <w:r>
              <w:rPr>
                <w:rFonts w:ascii="inherit" w:hAnsi="inherit"/>
                <w:sz w:val="17"/>
              </w:rPr>
              <w:t>93</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416" w:type="dxa"/>
            <w:gridSpan w:val="2"/>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808</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22,810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shd w:fill="CCEEFF" w:val="clear"/>
            <w:vAlign w:val="center"/>
          </w:tcPr>
          <w:p>
            <w:pPr>
              <w:pStyle w:val="TableContents"/>
              <w:spacing w:before="0" w:after="0"/>
              <w:jc w:val="right"/>
              <w:rPr/>
            </w:pPr>
            <w:r>
              <w:rPr/>
              <w:t>—</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257</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64"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29,663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6,561</w:t>
            </w:r>
          </w:p>
        </w:tc>
        <w:tc>
          <w:tcPr>
            <w:tcW w:w="8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1,384</w:t>
            </w:r>
          </w:p>
        </w:tc>
        <w:tc>
          <w:tcPr>
            <w:tcW w:w="8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195</w:t>
            </w:r>
          </w:p>
        </w:tc>
        <w:tc>
          <w:tcPr>
            <w:tcW w:w="5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86,872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shd w:fill="auto" w:val="clear"/>
            <w:vAlign w:val="center"/>
          </w:tcPr>
          <w:p>
            <w:pPr>
              <w:pStyle w:val="TableContents"/>
              <w:spacing w:before="0" w:after="0"/>
              <w:jc w:val="right"/>
              <w:rPr/>
            </w:pPr>
            <w:r>
              <w:rPr/>
              <w:t>—</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4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284</w:t>
            </w:r>
          </w:p>
        </w:tc>
        <w:tc>
          <w:tcPr>
            <w:tcW w:w="8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223</w:t>
            </w:r>
          </w:p>
        </w:tc>
        <w:tc>
          <w:tcPr>
            <w:tcW w:w="56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116,706</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56"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6,674</w:t>
            </w:r>
          </w:p>
        </w:tc>
        <w:tc>
          <w:tcPr>
            <w:tcW w:w="8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1,668</w:t>
            </w:r>
          </w:p>
        </w:tc>
        <w:tc>
          <w:tcPr>
            <w:tcW w:w="8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8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418</w:t>
            </w:r>
          </w:p>
        </w:tc>
        <w:tc>
          <w:tcPr>
            <w:tcW w:w="56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4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36,300</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9,557</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8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6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assets acquired</w:t>
            </w:r>
          </w:p>
        </w:tc>
        <w:tc>
          <w:tcPr>
            <w:tcW w:w="1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60,145</w:t>
            </w:r>
          </w:p>
        </w:tc>
        <w:tc>
          <w:tcPr>
            <w:tcW w:w="8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110,566</w:t>
            </w:r>
          </w:p>
        </w:tc>
        <w:tc>
          <w:tcPr>
            <w:tcW w:w="8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75,223</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21,806</w:t>
            </w:r>
          </w:p>
        </w:tc>
        <w:tc>
          <w:tcPr>
            <w:tcW w:w="56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 deductible for tax purposes</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shd w:fill="CCEEFF" w:val="clear"/>
            <w:vAlign w:val="center"/>
          </w:tcPr>
          <w:p>
            <w:pPr>
              <w:pStyle w:val="TableContents"/>
              <w:spacing w:before="0" w:after="0"/>
              <w:jc w:val="right"/>
              <w:rPr>
                <w:rFonts w:ascii="inherit" w:hAnsi="inherit"/>
                <w:sz w:val="17"/>
              </w:rPr>
            </w:pPr>
            <w:r>
              <w:rPr>
                <w:rFonts w:ascii="inherit" w:hAnsi="inherit"/>
                <w:sz w:val="17"/>
              </w:rPr>
              <w:t>48,445</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rFonts w:ascii="inherit" w:hAnsi="inherit"/>
                <w:sz w:val="17"/>
              </w:rPr>
            </w:pPr>
            <w:r>
              <w:rPr>
                <w:rFonts w:ascii="inherit" w:hAnsi="inherit"/>
                <w:sz w:val="17"/>
              </w:rPr>
              <w:t>34,376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rFonts w:ascii="inherit" w:hAnsi="inherit"/>
                <w:sz w:val="17"/>
              </w:rPr>
            </w:pPr>
            <w:r>
              <w:rPr>
                <w:rFonts w:ascii="inherit" w:hAnsi="inherit"/>
                <w:sz w:val="17"/>
              </w:rPr>
              <w:t>15,870</w:t>
            </w:r>
          </w:p>
        </w:tc>
        <w:tc>
          <w:tcPr>
            <w:tcW w:w="5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Indefinite lived intangible assets acquired:</w:t>
            </w:r>
          </w:p>
        </w:tc>
        <w:tc>
          <w:tcPr>
            <w:tcW w:w="1499"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40"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851" w:type="dxa"/>
            <w:gridSpan w:val="3"/>
            <w:tcBorders/>
            <w:shd w:fill="auto" w:val="clear"/>
            <w:vAlign w:val="center"/>
          </w:tcPr>
          <w:p>
            <w:pPr>
              <w:pStyle w:val="TableContents"/>
              <w:spacing w:before="0" w:after="0"/>
              <w:ind w:left="0" w:right="0" w:firstLine="300"/>
              <w:rPr/>
            </w:pPr>
            <w:r>
              <w:rPr/>
              <w:t> </w:t>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name</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CCEEFF" w:val="clear"/>
            <w:vAlign w:val="center"/>
          </w:tcPr>
          <w:p>
            <w:pPr>
              <w:pStyle w:val="TableContents"/>
              <w:spacing w:before="0" w:after="0"/>
              <w:jc w:val="right"/>
              <w:rPr>
                <w:rFonts w:ascii="inherit" w:hAnsi="inherit"/>
                <w:sz w:val="17"/>
              </w:rPr>
            </w:pPr>
            <w:r>
              <w:rPr>
                <w:rFonts w:ascii="inherit" w:hAnsi="inherit"/>
                <w:sz w:val="17"/>
              </w:rPr>
              <w:t>2,200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shd w:fill="CCEEFF" w:val="clear"/>
            <w:vAlign w:val="center"/>
          </w:tcPr>
          <w:p>
            <w:pPr>
              <w:pStyle w:val="TableContents"/>
              <w:spacing w:before="0" w:after="0"/>
              <w:jc w:val="right"/>
              <w:rPr>
                <w:rFonts w:ascii="inherit" w:hAnsi="inherit"/>
                <w:sz w:val="17"/>
              </w:rPr>
            </w:pPr>
            <w:r>
              <w:rPr>
                <w:rFonts w:ascii="inherit" w:hAnsi="inherit"/>
                <w:sz w:val="17"/>
              </w:rPr>
              <w:t>2,706</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pPr>
            <w:r>
              <w:rPr/>
              <w:t>—</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licenses</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auto" w:val="clear"/>
            <w:vAlign w:val="center"/>
          </w:tcPr>
          <w:p>
            <w:pPr>
              <w:pStyle w:val="TableContents"/>
              <w:spacing w:before="0" w:after="0"/>
              <w:jc w:val="right"/>
              <w:rPr>
                <w:rFonts w:ascii="inherit" w:hAnsi="inherit"/>
                <w:sz w:val="17"/>
              </w:rPr>
            </w:pPr>
            <w:r>
              <w:rPr>
                <w:rFonts w:ascii="inherit" w:hAnsi="inherit"/>
                <w:sz w:val="17"/>
              </w:rPr>
              <w:t>607</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Definite lived intangible assets acquired:</w:t>
            </w:r>
          </w:p>
        </w:tc>
        <w:tc>
          <w:tcPr>
            <w:tcW w:w="1499"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40"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851" w:type="dxa"/>
            <w:gridSpan w:val="3"/>
            <w:tcBorders/>
            <w:shd w:fill="CCEEFF" w:val="clear"/>
            <w:vAlign w:val="center"/>
          </w:tcPr>
          <w:p>
            <w:pPr>
              <w:pStyle w:val="TableContents"/>
              <w:spacing w:before="0" w:after="0"/>
              <w:ind w:left="0" w:right="0" w:firstLine="300"/>
              <w:rPr/>
            </w:pPr>
            <w:r>
              <w:rPr/>
              <w:t> </w:t>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Favorable lease asset</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shd w:fill="auto" w:val="clear"/>
            <w:vAlign w:val="center"/>
          </w:tcPr>
          <w:p>
            <w:pPr>
              <w:pStyle w:val="TableContents"/>
              <w:spacing w:before="0" w:after="0"/>
              <w:jc w:val="right"/>
              <w:rPr>
                <w:rFonts w:ascii="inherit" w:hAnsi="inherit"/>
                <w:sz w:val="17"/>
              </w:rPr>
            </w:pPr>
            <w:r>
              <w:rPr>
                <w:rFonts w:ascii="inherit" w:hAnsi="inherit"/>
                <w:sz w:val="17"/>
              </w:rPr>
              <w:t>404</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auto" w:val="clear"/>
            <w:vAlign w:val="center"/>
          </w:tcPr>
          <w:p>
            <w:pPr>
              <w:pStyle w:val="TableContents"/>
              <w:spacing w:before="0" w:after="0"/>
              <w:jc w:val="right"/>
              <w:rPr>
                <w:rFonts w:ascii="inherit" w:hAnsi="inherit"/>
                <w:sz w:val="17"/>
              </w:rPr>
            </w:pPr>
            <w:r>
              <w:rPr>
                <w:rFonts w:ascii="inherit" w:hAnsi="inherit"/>
                <w:sz w:val="17"/>
              </w:rPr>
              <w:t>111</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auto" w:val="clear"/>
            <w:vAlign w:val="center"/>
          </w:tcPr>
          <w:p>
            <w:pPr>
              <w:pStyle w:val="TableContents"/>
              <w:spacing w:before="0" w:after="0"/>
              <w:jc w:val="right"/>
              <w:rPr/>
            </w:pPr>
            <w:r>
              <w:rPr/>
              <w:t>—</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CCEEFF" w:val="clear"/>
            <w:vAlign w:val="center"/>
          </w:tcPr>
          <w:p>
            <w:pPr>
              <w:pStyle w:val="TableContents"/>
              <w:spacing w:before="0" w:after="0"/>
              <w:jc w:val="right"/>
              <w:rPr>
                <w:rFonts w:ascii="inherit" w:hAnsi="inherit"/>
                <w:sz w:val="17"/>
              </w:rPr>
            </w:pPr>
            <w:r>
              <w:rPr>
                <w:rFonts w:ascii="inherit" w:hAnsi="inherit"/>
                <w:sz w:val="17"/>
              </w:rPr>
              <w:t>300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shd w:fill="CCEEFF" w:val="clear"/>
            <w:vAlign w:val="center"/>
          </w:tcPr>
          <w:p>
            <w:pPr>
              <w:pStyle w:val="TableContents"/>
              <w:spacing w:before="0" w:after="0"/>
              <w:jc w:val="right"/>
              <w:rPr>
                <w:rFonts w:ascii="inherit" w:hAnsi="inherit"/>
                <w:sz w:val="17"/>
              </w:rPr>
            </w:pPr>
            <w:r>
              <w:rPr>
                <w:rFonts w:ascii="inherit" w:hAnsi="inherit"/>
                <w:sz w:val="17"/>
              </w:rPr>
              <w:t>420</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rFonts w:ascii="inherit" w:hAnsi="inherit"/>
                <w:sz w:val="17"/>
              </w:rPr>
            </w:pPr>
            <w:r>
              <w:rPr>
                <w:rFonts w:ascii="inherit" w:hAnsi="inherit"/>
                <w:sz w:val="17"/>
              </w:rPr>
              <w:t>769</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CEEFF" w:val="clear"/>
            <w:vAlign w:val="center"/>
          </w:tcPr>
          <w:p>
            <w:pPr>
              <w:pStyle w:val="TableContents"/>
              <w:spacing w:before="0" w:after="0"/>
              <w:jc w:val="right"/>
              <w:rPr>
                <w:rFonts w:ascii="inherit" w:hAnsi="inherit"/>
                <w:sz w:val="17"/>
              </w:rPr>
            </w:pPr>
            <w:r>
              <w:rPr>
                <w:rFonts w:ascii="inherit" w:hAnsi="inherit"/>
                <w:sz w:val="17"/>
              </w:rPr>
              <w:t>420</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Contractual relationship</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5" w:type="dxa"/>
            <w:tcBorders/>
            <w:shd w:fill="auto" w:val="clear"/>
            <w:vAlign w:val="center"/>
          </w:tcPr>
          <w:p>
            <w:pPr>
              <w:pStyle w:val="TableContents"/>
              <w:spacing w:before="0" w:after="0"/>
              <w:jc w:val="right"/>
              <w:rPr>
                <w:rFonts w:ascii="inherit" w:hAnsi="inherit"/>
                <w:sz w:val="17"/>
              </w:rPr>
            </w:pPr>
            <w:r>
              <w:rPr>
                <w:rFonts w:ascii="inherit" w:hAnsi="inherit"/>
                <w:sz w:val="17"/>
              </w:rPr>
              <w:t>13,900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shd w:fill="auto" w:val="clear"/>
            <w:vAlign w:val="center"/>
          </w:tcPr>
          <w:p>
            <w:pPr>
              <w:pStyle w:val="TableContents"/>
              <w:spacing w:before="0" w:after="0"/>
              <w:jc w:val="right"/>
              <w:rPr>
                <w:rFonts w:ascii="inherit" w:hAnsi="inherit"/>
                <w:sz w:val="17"/>
              </w:rPr>
            </w:pPr>
            <w:r>
              <w:rPr>
                <w:rFonts w:ascii="inherit" w:hAnsi="inherit"/>
                <w:sz w:val="17"/>
              </w:rPr>
              <w:t>450</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auto" w:val="clear"/>
            <w:vAlign w:val="center"/>
          </w:tcPr>
          <w:p>
            <w:pPr>
              <w:pStyle w:val="TableContents"/>
              <w:spacing w:before="0" w:after="0"/>
              <w:jc w:val="right"/>
              <w:rPr/>
            </w:pPr>
            <w:r>
              <w:rPr/>
              <w:t>—</w:t>
            </w:r>
          </w:p>
        </w:tc>
        <w:tc>
          <w:tcPr>
            <w:tcW w:w="56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All acquisitions were made as part of our continuing strategy to enhance and diversify our earnings.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months is preliminary as we continue to receive information regarding the acquired assets. Transaction related expenses for the </w:t>
      </w:r>
      <w:r>
        <w:rPr>
          <w:rFonts w:ascii="Times New Roman" w:hAnsi="Times New Roman"/>
          <w:strike w:val="false"/>
          <w:dstrike w:val="false"/>
          <w:color w:val="000000"/>
          <w:sz w:val="17"/>
          <w:u w:val="none"/>
          <w:effect w:val="none"/>
        </w:rPr>
        <w:t>years ended</w:t>
      </w:r>
      <w:r>
        <w:rPr>
          <w:sz w:val="17"/>
        </w:rPr>
        <w:t xml:space="preserve"> </w:t>
      </w:r>
      <w:r>
        <w:rPr>
          <w:rFonts w:ascii="Times New Roman" w:hAnsi="Times New Roman"/>
          <w:strike w:val="false"/>
          <w:dstrike w:val="false"/>
          <w:color w:val="000000"/>
          <w:sz w:val="17"/>
          <w:u w:val="none"/>
          <w:effect w:val="none"/>
        </w:rPr>
        <w:t>September 30, 2012</w:t>
      </w:r>
      <w:r>
        <w:rPr>
          <w:rFonts w:ascii="inherit" w:hAnsi="inherit"/>
          <w:sz w:val="17"/>
        </w:rPr>
        <w:t xml:space="preserve">, </w:t>
      </w:r>
      <w:r>
        <w:rPr>
          <w:rFonts w:ascii="Times New Roman" w:hAnsi="Times New Roman"/>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sz w:val="17"/>
        </w:rPr>
        <w:t xml:space="preserve"> </w:t>
      </w:r>
      <w:r>
        <w:rPr>
          <w:rFonts w:ascii="inherit" w:hAnsi="inherit"/>
          <w:sz w:val="17"/>
        </w:rPr>
        <w:t xml:space="preserve">of approximately </w:t>
      </w:r>
      <w:r>
        <w:rPr>
          <w:rFonts w:ascii="inherit" w:hAnsi="inherit"/>
          <w:strike w:val="false"/>
          <w:dstrike w:val="false"/>
          <w:color w:val="000000"/>
          <w:sz w:val="17"/>
          <w:u w:val="none"/>
          <w:effect w:val="none"/>
        </w:rPr>
        <w:t>$2.2 million</w:t>
      </w:r>
      <w:r>
        <w:rPr>
          <w:rFonts w:ascii="inherit" w:hAnsi="inherit"/>
          <w:sz w:val="17"/>
        </w:rPr>
        <w:t xml:space="preserve">,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$0.6 million</w:t>
      </w:r>
      <w:r>
        <w:rPr>
          <w:rFonts w:ascii="inherit" w:hAnsi="inherit"/>
          <w:sz w:val="17"/>
        </w:rPr>
        <w:t>, respectively, were expensed as incurred and recorded as administrative expenses.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56</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amounts above for the </w:t>
      </w:r>
      <w:r>
        <w:rPr>
          <w:rFonts w:ascii="inherit" w:hAnsi="inherit"/>
          <w:strike w:val="false"/>
          <w:dstrike w:val="false"/>
          <w:color w:val="000000"/>
          <w:sz w:val="17"/>
          <w:u w:val="none"/>
          <w:effect w:val="none"/>
        </w:rPr>
        <w:t>year ended</w:t>
      </w:r>
      <w:r>
        <w:rPr>
          <w:sz w:val="17"/>
        </w:rPr>
        <w:t xml:space="preserve"> </w:t>
      </w:r>
      <w:r>
        <w:rPr>
          <w:rFonts w:ascii="Times New Roman" w:hAnsi="Times New Roman"/>
          <w:strike w:val="false"/>
          <w:dstrike w:val="false"/>
          <w:color w:val="000000"/>
          <w:sz w:val="17"/>
          <w:u w:val="none"/>
          <w:effect w:val="none"/>
        </w:rPr>
        <w:t>September 30, 2012</w:t>
      </w:r>
      <w:r>
        <w:rPr>
          <w:sz w:val="17"/>
        </w:rPr>
        <w:t xml:space="preserve"> </w:t>
      </w:r>
      <w:r>
        <w:rPr>
          <w:rFonts w:ascii="inherit" w:hAnsi="inherit"/>
          <w:sz w:val="17"/>
        </w:rPr>
        <w:t xml:space="preserve">include the acquisition of a decision science model for the underwriting of consumer loans, a contractual relationship with an income tax return preparer to facilitate refund anticipation loans, an online lending business in the U.K., and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financial services stores in Hawaii and Texas. The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financial services stores in Hawaii and Texas were acquired from FS Management, 1st Money Centers, Inc. and 1429 Funding, Inc., companies owned partially by Brent Turner, the former President of our eCommerce and Card Services division and a former executive officer, for total consideration of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in cash and </w:t>
      </w:r>
      <w:r>
        <w:rPr>
          <w:rFonts w:ascii="inherit" w:hAnsi="inherit"/>
          <w:strike w:val="false"/>
          <w:dstrike w:val="false"/>
          <w:color w:val="000000"/>
          <w:sz w:val="17"/>
          <w:u w:val="none"/>
          <w:effect w:val="none"/>
        </w:rPr>
        <w:t>387,924</w:t>
      </w:r>
      <w:r>
        <w:rPr>
          <w:sz w:val="17"/>
        </w:rPr>
        <w:t xml:space="preserve"> </w:t>
      </w:r>
      <w:r>
        <w:rPr>
          <w:rFonts w:ascii="inherit" w:hAnsi="inherit"/>
          <w:sz w:val="17"/>
        </w:rPr>
        <w:t xml:space="preserve">shares of our Class A Non-Voting common stock. The basic terms of the acquisitions were agreed prior to the commencement of Mr. Turner's employment (and, thus, prior to Mr. Turner's becoming an executive officer), subject to our completion of appropriate due diligence and the execution of appropriate definitive documentation. Even though the terms of the acquisitions were agreed to prior to Mr. Turner's becoming an executive officer, we treated the transactions as related party transactions. Consequently, pursuant to our Policy for Review and Evaluation of Related Party Transactions, the Audit Committee reviewed and evaluated the terms of the acquisitions and concluded that the transactions were fair to, and in the best interest of the company and its stockholders. Mr. Turner received </w:t>
      </w:r>
      <w:r>
        <w:rPr>
          <w:rFonts w:ascii="inherit" w:hAnsi="inherit"/>
          <w:strike w:val="false"/>
          <w:dstrike w:val="false"/>
          <w:color w:val="000000"/>
          <w:sz w:val="17"/>
          <w:u w:val="none"/>
          <w:effect w:val="none"/>
        </w:rPr>
        <w:t>$2.0 million</w:t>
      </w:r>
      <w:r>
        <w:rPr>
          <w:sz w:val="17"/>
        </w:rPr>
        <w:t xml:space="preserve"> </w:t>
      </w:r>
      <w:r>
        <w:rPr>
          <w:rFonts w:ascii="inherit" w:hAnsi="inherit"/>
          <w:sz w:val="17"/>
        </w:rPr>
        <w:t xml:space="preserve">in cash and </w:t>
      </w:r>
      <w:r>
        <w:rPr>
          <w:rFonts w:ascii="inherit" w:hAnsi="inherit"/>
          <w:strike w:val="false"/>
          <w:dstrike w:val="false"/>
          <w:color w:val="000000"/>
          <w:sz w:val="17"/>
          <w:u w:val="none"/>
          <w:effect w:val="none"/>
        </w:rPr>
        <w:t>167,811</w:t>
      </w:r>
      <w:r>
        <w:rPr>
          <w:sz w:val="17"/>
        </w:rPr>
        <w:t xml:space="preserve"> </w:t>
      </w:r>
      <w:r>
        <w:rPr>
          <w:rFonts w:ascii="inherit" w:hAnsi="inherit"/>
          <w:sz w:val="17"/>
        </w:rPr>
        <w:t xml:space="preserve">shares of stock in connection with these acquisitions. </w:t>
      </w:r>
    </w:p>
    <w:p>
      <w:pPr>
        <w:pStyle w:val="TextBody"/>
        <w:spacing w:lineRule="auto" w:line="288" w:before="0" w:after="0"/>
        <w:jc w:val="left"/>
        <w:rPr>
          <w:rFonts w:ascii="inherit" w:hAnsi="inherit"/>
          <w:b/>
          <w:sz w:val="17"/>
        </w:rPr>
      </w:pPr>
      <w:bookmarkStart w:id="57" w:name="s3F9163ABD2145E50616D0F13B761B883"/>
      <w:bookmarkEnd w:id="57"/>
      <w:r>
        <w:rPr>
          <w:rFonts w:ascii="inherit" w:hAnsi="inherit"/>
          <w:b/>
          <w:sz w:val="17"/>
        </w:rPr>
        <w:t>NOTE 4: EARNINGS PER SHARE</w:t>
      </w:r>
    </w:p>
    <w:p>
      <w:pPr>
        <w:pStyle w:val="TextBody"/>
        <w:spacing w:lineRule="auto" w:line="288" w:before="0" w:after="0"/>
        <w:jc w:val="left"/>
        <w:rPr>
          <w:rFonts w:ascii="inherit" w:hAnsi="inherit"/>
          <w:sz w:val="17"/>
        </w:rPr>
      </w:pPr>
      <w:r>
        <w:rPr>
          <w:rFonts w:ascii="inherit" w:hAnsi="inherit"/>
          <w:sz w:val="17"/>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pStyle w:val="TextBody"/>
        <w:spacing w:lineRule="auto" w:line="288" w:before="0" w:after="0"/>
        <w:jc w:val="left"/>
        <w:rPr>
          <w:rFonts w:ascii="inherit" w:hAnsi="inherit"/>
          <w:sz w:val="17"/>
        </w:rPr>
      </w:pPr>
      <w:r>
        <w:rPr>
          <w:rFonts w:ascii="inherit" w:hAnsi="inherit"/>
          <w:sz w:val="17"/>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pStyle w:val="TextBody"/>
        <w:spacing w:lineRule="auto" w:line="288" w:before="0" w:after="0"/>
        <w:jc w:val="left"/>
        <w:rPr>
          <w:rFonts w:ascii="inherit" w:hAnsi="inherit"/>
          <w:sz w:val="17"/>
        </w:rPr>
      </w:pPr>
      <w:r>
        <w:rPr>
          <w:rFonts w:ascii="inherit" w:hAnsi="inherit"/>
          <w:sz w:val="17"/>
        </w:rPr>
        <w:t>Components of basic and diluted earnings per share and excluded anti-dilutive potential common shares are as follows:</w:t>
      </w:r>
    </w:p>
    <w:tbl>
      <w:tblPr>
        <w:tblW w:w="10205" w:type="dxa"/>
        <w:jc w:val="center"/>
        <w:tblInd w:w="0" w:type="dxa"/>
        <w:tblCellMar>
          <w:top w:w="0" w:type="dxa"/>
          <w:left w:w="0" w:type="dxa"/>
          <w:bottom w:w="0" w:type="dxa"/>
          <w:right w:w="0" w:type="dxa"/>
        </w:tblCellMar>
      </w:tblPr>
      <w:tblGrid>
        <w:gridCol w:w="6318"/>
        <w:gridCol w:w="134"/>
        <w:gridCol w:w="981"/>
        <w:gridCol w:w="110"/>
        <w:gridCol w:w="90"/>
        <w:gridCol w:w="134"/>
        <w:gridCol w:w="996"/>
        <w:gridCol w:w="110"/>
        <w:gridCol w:w="90"/>
        <w:gridCol w:w="134"/>
        <w:gridCol w:w="978"/>
        <w:gridCol w:w="130"/>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31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18" w:type="dxa"/>
            <w:tcBorders/>
            <w:shd w:fill="auto" w:val="clear"/>
            <w:vAlign w:val="center"/>
          </w:tcPr>
          <w:p>
            <w:pPr>
              <w:pStyle w:val="TableContents"/>
              <w:spacing w:before="0" w:after="0"/>
              <w:ind w:left="0" w:right="0" w:firstLine="30"/>
              <w:rPr/>
            </w:pPr>
            <w:r>
              <w:rPr/>
              <w:t> </w:t>
            </w:r>
          </w:p>
        </w:tc>
        <w:tc>
          <w:tcPr>
            <w:tcW w:w="388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318" w:type="dxa"/>
            <w:tcBorders/>
            <w:shd w:fill="auto" w:val="clear"/>
            <w:vAlign w:val="center"/>
          </w:tcPr>
          <w:p>
            <w:pPr>
              <w:pStyle w:val="TableContents"/>
              <w:spacing w:before="0" w:after="0"/>
              <w:ind w:left="0" w:right="0" w:firstLine="30"/>
              <w:jc w:val="left"/>
              <w:rPr/>
            </w:pPr>
            <w:r>
              <w:rPr/>
              <w:t> </w:t>
            </w:r>
          </w:p>
        </w:tc>
        <w:tc>
          <w:tcPr>
            <w:tcW w:w="12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90" w:type="dxa"/>
            <w:tcBorders/>
            <w:shd w:fill="auto" w:val="clear"/>
            <w:vAlign w:val="center"/>
          </w:tcPr>
          <w:p>
            <w:pPr>
              <w:pStyle w:val="TableContents"/>
              <w:spacing w:before="0" w:after="0"/>
              <w:ind w:left="0" w:right="0" w:firstLine="30"/>
              <w:rPr/>
            </w:pPr>
            <w:r>
              <w:rPr/>
              <w:t> </w:t>
            </w:r>
          </w:p>
        </w:tc>
        <w:tc>
          <w:tcPr>
            <w:tcW w:w="12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90" w:type="dxa"/>
            <w:tcBorders/>
            <w:shd w:fill="auto" w:val="clear"/>
            <w:vAlign w:val="center"/>
          </w:tcPr>
          <w:p>
            <w:pPr>
              <w:pStyle w:val="TableContents"/>
              <w:spacing w:before="0" w:after="0"/>
              <w:ind w:left="0" w:right="0" w:firstLine="30"/>
              <w:rPr/>
            </w:pPr>
            <w:r>
              <w:rPr/>
              <w:t> </w:t>
            </w:r>
          </w:p>
        </w:tc>
        <w:tc>
          <w:tcPr>
            <w:tcW w:w="124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6318" w:type="dxa"/>
            <w:tcBorders/>
            <w:shd w:fill="auto" w:val="clear"/>
            <w:vAlign w:val="center"/>
          </w:tcPr>
          <w:p>
            <w:pPr>
              <w:pStyle w:val="TableContents"/>
              <w:spacing w:before="0" w:after="0"/>
              <w:ind w:left="0" w:right="0" w:firstLine="30"/>
              <w:jc w:val="left"/>
              <w:rPr/>
            </w:pPr>
            <w:r>
              <w:rPr/>
              <w:t> </w:t>
            </w:r>
          </w:p>
        </w:tc>
        <w:tc>
          <w:tcPr>
            <w:tcW w:w="3887"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63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EZCORP, Inc.</w:t>
            </w:r>
          </w:p>
        </w:tc>
        <w:tc>
          <w:tcPr>
            <w:tcW w:w="13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shd w:fill="CCEEFF" w:val="clear"/>
            <w:vAlign w:val="center"/>
          </w:tcPr>
          <w:p>
            <w:pPr>
              <w:pStyle w:val="TableContents"/>
              <w:spacing w:before="0" w:after="0"/>
              <w:jc w:val="right"/>
              <w:rPr>
                <w:rFonts w:ascii="inherit" w:hAnsi="inherit"/>
                <w:sz w:val="17"/>
              </w:rPr>
            </w:pPr>
            <w:r>
              <w:rPr>
                <w:rFonts w:ascii="inherit" w:hAnsi="inherit"/>
                <w:sz w:val="17"/>
              </w:rPr>
              <w:t>148,241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CCEEFF" w:val="clear"/>
            <w:vAlign w:val="center"/>
          </w:tcPr>
          <w:p>
            <w:pPr>
              <w:pStyle w:val="TableContents"/>
              <w:spacing w:before="0" w:after="0"/>
              <w:jc w:val="right"/>
              <w:rPr>
                <w:rFonts w:ascii="inherit" w:hAnsi="inherit"/>
                <w:sz w:val="17"/>
              </w:rPr>
            </w:pPr>
            <w:r>
              <w:rPr>
                <w:rFonts w:ascii="inherit" w:hAnsi="inherit"/>
                <w:sz w:val="17"/>
              </w:rPr>
              <w:t>123,717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8" w:type="dxa"/>
            <w:tcBorders/>
            <w:shd w:fill="CCEEFF" w:val="clear"/>
            <w:vAlign w:val="center"/>
          </w:tcPr>
          <w:p>
            <w:pPr>
              <w:pStyle w:val="TableContents"/>
              <w:spacing w:before="0" w:after="0"/>
              <w:jc w:val="right"/>
              <w:rPr>
                <w:rFonts w:ascii="inherit" w:hAnsi="inherit"/>
                <w:sz w:val="17"/>
              </w:rPr>
            </w:pPr>
            <w:r>
              <w:rPr>
                <w:rFonts w:ascii="inherit" w:hAnsi="inherit"/>
                <w:sz w:val="17"/>
              </w:rPr>
              <w:t>98,643</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1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(1,349</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1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w:t>
            </w:r>
          </w:p>
        </w:tc>
        <w:tc>
          <w:tcPr>
            <w:tcW w:w="1115"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1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auto" w:val="clear"/>
            <w:vAlign w:val="center"/>
          </w:tcPr>
          <w:p>
            <w:pPr>
              <w:pStyle w:val="TableContents"/>
              <w:spacing w:before="0" w:after="0"/>
              <w:ind w:left="0" w:right="0" w:firstLine="30"/>
              <w:rPr/>
            </w:pPr>
            <w:r>
              <w:rPr/>
              <w:t> </w:t>
            </w:r>
          </w:p>
        </w:tc>
        <w:tc>
          <w:tcPr>
            <w:tcW w:w="12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42" w:type="dxa"/>
            <w:gridSpan w:val="3"/>
            <w:tcBorders/>
            <w:shd w:fill="auto" w:val="clear"/>
            <w:vAlign w:val="center"/>
          </w:tcPr>
          <w:p>
            <w:pPr>
              <w:pStyle w:val="TableContents"/>
              <w:spacing w:before="0" w:after="0"/>
              <w:ind w:left="0" w:right="0" w:firstLine="30"/>
              <w:rPr/>
            </w:pPr>
            <w:r>
              <w:rPr/>
              <w:t> </w:t>
            </w:r>
          </w:p>
        </w:tc>
      </w:tr>
      <w:tr>
        <w:trPr/>
        <w:tc>
          <w:tcPr>
            <w:tcW w:w="63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outstanding shares of common stock</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50,877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49,917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49,033</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Dilutive effect of stock options and restricted stock</w:t>
            </w:r>
          </w:p>
        </w:tc>
        <w:tc>
          <w:tcPr>
            <w:tcW w:w="11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452</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543</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stock and common stock equivalents</w:t>
            </w:r>
          </w:p>
        </w:tc>
        <w:tc>
          <w:tcPr>
            <w:tcW w:w="1115"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51,133</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50,369</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49,576</w:t>
            </w:r>
          </w:p>
        </w:tc>
        <w:tc>
          <w:tcPr>
            <w:tcW w:w="1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auto" w:val="clear"/>
            <w:vAlign w:val="center"/>
          </w:tcPr>
          <w:p>
            <w:pPr>
              <w:pStyle w:val="TableContents"/>
              <w:spacing w:before="0" w:after="0"/>
              <w:ind w:left="0" w:right="0" w:firstLine="30"/>
              <w:rPr/>
            </w:pPr>
            <w:r>
              <w:rPr/>
              <w:t> </w:t>
            </w:r>
          </w:p>
        </w:tc>
        <w:tc>
          <w:tcPr>
            <w:tcW w:w="1225"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40"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42"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r>
      <w:tr>
        <w:trPr/>
        <w:tc>
          <w:tcPr>
            <w:tcW w:w="631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Basic earnings (loss) per share attributable to EZCORP, Inc.:</w:t>
            </w:r>
          </w:p>
        </w:tc>
        <w:tc>
          <w:tcPr>
            <w:tcW w:w="12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42" w:type="dxa"/>
            <w:gridSpan w:val="3"/>
            <w:tcBorders/>
            <w:shd w:fill="CCEEFF" w:val="clear"/>
            <w:vAlign w:val="center"/>
          </w:tcPr>
          <w:p>
            <w:pPr>
              <w:pStyle w:val="TableContents"/>
              <w:spacing w:before="0" w:after="0"/>
              <w:ind w:left="0" w:right="0" w:firstLine="30"/>
              <w:rPr/>
            </w:pPr>
            <w:r>
              <w:rPr/>
              <w:t> </w:t>
            </w:r>
          </w:p>
        </w:tc>
      </w:tr>
      <w:tr>
        <w:trPr/>
        <w:tc>
          <w:tcPr>
            <w:tcW w:w="63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 attributable to EZCORP, Inc.</w:t>
            </w:r>
          </w:p>
        </w:tc>
        <w:tc>
          <w:tcPr>
            <w:tcW w:w="13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shd w:fill="auto" w:val="clear"/>
            <w:vAlign w:val="center"/>
          </w:tcPr>
          <w:p>
            <w:pPr>
              <w:pStyle w:val="TableContents"/>
              <w:spacing w:before="0" w:after="0"/>
              <w:jc w:val="right"/>
              <w:rPr>
                <w:rFonts w:ascii="inherit" w:hAnsi="inherit"/>
                <w:sz w:val="17"/>
              </w:rPr>
            </w:pPr>
            <w:r>
              <w:rPr>
                <w:rFonts w:ascii="inherit" w:hAnsi="inherit"/>
                <w:sz w:val="17"/>
              </w:rPr>
              <w:t>2.91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auto" w:val="clear"/>
            <w:vAlign w:val="center"/>
          </w:tcPr>
          <w:p>
            <w:pPr>
              <w:pStyle w:val="TableContents"/>
              <w:spacing w:before="0" w:after="0"/>
              <w:jc w:val="right"/>
              <w:rPr>
                <w:rFonts w:ascii="inherit" w:hAnsi="inherit"/>
                <w:sz w:val="17"/>
              </w:rPr>
            </w:pPr>
            <w:r>
              <w:rPr>
                <w:rFonts w:ascii="inherit" w:hAnsi="inherit"/>
                <w:sz w:val="17"/>
              </w:rPr>
              <w:t>2.48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8" w:type="dxa"/>
            <w:tcBorders/>
            <w:shd w:fill="auto" w:val="clear"/>
            <w:vAlign w:val="center"/>
          </w:tcPr>
          <w:p>
            <w:pPr>
              <w:pStyle w:val="TableContents"/>
              <w:spacing w:before="0" w:after="0"/>
              <w:jc w:val="right"/>
              <w:rPr>
                <w:rFonts w:ascii="inherit" w:hAnsi="inherit"/>
                <w:sz w:val="17"/>
              </w:rPr>
            </w:pPr>
            <w:r>
              <w:rPr>
                <w:rFonts w:ascii="inherit" w:hAnsi="inherit"/>
                <w:sz w:val="17"/>
              </w:rPr>
              <w:t>2.01</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(0.03</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Basic earnings per share</w:t>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2.82</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2.45</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1.98</w:t>
            </w:r>
          </w:p>
        </w:tc>
        <w:tc>
          <w:tcPr>
            <w:tcW w:w="1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CCEEFF" w:val="clear"/>
            <w:vAlign w:val="center"/>
          </w:tcPr>
          <w:p>
            <w:pPr>
              <w:pStyle w:val="TableContents"/>
              <w:spacing w:before="0" w:after="0"/>
              <w:ind w:left="0" w:right="0" w:firstLine="30"/>
              <w:rPr/>
            </w:pPr>
            <w:r>
              <w:rPr/>
              <w:t> </w:t>
            </w:r>
          </w:p>
        </w:tc>
        <w:tc>
          <w:tcPr>
            <w:tcW w:w="12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42" w:type="dxa"/>
            <w:gridSpan w:val="3"/>
            <w:tcBorders/>
            <w:shd w:fill="CCEEFF" w:val="clear"/>
            <w:vAlign w:val="center"/>
          </w:tcPr>
          <w:p>
            <w:pPr>
              <w:pStyle w:val="TableContents"/>
              <w:spacing w:before="0" w:after="0"/>
              <w:ind w:left="0" w:right="0" w:firstLine="30"/>
              <w:rPr/>
            </w:pPr>
            <w:r>
              <w:rPr/>
              <w:t> </w:t>
            </w:r>
          </w:p>
        </w:tc>
      </w:tr>
      <w:tr>
        <w:trPr/>
        <w:tc>
          <w:tcPr>
            <w:tcW w:w="63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Diluted earnings (loss) per share attributable to EZCORP, Inc.:</w:t>
            </w:r>
          </w:p>
        </w:tc>
        <w:tc>
          <w:tcPr>
            <w:tcW w:w="12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42" w:type="dxa"/>
            <w:gridSpan w:val="3"/>
            <w:tcBorders/>
            <w:shd w:fill="auto" w:val="clear"/>
            <w:vAlign w:val="center"/>
          </w:tcPr>
          <w:p>
            <w:pPr>
              <w:pStyle w:val="TableContents"/>
              <w:spacing w:before="0" w:after="0"/>
              <w:ind w:left="0" w:right="0" w:firstLine="30"/>
              <w:rPr/>
            </w:pPr>
            <w:r>
              <w:rPr/>
              <w:t> </w:t>
            </w:r>
          </w:p>
        </w:tc>
      </w:tr>
      <w:tr>
        <w:trPr/>
        <w:tc>
          <w:tcPr>
            <w:tcW w:w="63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 attributable to EZCORP, Inc.</w:t>
            </w:r>
          </w:p>
        </w:tc>
        <w:tc>
          <w:tcPr>
            <w:tcW w:w="13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shd w:fill="CCEEFF" w:val="clear"/>
            <w:vAlign w:val="center"/>
          </w:tcPr>
          <w:p>
            <w:pPr>
              <w:pStyle w:val="TableContents"/>
              <w:spacing w:before="0" w:after="0"/>
              <w:jc w:val="right"/>
              <w:rPr>
                <w:rFonts w:ascii="inherit" w:hAnsi="inherit"/>
                <w:sz w:val="17"/>
              </w:rPr>
            </w:pPr>
            <w:r>
              <w:rPr>
                <w:rFonts w:ascii="inherit" w:hAnsi="inherit"/>
                <w:sz w:val="17"/>
              </w:rPr>
              <w:t>2.90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CCEEFF" w:val="clear"/>
            <w:vAlign w:val="center"/>
          </w:tcPr>
          <w:p>
            <w:pPr>
              <w:pStyle w:val="TableContents"/>
              <w:spacing w:before="0" w:after="0"/>
              <w:jc w:val="right"/>
              <w:rPr>
                <w:rFonts w:ascii="inherit" w:hAnsi="inherit"/>
                <w:sz w:val="17"/>
              </w:rPr>
            </w:pPr>
            <w:r>
              <w:rPr>
                <w:rFonts w:ascii="inherit" w:hAnsi="inherit"/>
                <w:sz w:val="17"/>
              </w:rPr>
              <w:t>2.46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8" w:type="dxa"/>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1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Diluted earnings per share</w:t>
            </w:r>
          </w:p>
        </w:tc>
        <w:tc>
          <w:tcPr>
            <w:tcW w:w="1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2.81</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2.43</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1.96</w:t>
            </w:r>
          </w:p>
        </w:tc>
        <w:tc>
          <w:tcPr>
            <w:tcW w:w="1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8" w:type="dxa"/>
            <w:tcBorders/>
            <w:shd w:fill="auto" w:val="clear"/>
            <w:vAlign w:val="center"/>
          </w:tcPr>
          <w:p>
            <w:pPr>
              <w:pStyle w:val="TableContents"/>
              <w:spacing w:before="0" w:after="0"/>
              <w:ind w:left="0" w:right="0" w:firstLine="30"/>
              <w:rPr/>
            </w:pPr>
            <w:r>
              <w:rPr/>
              <w:t> </w:t>
            </w:r>
          </w:p>
        </w:tc>
        <w:tc>
          <w:tcPr>
            <w:tcW w:w="12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42" w:type="dxa"/>
            <w:gridSpan w:val="3"/>
            <w:tcBorders/>
            <w:shd w:fill="auto" w:val="clear"/>
            <w:vAlign w:val="center"/>
          </w:tcPr>
          <w:p>
            <w:pPr>
              <w:pStyle w:val="TableContents"/>
              <w:spacing w:before="0" w:after="0"/>
              <w:ind w:left="0" w:right="0" w:firstLine="30"/>
              <w:rPr/>
            </w:pPr>
            <w:r>
              <w:rPr/>
              <w:t> </w:t>
            </w:r>
          </w:p>
        </w:tc>
      </w:tr>
      <w:tr>
        <w:trPr/>
        <w:tc>
          <w:tcPr>
            <w:tcW w:w="63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Potential common shares excluded from the calculation of diluted earnings per share</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30"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57</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58" w:name="sAC46F002C03B577540DF0F13B77A54B0"/>
      <w:bookmarkEnd w:id="58"/>
      <w:r>
        <w:rPr>
          <w:rFonts w:ascii="inherit" w:hAnsi="inherit"/>
          <w:b/>
          <w:sz w:val="17"/>
        </w:rPr>
        <w:t>NOTE 5: STRATEGIC INVESTMENTS</w:t>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we owned </w:t>
      </w:r>
      <w:r>
        <w:rPr>
          <w:rFonts w:ascii="inherit" w:hAnsi="inherit"/>
          <w:strike w:val="false"/>
          <w:dstrike w:val="false"/>
          <w:color w:val="000000"/>
          <w:sz w:val="17"/>
          <w:u w:val="none"/>
          <w:effect w:val="none"/>
        </w:rPr>
        <w:t>16,644,640</w:t>
      </w:r>
      <w:r>
        <w:rPr>
          <w:sz w:val="17"/>
        </w:rPr>
        <w:t xml:space="preserve"> </w:t>
      </w:r>
      <w:r>
        <w:rPr>
          <w:rFonts w:ascii="inherit" w:hAnsi="inherit"/>
          <w:sz w:val="17"/>
        </w:rPr>
        <w:t xml:space="preserve">ordinary shares of Albemarle &amp; Bond Holdings, PLC, representing approximately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of its total outstanding shares. Our total cost for those shares was approximately </w:t>
      </w:r>
      <w:r>
        <w:rPr>
          <w:rFonts w:ascii="inherit" w:hAnsi="inherit"/>
          <w:strike w:val="false"/>
          <w:dstrike w:val="false"/>
          <w:color w:val="000000"/>
          <w:sz w:val="17"/>
          <w:u w:val="none"/>
          <w:effect w:val="none"/>
        </w:rPr>
        <w:t>$27.6 million</w:t>
      </w:r>
      <w:r>
        <w:rPr>
          <w:rFonts w:ascii="inherit" w:hAnsi="inherit"/>
          <w:sz w:val="17"/>
        </w:rPr>
        <w:t xml:space="preserve">.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fiscal year ended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represents our percentage interest in the results of Albemarle &amp; Bond’s operations from </w:t>
      </w:r>
      <w:r>
        <w:rPr>
          <w:rFonts w:ascii="inherit" w:hAnsi="inherit"/>
          <w:strike w:val="false"/>
          <w:dstrike w:val="false"/>
          <w:color w:val="000000"/>
          <w:sz w:val="17"/>
          <w:u w:val="none"/>
          <w:effect w:val="none"/>
        </w:rPr>
        <w:t>July 1, 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June 30, 2012</w:t>
      </w:r>
      <w:r>
        <w:rPr>
          <w:rFonts w:ascii="inherit" w:hAnsi="inherit"/>
          <w:sz w:val="17"/>
        </w:rPr>
        <w:t xml:space="preserve">. In fiscal </w:t>
      </w:r>
      <w:r>
        <w:rPr>
          <w:rFonts w:ascii="inherit" w:hAnsi="inherit"/>
          <w:strike w:val="false"/>
          <w:dstrike w:val="false"/>
          <w:color w:val="000000"/>
          <w:sz w:val="17"/>
          <w:u w:val="none"/>
          <w:effect w:val="none"/>
        </w:rPr>
        <w:t>2012</w:t>
      </w:r>
      <w:r>
        <w:rPr>
          <w:rFonts w:ascii="inherit" w:hAnsi="inherit"/>
          <w:sz w:val="17"/>
        </w:rPr>
        <w:t xml:space="preserve">,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rFonts w:ascii="inherit" w:hAnsi="inherit"/>
          <w:sz w:val="17"/>
        </w:rPr>
        <w:t xml:space="preserve">, we received dividends from Albemarle &amp; Bond of </w:t>
      </w:r>
      <w:r>
        <w:rPr>
          <w:rFonts w:ascii="inherit" w:hAnsi="inherit"/>
          <w:strike w:val="false"/>
          <w:dstrike w:val="false"/>
          <w:color w:val="000000"/>
          <w:sz w:val="17"/>
          <w:u w:val="none"/>
          <w:effect w:val="none"/>
        </w:rPr>
        <w:t>$3.3 million</w:t>
      </w:r>
      <w:r>
        <w:rPr>
          <w:rFonts w:ascii="inherit" w:hAnsi="inherit"/>
          <w:sz w:val="17"/>
        </w:rPr>
        <w:t xml:space="preserve">, </w:t>
      </w:r>
      <w:r>
        <w:rPr>
          <w:rFonts w:ascii="inherit" w:hAnsi="inherit"/>
          <w:strike w:val="false"/>
          <w:dstrike w:val="false"/>
          <w:color w:val="000000"/>
          <w:sz w:val="17"/>
          <w:u w:val="none"/>
          <w:effect w:val="none"/>
        </w:rPr>
        <w:t>$3.2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$2.3 million</w:t>
      </w:r>
      <w:r>
        <w:rPr>
          <w:rFonts w:ascii="inherit" w:hAnsi="inherit"/>
          <w:sz w:val="17"/>
        </w:rPr>
        <w:t xml:space="preserve">, respectively. Albemarle &amp; Bond’s accumulated undistributed after-tax earnings included in our consolidated retained earnings were </w:t>
      </w:r>
      <w:r>
        <w:rPr>
          <w:rFonts w:ascii="inherit" w:hAnsi="inherit"/>
          <w:strike w:val="false"/>
          <w:dstrike w:val="false"/>
          <w:color w:val="000000"/>
          <w:sz w:val="17"/>
          <w:u w:val="none"/>
          <w:effect w:val="none"/>
        </w:rPr>
        <w:t>$27.6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Conversion of Albemarle &amp; Bond’s financial statements into US Generally Accepted Accounting Principles (“GAAP”) resulted in no material differences from those reported by Albemarle &amp; Bond following International Financial Reporting Standards (“IFRS”).</w:t>
      </w:r>
    </w:p>
    <w:p>
      <w:pPr>
        <w:pStyle w:val="TextBody"/>
        <w:spacing w:lineRule="auto" w:line="288" w:before="0" w:after="0"/>
        <w:jc w:val="left"/>
        <w:rPr>
          <w:sz w:val="17"/>
        </w:rPr>
      </w:pPr>
      <w:r>
        <w:rPr>
          <w:rFonts w:ascii="inherit" w:hAnsi="inherit"/>
          <w:sz w:val="17"/>
        </w:rPr>
        <w:t xml:space="preserve">In its functional currency of British pounds, Albemarle &amp; Bond’s total assets increased </w:t>
      </w:r>
      <w:r>
        <w:rPr>
          <w:rFonts w:ascii="inherit" w:hAnsi="inherit"/>
          <w:strike w:val="false"/>
          <w:dstrike w:val="false"/>
          <w:color w:val="000000"/>
          <w:sz w:val="17"/>
          <w:u w:val="none"/>
          <w:effect w:val="none"/>
        </w:rPr>
        <w:t>14%</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June 30, 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its net income improved </w:t>
      </w:r>
      <w:r>
        <w:rPr>
          <w:rFonts w:ascii="inherit" w:hAnsi="inherit"/>
          <w:strike w:val="false"/>
          <w:dstrike w:val="false"/>
          <w:color w:val="000000"/>
          <w:sz w:val="17"/>
          <w:u w:val="none"/>
          <w:effect w:val="none"/>
        </w:rPr>
        <w:t>2%</w:t>
      </w:r>
      <w:r>
        <w:rPr>
          <w:sz w:val="17"/>
        </w:rPr>
        <w:t xml:space="preserve"> </w:t>
      </w:r>
      <w:r>
        <w:rPr>
          <w:rFonts w:ascii="inherit" w:hAnsi="inherit"/>
          <w:sz w:val="17"/>
        </w:rPr>
        <w:t xml:space="preserve">for the year ended </w:t>
      </w:r>
      <w:r>
        <w:rPr>
          <w:rFonts w:ascii="inherit" w:hAnsi="inherit"/>
          <w:strike w:val="false"/>
          <w:dstrike w:val="false"/>
          <w:color w:val="000000"/>
          <w:sz w:val="17"/>
          <w:u w:val="none"/>
          <w:effect w:val="none"/>
        </w:rPr>
        <w:t>June 30, 2012</w:t>
      </w:r>
      <w:r>
        <w:rPr>
          <w:rFonts w:ascii="inherit" w:hAnsi="inherit"/>
          <w:sz w:val="17"/>
        </w:rPr>
        <w:t>. The following table presents summary financial information for Albemarle &amp; Bond’s most recently reported results after translation to U.S. dollars (using the exchange rate as of June 30 of each year for balance sheet items and average exchange rates for the income statement items for the periods indicated):</w:t>
      </w:r>
    </w:p>
    <w:tbl>
      <w:tblPr>
        <w:tblW w:w="10205" w:type="dxa"/>
        <w:jc w:val="left"/>
        <w:tblInd w:w="0" w:type="dxa"/>
        <w:tblCellMar>
          <w:top w:w="0" w:type="dxa"/>
          <w:left w:w="0" w:type="dxa"/>
          <w:bottom w:w="0" w:type="dxa"/>
          <w:right w:w="0" w:type="dxa"/>
        </w:tblCellMar>
      </w:tblPr>
      <w:tblGrid>
        <w:gridCol w:w="6985"/>
        <w:gridCol w:w="155"/>
        <w:gridCol w:w="1237"/>
        <w:gridCol w:w="100"/>
        <w:gridCol w:w="135"/>
        <w:gridCol w:w="155"/>
        <w:gridCol w:w="1237"/>
        <w:gridCol w:w="20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9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85" w:type="dxa"/>
            <w:tcBorders/>
            <w:shd w:fill="auto" w:val="clear"/>
            <w:vAlign w:val="center"/>
          </w:tcPr>
          <w:p>
            <w:pPr>
              <w:pStyle w:val="TableContents"/>
              <w:spacing w:before="0" w:after="0"/>
              <w:ind w:left="0" w:right="0" w:firstLine="30"/>
              <w:jc w:val="left"/>
              <w:rPr/>
            </w:pPr>
            <w:r>
              <w:rPr/>
              <w:t> </w:t>
            </w:r>
          </w:p>
        </w:tc>
        <w:tc>
          <w:tcPr>
            <w:tcW w:w="322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of June 30,</w:t>
            </w:r>
          </w:p>
        </w:tc>
      </w:tr>
      <w:tr>
        <w:trPr/>
        <w:tc>
          <w:tcPr>
            <w:tcW w:w="6985" w:type="dxa"/>
            <w:tcBorders/>
            <w:shd w:fill="auto" w:val="clear"/>
            <w:vAlign w:val="center"/>
          </w:tcPr>
          <w:p>
            <w:pPr>
              <w:pStyle w:val="TableContents"/>
              <w:spacing w:before="0" w:after="0"/>
              <w:ind w:left="0" w:right="0" w:firstLine="30"/>
              <w:jc w:val="left"/>
              <w:rPr/>
            </w:pPr>
            <w:r>
              <w:rPr/>
              <w:t> </w:t>
            </w:r>
          </w:p>
        </w:tc>
        <w:tc>
          <w:tcPr>
            <w:tcW w:w="149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5" w:type="dxa"/>
            <w:tcBorders/>
            <w:shd w:fill="auto" w:val="clear"/>
            <w:vAlign w:val="center"/>
          </w:tcPr>
          <w:p>
            <w:pPr>
              <w:pStyle w:val="TableContents"/>
              <w:spacing w:before="0" w:after="0"/>
              <w:ind w:left="0" w:right="0" w:firstLine="30"/>
              <w:rPr/>
            </w:pPr>
            <w:r>
              <w:rPr/>
              <w:t> </w:t>
            </w:r>
          </w:p>
        </w:tc>
        <w:tc>
          <w:tcPr>
            <w:tcW w:w="15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985" w:type="dxa"/>
            <w:tcBorders/>
            <w:shd w:fill="auto" w:val="clear"/>
            <w:vAlign w:val="center"/>
          </w:tcPr>
          <w:p>
            <w:pPr>
              <w:pStyle w:val="TableContents"/>
              <w:spacing w:before="0" w:after="0"/>
              <w:ind w:left="0" w:right="0" w:firstLine="30"/>
              <w:jc w:val="left"/>
              <w:rPr/>
            </w:pPr>
            <w:r>
              <w:rPr/>
              <w:t> </w:t>
            </w:r>
          </w:p>
        </w:tc>
        <w:tc>
          <w:tcPr>
            <w:tcW w:w="322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shd w:fill="CCEEFF" w:val="clear"/>
            <w:vAlign w:val="center"/>
          </w:tcPr>
          <w:p>
            <w:pPr>
              <w:pStyle w:val="TableContents"/>
              <w:spacing w:before="0" w:after="0"/>
              <w:jc w:val="right"/>
              <w:rPr>
                <w:rFonts w:ascii="inherit" w:hAnsi="inherit"/>
                <w:sz w:val="17"/>
              </w:rPr>
            </w:pPr>
            <w:r>
              <w:rPr>
                <w:rFonts w:ascii="inherit" w:hAnsi="inherit"/>
                <w:sz w:val="17"/>
              </w:rPr>
              <w:t>141,880</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shd w:fill="CCEEFF" w:val="clear"/>
            <w:vAlign w:val="center"/>
          </w:tcPr>
          <w:p>
            <w:pPr>
              <w:pStyle w:val="TableContents"/>
              <w:spacing w:before="0" w:after="0"/>
              <w:jc w:val="right"/>
              <w:rPr>
                <w:rFonts w:ascii="inherit" w:hAnsi="inherit"/>
                <w:sz w:val="17"/>
              </w:rPr>
            </w:pPr>
            <w:r>
              <w:rPr>
                <w:rFonts w:ascii="inherit" w:hAnsi="inherit"/>
                <w:sz w:val="17"/>
              </w:rPr>
              <w:t>125,862</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3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69,282</w:t>
            </w:r>
          </w:p>
        </w:tc>
        <w:tc>
          <w:tcPr>
            <w:tcW w:w="1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64,325</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211,162</w:t>
            </w:r>
          </w:p>
        </w:tc>
        <w:tc>
          <w:tcPr>
            <w:tcW w:w="10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190,187</w:t>
            </w:r>
          </w:p>
        </w:tc>
        <w:tc>
          <w:tcPr>
            <w:tcW w:w="20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shd w:fill="auto" w:val="clear"/>
            <w:vAlign w:val="center"/>
          </w:tcPr>
          <w:p>
            <w:pPr>
              <w:pStyle w:val="TableContents"/>
              <w:spacing w:before="0" w:after="0"/>
              <w:jc w:val="right"/>
              <w:rPr>
                <w:rFonts w:ascii="inherit" w:hAnsi="inherit"/>
                <w:sz w:val="17"/>
              </w:rPr>
            </w:pPr>
            <w:r>
              <w:rPr>
                <w:rFonts w:ascii="inherit" w:hAnsi="inherit"/>
                <w:sz w:val="17"/>
              </w:rPr>
              <w:t>15,772</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shd w:fill="auto" w:val="clear"/>
            <w:vAlign w:val="center"/>
          </w:tcPr>
          <w:p>
            <w:pPr>
              <w:pStyle w:val="TableContents"/>
              <w:spacing w:before="0" w:after="0"/>
              <w:jc w:val="right"/>
              <w:rPr>
                <w:rFonts w:ascii="inherit" w:hAnsi="inherit"/>
                <w:sz w:val="17"/>
              </w:rPr>
            </w:pPr>
            <w:r>
              <w:rPr>
                <w:rFonts w:ascii="inherit" w:hAnsi="inherit"/>
                <w:sz w:val="17"/>
              </w:rPr>
              <w:t>18,620</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3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70,016</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57,016</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3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125,374</w:t>
            </w:r>
          </w:p>
        </w:tc>
        <w:tc>
          <w:tcPr>
            <w:tcW w:w="1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114,551</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211,162</w:t>
            </w:r>
          </w:p>
        </w:tc>
        <w:tc>
          <w:tcPr>
            <w:tcW w:w="10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190,187</w:t>
            </w:r>
          </w:p>
        </w:tc>
        <w:tc>
          <w:tcPr>
            <w:tcW w:w="20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5970"/>
        <w:gridCol w:w="125"/>
        <w:gridCol w:w="1107"/>
        <w:gridCol w:w="100"/>
        <w:gridCol w:w="115"/>
        <w:gridCol w:w="125"/>
        <w:gridCol w:w="1107"/>
        <w:gridCol w:w="100"/>
        <w:gridCol w:w="115"/>
        <w:gridCol w:w="125"/>
        <w:gridCol w:w="1107"/>
        <w:gridCol w:w="10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9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70" w:type="dxa"/>
            <w:tcBorders/>
            <w:shd w:fill="auto" w:val="clear"/>
            <w:vAlign w:val="center"/>
          </w:tcPr>
          <w:p>
            <w:pPr>
              <w:pStyle w:val="TableContents"/>
              <w:spacing w:before="0" w:after="0"/>
              <w:ind w:left="0" w:right="0" w:firstLine="30"/>
              <w:jc w:val="left"/>
              <w:rPr/>
            </w:pPr>
            <w:r>
              <w:rPr/>
              <w:t> </w:t>
            </w:r>
          </w:p>
        </w:tc>
        <w:tc>
          <w:tcPr>
            <w:tcW w:w="423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June 30,</w:t>
            </w:r>
          </w:p>
        </w:tc>
      </w:tr>
      <w:tr>
        <w:trPr/>
        <w:tc>
          <w:tcPr>
            <w:tcW w:w="5970" w:type="dxa"/>
            <w:tcBorders/>
            <w:shd w:fill="auto" w:val="clear"/>
            <w:vAlign w:val="center"/>
          </w:tcPr>
          <w:p>
            <w:pPr>
              <w:pStyle w:val="TableContents"/>
              <w:spacing w:before="0" w:after="0"/>
              <w:ind w:left="0" w:right="0" w:firstLine="30"/>
              <w:jc w:val="left"/>
              <w:rPr/>
            </w:pPr>
            <w:r>
              <w:rPr/>
              <w:t> </w:t>
            </w:r>
          </w:p>
        </w:tc>
        <w:tc>
          <w:tcPr>
            <w:tcW w:w="13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5" w:type="dxa"/>
            <w:tcBorders/>
            <w:shd w:fill="auto" w:val="clear"/>
            <w:vAlign w:val="center"/>
          </w:tcPr>
          <w:p>
            <w:pPr>
              <w:pStyle w:val="TableContents"/>
              <w:spacing w:before="0" w:after="0"/>
              <w:ind w:left="0" w:right="0" w:firstLine="30"/>
              <w:rPr/>
            </w:pPr>
            <w:r>
              <w:rPr/>
              <w:t> </w:t>
            </w:r>
          </w:p>
        </w:tc>
        <w:tc>
          <w:tcPr>
            <w:tcW w:w="13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15" w:type="dxa"/>
            <w:tcBorders/>
            <w:shd w:fill="auto" w:val="clear"/>
            <w:vAlign w:val="center"/>
          </w:tcPr>
          <w:p>
            <w:pPr>
              <w:pStyle w:val="TableContents"/>
              <w:spacing w:before="0" w:after="0"/>
              <w:ind w:left="0" w:right="0" w:firstLine="30"/>
              <w:rPr/>
            </w:pPr>
            <w:r>
              <w:rPr/>
              <w:t> </w:t>
            </w:r>
          </w:p>
        </w:tc>
        <w:tc>
          <w:tcPr>
            <w:tcW w:w="13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970" w:type="dxa"/>
            <w:tcBorders/>
            <w:shd w:fill="auto" w:val="clear"/>
            <w:vAlign w:val="center"/>
          </w:tcPr>
          <w:p>
            <w:pPr>
              <w:pStyle w:val="TableContents"/>
              <w:spacing w:before="0" w:after="0"/>
              <w:ind w:left="0" w:right="0" w:firstLine="30"/>
              <w:jc w:val="left"/>
              <w:rPr/>
            </w:pPr>
            <w:r>
              <w:rPr/>
              <w:t> </w:t>
            </w:r>
          </w:p>
        </w:tc>
        <w:tc>
          <w:tcPr>
            <w:tcW w:w="423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9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186,479</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162,002</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129,794</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2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109,474</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97,197</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84,850</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2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24,835</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24,324</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22,792</w:t>
            </w:r>
          </w:p>
        </w:tc>
        <w:tc>
          <w:tcPr>
            <w:tcW w:w="10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the recorded balance of our investment in Albemarle &amp; Bond, accounted for on the equity method, was </w:t>
      </w:r>
      <w:r>
        <w:rPr>
          <w:rFonts w:ascii="inherit" w:hAnsi="inherit"/>
          <w:strike w:val="false"/>
          <w:dstrike w:val="false"/>
          <w:color w:val="000000"/>
          <w:sz w:val="17"/>
          <w:u w:val="none"/>
          <w:effect w:val="none"/>
        </w:rPr>
        <w:t>$51.8 million</w:t>
      </w:r>
      <w:r>
        <w:rPr>
          <w:rFonts w:ascii="inherit" w:hAnsi="inherit"/>
          <w:sz w:val="17"/>
        </w:rPr>
        <w:t xml:space="preserve">. Because Albemarle &amp; Bond publicly reports its financial results only semi-annually as of June 30 and December 31, the latest Albemarle &amp; Bond figures available are as of </w:t>
      </w:r>
      <w:r>
        <w:rPr>
          <w:rFonts w:ascii="inherit" w:hAnsi="inherit"/>
          <w:strike w:val="false"/>
          <w:dstrike w:val="false"/>
          <w:color w:val="000000"/>
          <w:sz w:val="17"/>
          <w:u w:val="none"/>
          <w:effect w:val="none"/>
        </w:rPr>
        <w:t>June 30, 2012</w:t>
      </w:r>
      <w:r>
        <w:rPr>
          <w:rFonts w:ascii="inherit" w:hAnsi="inherit"/>
          <w:sz w:val="17"/>
        </w:rPr>
        <w:t xml:space="preserve">, at which point our equity in net assets of Albemarle &amp; Bond was </w:t>
      </w:r>
      <w:r>
        <w:rPr>
          <w:rFonts w:ascii="inherit" w:hAnsi="inherit"/>
          <w:strike w:val="false"/>
          <w:dstrike w:val="false"/>
          <w:color w:val="000000"/>
          <w:sz w:val="17"/>
          <w:u w:val="none"/>
          <w:effect w:val="none"/>
        </w:rPr>
        <w:t>$37.6 million</w:t>
      </w:r>
      <w:r>
        <w:rPr>
          <w:rFonts w:ascii="inherit" w:hAnsi="inherit"/>
          <w:sz w:val="17"/>
        </w:rPr>
        <w:t xml:space="preserve">. The difference between the recorded balance and our equity in Albemarle &amp; Bond’s net assets represents the </w:t>
      </w:r>
      <w:r>
        <w:rPr>
          <w:rFonts w:ascii="inherit" w:hAnsi="inherit"/>
          <w:strike w:val="false"/>
          <w:dstrike w:val="false"/>
          <w:color w:val="000000"/>
          <w:sz w:val="17"/>
          <w:u w:val="none"/>
          <w:effect w:val="none"/>
        </w:rPr>
        <w:t>$10.0 million</w:t>
      </w:r>
      <w:r>
        <w:rPr>
          <w:sz w:val="17"/>
        </w:rPr>
        <w:t xml:space="preserve"> </w:t>
      </w:r>
      <w:r>
        <w:rPr>
          <w:rFonts w:ascii="inherit" w:hAnsi="inherit"/>
          <w:sz w:val="17"/>
        </w:rPr>
        <w:t xml:space="preserve">of unamortized goodwill, plus the cumulative difference resulting from Albemarle &amp; Bond’s earnings, dividend payments and translation gains and losses since the dates of investment. Albermarle &amp; Bond's accumulated undistributed after-tax earnings included in our consolidated retained earnings were </w:t>
      </w:r>
      <w:r>
        <w:rPr>
          <w:rFonts w:ascii="inherit" w:hAnsi="inherit"/>
          <w:strike w:val="false"/>
          <w:dstrike w:val="false"/>
          <w:color w:val="000000"/>
          <w:sz w:val="17"/>
          <w:u w:val="none"/>
          <w:effect w:val="none"/>
        </w:rPr>
        <w:t>$27.6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w:t>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we owned </w:t>
      </w:r>
      <w:r>
        <w:rPr>
          <w:rFonts w:ascii="inherit" w:hAnsi="inherit"/>
          <w:strike w:val="false"/>
          <w:dstrike w:val="false"/>
          <w:color w:val="000000"/>
          <w:sz w:val="17"/>
          <w:u w:val="none"/>
          <w:effect w:val="none"/>
        </w:rPr>
        <w:t>124,418,000</w:t>
      </w:r>
      <w:r>
        <w:rPr>
          <w:sz w:val="17"/>
        </w:rPr>
        <w:t xml:space="preserve"> </w:t>
      </w:r>
      <w:r>
        <w:rPr>
          <w:rFonts w:ascii="inherit" w:hAnsi="inherit"/>
          <w:sz w:val="17"/>
        </w:rPr>
        <w:t xml:space="preserve">shares, or approximately </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of the total ordinary shares of Cash Converters International Limited, which is a publicly-traded company headquartered in Perth, Australia. We acquired the shares between November 2009 and May 2010 for approximately </w:t>
      </w:r>
      <w:r>
        <w:rPr>
          <w:rFonts w:ascii="inherit" w:hAnsi="inherit"/>
          <w:strike w:val="false"/>
          <w:dstrike w:val="false"/>
          <w:color w:val="000000"/>
          <w:sz w:val="17"/>
          <w:u w:val="none"/>
          <w:effect w:val="none"/>
        </w:rPr>
        <w:t>$57.8 million</w:t>
      </w:r>
      <w:r>
        <w:rPr>
          <w:rFonts w:ascii="inherit" w:hAnsi="inherit"/>
          <w:sz w:val="17"/>
        </w:rPr>
        <w:t xml:space="preserve">. Cash Converters franchises and operates a worldwide network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58</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of approximately </w:t>
      </w:r>
      <w:r>
        <w:rPr>
          <w:rFonts w:ascii="inherit" w:hAnsi="inherit"/>
          <w:strike w:val="false"/>
          <w:dstrike w:val="false"/>
          <w:color w:val="000000"/>
          <w:sz w:val="17"/>
          <w:u w:val="none"/>
          <w:effect w:val="none"/>
        </w:rPr>
        <w:t>700</w:t>
      </w:r>
      <w:r>
        <w:rPr>
          <w:sz w:val="17"/>
        </w:rPr>
        <w:t xml:space="preserve"> </w:t>
      </w:r>
      <w:r>
        <w:rPr>
          <w:rFonts w:ascii="inherit" w:hAnsi="inherit"/>
          <w:sz w:val="17"/>
        </w:rPr>
        <w:t>specialty financial services and retail stores that provide pawn loans, short-term unsecured loans and other consumer finance products, and buy and sell second-hand goods. Cash Converters has significant store concentrations in Australia and the United Kingdom.</w:t>
      </w:r>
    </w:p>
    <w:p>
      <w:pPr>
        <w:pStyle w:val="TextBody"/>
        <w:spacing w:lineRule="auto" w:line="288" w:before="0" w:after="0"/>
        <w:jc w:val="left"/>
        <w:rPr>
          <w:sz w:val="17"/>
        </w:rPr>
      </w:pPr>
      <w:r>
        <w:rPr>
          <w:rFonts w:ascii="inherit" w:hAnsi="inherit"/>
          <w:sz w:val="17"/>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Due to the three-month lag, income reported for our fiscal years ended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represents our percentage interest in the results of cash Converters’ operations from </w:t>
      </w:r>
      <w:r>
        <w:rPr>
          <w:rFonts w:ascii="inherit" w:hAnsi="inherit"/>
          <w:strike w:val="false"/>
          <w:dstrike w:val="false"/>
          <w:color w:val="000000"/>
          <w:sz w:val="17"/>
          <w:u w:val="none"/>
          <w:effect w:val="none"/>
        </w:rPr>
        <w:t>July 1, 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from </w:t>
      </w:r>
      <w:r>
        <w:rPr>
          <w:rFonts w:ascii="inherit" w:hAnsi="inherit"/>
          <w:strike w:val="false"/>
          <w:dstrike w:val="false"/>
          <w:color w:val="000000"/>
          <w:sz w:val="17"/>
          <w:u w:val="none"/>
          <w:effect w:val="none"/>
        </w:rPr>
        <w:t>July 1, 2010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June 30, 2011</w:t>
      </w:r>
      <w:r>
        <w:rPr>
          <w:rFonts w:ascii="inherit" w:hAnsi="inherit"/>
          <w:sz w:val="17"/>
        </w:rPr>
        <w:t xml:space="preserve">. Our results for the twelve-month period ended </w:t>
      </w:r>
      <w:r>
        <w:rPr>
          <w:rFonts w:ascii="inherit" w:hAnsi="inherit"/>
          <w:strike w:val="false"/>
          <w:dstrike w:val="false"/>
          <w:color w:val="000000"/>
          <w:sz w:val="17"/>
          <w:u w:val="none"/>
          <w:effect w:val="none"/>
        </w:rPr>
        <w:t>September 30, 2010</w:t>
      </w:r>
      <w:r>
        <w:rPr>
          <w:sz w:val="17"/>
        </w:rPr>
        <w:t xml:space="preserve"> </w:t>
      </w:r>
      <w:r>
        <w:rPr>
          <w:rFonts w:ascii="inherit" w:hAnsi="inherit"/>
          <w:sz w:val="17"/>
        </w:rPr>
        <w:t xml:space="preserve">include our percentage interest in Cash Converters’ </w:t>
      </w:r>
      <w:r>
        <w:rPr>
          <w:rFonts w:ascii="inherit" w:hAnsi="inherit"/>
          <w:strike w:val="false"/>
          <w:dstrike w:val="false"/>
          <w:color w:val="000000"/>
          <w:sz w:val="17"/>
          <w:u w:val="none"/>
          <w:effect w:val="none"/>
        </w:rPr>
        <w:t>237</w:t>
      </w:r>
      <w:r>
        <w:rPr>
          <w:sz w:val="17"/>
        </w:rPr>
        <w:t> </w:t>
      </w:r>
      <w:r>
        <w:rPr>
          <w:rFonts w:ascii="inherit" w:hAnsi="inherit"/>
          <w:sz w:val="17"/>
        </w:rPr>
        <w:t xml:space="preserve">days of earnings from November 6, 2009 to June 30, 2010. This amount was estimated through daily proration of Cash Converters’ reported results for the twelve months ended June 30, 2010. In fiscal </w:t>
      </w:r>
      <w:r>
        <w:rPr>
          <w:rFonts w:ascii="inherit" w:hAnsi="inherit"/>
          <w:strike w:val="false"/>
          <w:dstrike w:val="false"/>
          <w:color w:val="000000"/>
          <w:sz w:val="17"/>
          <w:u w:val="none"/>
          <w:effect w:val="none"/>
        </w:rPr>
        <w:t>2012</w:t>
      </w:r>
      <w:r>
        <w:rPr>
          <w:rFonts w:ascii="inherit" w:hAnsi="inherit"/>
          <w:sz w:val="17"/>
        </w:rPr>
        <w:t xml:space="preserve">,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sz w:val="17"/>
        </w:rPr>
        <w:t xml:space="preserve"> </w:t>
      </w:r>
      <w:r>
        <w:rPr>
          <w:rFonts w:ascii="inherit" w:hAnsi="inherit"/>
          <w:sz w:val="17"/>
        </w:rPr>
        <w:t xml:space="preserve">we recorded dividends from Cash Converters of </w:t>
      </w:r>
      <w:r>
        <w:rPr>
          <w:rFonts w:ascii="inherit" w:hAnsi="inherit"/>
          <w:strike w:val="false"/>
          <w:dstrike w:val="false"/>
          <w:color w:val="000000"/>
          <w:sz w:val="17"/>
          <w:u w:val="none"/>
          <w:effect w:val="none"/>
        </w:rPr>
        <w:t>$4.4 million</w:t>
      </w:r>
      <w:r>
        <w:rPr>
          <w:rFonts w:ascii="inherit" w:hAnsi="inherit"/>
          <w:sz w:val="17"/>
        </w:rPr>
        <w:t xml:space="preserve">, </w:t>
      </w:r>
      <w:r>
        <w:rPr>
          <w:rFonts w:ascii="inherit" w:hAnsi="inherit"/>
          <w:strike w:val="false"/>
          <w:dstrike w:val="false"/>
          <w:color w:val="000000"/>
          <w:sz w:val="17"/>
          <w:u w:val="none"/>
          <w:effect w:val="none"/>
        </w:rPr>
        <w:t>$4.1 million</w:t>
      </w:r>
      <w:r>
        <w:rPr>
          <w:sz w:val="17"/>
        </w:rPr>
        <w:t xml:space="preserve"> </w:t>
      </w:r>
      <w:r>
        <w:rPr>
          <w:rFonts w:ascii="inherit" w:hAnsi="inherit"/>
          <w:sz w:val="17"/>
        </w:rPr>
        <w:t>and $</w:t>
      </w:r>
      <w:r>
        <w:rPr>
          <w:rFonts w:ascii="inherit" w:hAnsi="inherit"/>
          <w:strike w:val="false"/>
          <w:dstrike w:val="false"/>
          <w:color w:val="000000"/>
          <w:sz w:val="17"/>
          <w:u w:val="none"/>
          <w:effect w:val="none"/>
        </w:rPr>
        <w:t>1.5 million</w:t>
      </w:r>
      <w:r>
        <w:rPr>
          <w:rFonts w:ascii="inherit" w:hAnsi="inherit"/>
          <w:sz w:val="17"/>
        </w:rPr>
        <w:t xml:space="preserve">, respectfully. Cash Converters’ accumulated undistributed after-tax earnings included in our consolidated retained earnings were </w:t>
      </w:r>
      <w:r>
        <w:rPr>
          <w:rFonts w:ascii="inherit" w:hAnsi="inherit"/>
          <w:strike w:val="false"/>
          <w:dstrike w:val="false"/>
          <w:color w:val="000000"/>
          <w:sz w:val="17"/>
          <w:u w:val="none"/>
          <w:effect w:val="none"/>
        </w:rPr>
        <w:t>$12.8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jc w:val="left"/>
        <w:rPr>
          <w:sz w:val="17"/>
        </w:rPr>
      </w:pPr>
      <w:r>
        <w:rPr>
          <w:rFonts w:ascii="inherit" w:hAnsi="inherit"/>
          <w:sz w:val="17"/>
        </w:rPr>
        <w:t xml:space="preserve">Conversion of Cash Converters’ financial statements into US GAAP resulted in </w:t>
      </w:r>
      <w:r>
        <w:rPr>
          <w:rFonts w:ascii="inherit" w:hAnsi="inherit"/>
          <w:strike w:val="false"/>
          <w:dstrike w:val="false"/>
          <w:color w:val="000000"/>
          <w:sz w:val="17"/>
          <w:u w:val="none"/>
          <w:effect w:val="none"/>
        </w:rPr>
        <w:t>no</w:t>
      </w:r>
      <w:r>
        <w:rPr>
          <w:sz w:val="17"/>
        </w:rPr>
        <w:t xml:space="preserve"> </w:t>
      </w:r>
      <w:r>
        <w:rPr>
          <w:rFonts w:ascii="inherit" w:hAnsi="inherit"/>
          <w:sz w:val="17"/>
        </w:rPr>
        <w:t>material differences from those reported by Cash Converters following IFRS.</w:t>
      </w:r>
    </w:p>
    <w:p>
      <w:pPr>
        <w:pStyle w:val="TextBody"/>
        <w:spacing w:lineRule="auto" w:line="288" w:before="0" w:after="0"/>
        <w:jc w:val="left"/>
        <w:rPr>
          <w:sz w:val="17"/>
        </w:rPr>
      </w:pPr>
      <w:r>
        <w:rPr>
          <w:rFonts w:ascii="inherit" w:hAnsi="inherit"/>
          <w:sz w:val="17"/>
        </w:rPr>
        <w:t xml:space="preserve">In its functional currency of Australian dollars, Cash Converters’ total assets increased </w:t>
      </w:r>
      <w:r>
        <w:rPr>
          <w:rFonts w:ascii="inherit" w:hAnsi="inherit"/>
          <w:strike w:val="false"/>
          <w:dstrike w:val="false"/>
          <w:color w:val="000000"/>
          <w:sz w:val="17"/>
          <w:u w:val="none"/>
          <w:effect w:val="none"/>
        </w:rPr>
        <w:t>17%</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June 30, 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its net income improved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for the year ended </w:t>
      </w:r>
      <w:r>
        <w:rPr>
          <w:rFonts w:ascii="inherit" w:hAnsi="inherit"/>
          <w:strike w:val="false"/>
          <w:dstrike w:val="false"/>
          <w:color w:val="000000"/>
          <w:sz w:val="17"/>
          <w:u w:val="none"/>
          <w:effect w:val="none"/>
        </w:rPr>
        <w:t>June 30, 2012</w:t>
      </w:r>
      <w:r>
        <w:rPr>
          <w:rFonts w:ascii="inherit" w:hAnsi="inherit"/>
          <w:sz w:val="17"/>
        </w:rPr>
        <w:t>. The following table presents summary financial information for Cash Converters’ most recently reported results after translation to U.S. dollars (using the exchange rate as of June 30 of each year for balance sheet items and average exchange rates for the income statement items for the periods indicated):</w:t>
      </w:r>
    </w:p>
    <w:tbl>
      <w:tblPr>
        <w:tblW w:w="10205" w:type="dxa"/>
        <w:jc w:val="left"/>
        <w:tblInd w:w="0" w:type="dxa"/>
        <w:tblCellMar>
          <w:top w:w="0" w:type="dxa"/>
          <w:left w:w="0" w:type="dxa"/>
          <w:bottom w:w="0" w:type="dxa"/>
          <w:right w:w="0" w:type="dxa"/>
        </w:tblCellMar>
      </w:tblPr>
      <w:tblGrid>
        <w:gridCol w:w="6985"/>
        <w:gridCol w:w="155"/>
        <w:gridCol w:w="1237"/>
        <w:gridCol w:w="100"/>
        <w:gridCol w:w="135"/>
        <w:gridCol w:w="155"/>
        <w:gridCol w:w="1237"/>
        <w:gridCol w:w="20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9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85" w:type="dxa"/>
            <w:tcBorders/>
            <w:shd w:fill="auto" w:val="clear"/>
            <w:vAlign w:val="center"/>
          </w:tcPr>
          <w:p>
            <w:pPr>
              <w:pStyle w:val="TableContents"/>
              <w:spacing w:before="0" w:after="0"/>
              <w:ind w:left="0" w:right="0" w:firstLine="30"/>
              <w:jc w:val="left"/>
              <w:rPr/>
            </w:pPr>
            <w:r>
              <w:rPr/>
              <w:t> </w:t>
            </w:r>
          </w:p>
        </w:tc>
        <w:tc>
          <w:tcPr>
            <w:tcW w:w="322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of June 30,</w:t>
            </w:r>
          </w:p>
        </w:tc>
      </w:tr>
      <w:tr>
        <w:trPr/>
        <w:tc>
          <w:tcPr>
            <w:tcW w:w="6985" w:type="dxa"/>
            <w:tcBorders/>
            <w:shd w:fill="auto" w:val="clear"/>
            <w:vAlign w:val="center"/>
          </w:tcPr>
          <w:p>
            <w:pPr>
              <w:pStyle w:val="TableContents"/>
              <w:spacing w:before="0" w:after="0"/>
              <w:ind w:left="0" w:right="0" w:firstLine="30"/>
              <w:jc w:val="left"/>
              <w:rPr/>
            </w:pPr>
            <w:r>
              <w:rPr/>
              <w:t> </w:t>
            </w:r>
          </w:p>
        </w:tc>
        <w:tc>
          <w:tcPr>
            <w:tcW w:w="14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5" w:type="dxa"/>
            <w:tcBorders/>
            <w:shd w:fill="auto" w:val="clear"/>
            <w:vAlign w:val="center"/>
          </w:tcPr>
          <w:p>
            <w:pPr>
              <w:pStyle w:val="TableContents"/>
              <w:spacing w:before="0" w:after="0"/>
              <w:ind w:left="0" w:right="0" w:firstLine="30"/>
              <w:rPr/>
            </w:pPr>
            <w:r>
              <w:rPr/>
              <w:t> </w:t>
            </w:r>
          </w:p>
        </w:tc>
        <w:tc>
          <w:tcPr>
            <w:tcW w:w="15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985" w:type="dxa"/>
            <w:tcBorders/>
            <w:shd w:fill="auto" w:val="clear"/>
            <w:vAlign w:val="center"/>
          </w:tcPr>
          <w:p>
            <w:pPr>
              <w:pStyle w:val="TableContents"/>
              <w:spacing w:before="0" w:after="0"/>
              <w:ind w:left="0" w:right="0" w:firstLine="30"/>
              <w:jc w:val="left"/>
              <w:rPr/>
            </w:pPr>
            <w:r>
              <w:rPr/>
              <w:t> </w:t>
            </w:r>
          </w:p>
        </w:tc>
        <w:tc>
          <w:tcPr>
            <w:tcW w:w="322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shd w:fill="CCEEFF" w:val="clear"/>
            <w:vAlign w:val="center"/>
          </w:tcPr>
          <w:p>
            <w:pPr>
              <w:pStyle w:val="TableContents"/>
              <w:spacing w:before="0" w:after="0"/>
              <w:jc w:val="right"/>
              <w:rPr>
                <w:rFonts w:ascii="inherit" w:hAnsi="inherit"/>
                <w:sz w:val="17"/>
              </w:rPr>
            </w:pPr>
            <w:r>
              <w:rPr>
                <w:rFonts w:ascii="inherit" w:hAnsi="inherit"/>
                <w:sz w:val="17"/>
              </w:rPr>
              <w:t>137,646</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shd w:fill="CCEEFF" w:val="clear"/>
            <w:vAlign w:val="center"/>
          </w:tcPr>
          <w:p>
            <w:pPr>
              <w:pStyle w:val="TableContents"/>
              <w:spacing w:before="0" w:after="0"/>
              <w:jc w:val="right"/>
              <w:rPr>
                <w:rFonts w:ascii="inherit" w:hAnsi="inherit"/>
                <w:sz w:val="17"/>
              </w:rPr>
            </w:pPr>
            <w:r>
              <w:rPr>
                <w:rFonts w:ascii="inherit" w:hAnsi="inherit"/>
                <w:sz w:val="17"/>
              </w:rPr>
              <w:t>119,633</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3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129,274</w:t>
            </w:r>
          </w:p>
        </w:tc>
        <w:tc>
          <w:tcPr>
            <w:tcW w:w="1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117,301</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266,920</w:t>
            </w:r>
          </w:p>
        </w:tc>
        <w:tc>
          <w:tcPr>
            <w:tcW w:w="10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236,934</w:t>
            </w:r>
          </w:p>
        </w:tc>
        <w:tc>
          <w:tcPr>
            <w:tcW w:w="20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shd w:fill="auto" w:val="clear"/>
            <w:vAlign w:val="center"/>
          </w:tcPr>
          <w:p>
            <w:pPr>
              <w:pStyle w:val="TableContents"/>
              <w:spacing w:before="0" w:after="0"/>
              <w:jc w:val="right"/>
              <w:rPr>
                <w:rFonts w:ascii="inherit" w:hAnsi="inherit"/>
                <w:sz w:val="17"/>
              </w:rPr>
            </w:pPr>
            <w:r>
              <w:rPr>
                <w:rFonts w:ascii="inherit" w:hAnsi="inherit"/>
                <w:sz w:val="17"/>
              </w:rPr>
              <w:t>45,392</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shd w:fill="auto" w:val="clear"/>
            <w:vAlign w:val="center"/>
          </w:tcPr>
          <w:p>
            <w:pPr>
              <w:pStyle w:val="TableContents"/>
              <w:spacing w:before="0" w:after="0"/>
              <w:jc w:val="right"/>
              <w:rPr>
                <w:rFonts w:ascii="inherit" w:hAnsi="inherit"/>
                <w:sz w:val="17"/>
              </w:rPr>
            </w:pPr>
            <w:r>
              <w:rPr>
                <w:rFonts w:ascii="inherit" w:hAnsi="inherit"/>
                <w:sz w:val="17"/>
              </w:rPr>
              <w:t>38,105</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3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31,928</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19,180</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3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189,600</w:t>
            </w:r>
          </w:p>
        </w:tc>
        <w:tc>
          <w:tcPr>
            <w:tcW w:w="1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179,649</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266,920</w:t>
            </w:r>
          </w:p>
        </w:tc>
        <w:tc>
          <w:tcPr>
            <w:tcW w:w="10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236,934</w:t>
            </w:r>
          </w:p>
        </w:tc>
        <w:tc>
          <w:tcPr>
            <w:tcW w:w="20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6527"/>
        <w:gridCol w:w="125"/>
        <w:gridCol w:w="922"/>
        <w:gridCol w:w="100"/>
        <w:gridCol w:w="115"/>
        <w:gridCol w:w="125"/>
        <w:gridCol w:w="922"/>
        <w:gridCol w:w="100"/>
        <w:gridCol w:w="115"/>
        <w:gridCol w:w="125"/>
        <w:gridCol w:w="922"/>
        <w:gridCol w:w="107"/>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5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7" w:type="dxa"/>
            <w:tcBorders/>
            <w:shd w:fill="auto" w:val="clear"/>
            <w:vAlign w:val="center"/>
          </w:tcPr>
          <w:p>
            <w:pPr>
              <w:pStyle w:val="TableContents"/>
              <w:spacing w:before="0" w:after="0"/>
              <w:ind w:left="0" w:right="0" w:firstLine="30"/>
              <w:jc w:val="left"/>
              <w:rPr/>
            </w:pPr>
            <w:r>
              <w:rPr/>
              <w:t> </w:t>
            </w:r>
          </w:p>
        </w:tc>
        <w:tc>
          <w:tcPr>
            <w:tcW w:w="367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June 30,</w:t>
            </w:r>
          </w:p>
        </w:tc>
      </w:tr>
      <w:tr>
        <w:trPr/>
        <w:tc>
          <w:tcPr>
            <w:tcW w:w="6527" w:type="dxa"/>
            <w:tcBorders/>
            <w:shd w:fill="auto" w:val="clear"/>
            <w:vAlign w:val="center"/>
          </w:tcPr>
          <w:p>
            <w:pPr>
              <w:pStyle w:val="TableContents"/>
              <w:spacing w:before="0" w:after="0"/>
              <w:ind w:left="0" w:right="0" w:firstLine="30"/>
              <w:jc w:val="left"/>
              <w:rPr/>
            </w:pPr>
            <w:r>
              <w:rPr/>
              <w:t> </w:t>
            </w:r>
          </w:p>
        </w:tc>
        <w:tc>
          <w:tcPr>
            <w:tcW w:w="114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5" w:type="dxa"/>
            <w:tcBorders/>
            <w:shd w:fill="auto" w:val="clear"/>
            <w:vAlign w:val="center"/>
          </w:tcPr>
          <w:p>
            <w:pPr>
              <w:pStyle w:val="TableContents"/>
              <w:spacing w:before="0" w:after="0"/>
              <w:ind w:left="0" w:right="0" w:firstLine="30"/>
              <w:rPr/>
            </w:pPr>
            <w:r>
              <w:rPr/>
              <w:t> </w:t>
            </w:r>
          </w:p>
        </w:tc>
        <w:tc>
          <w:tcPr>
            <w:tcW w:w="114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5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6527" w:type="dxa"/>
            <w:tcBorders/>
            <w:shd w:fill="auto" w:val="clear"/>
            <w:vAlign w:val="center"/>
          </w:tcPr>
          <w:p>
            <w:pPr>
              <w:pStyle w:val="TableContents"/>
              <w:spacing w:before="0" w:after="0"/>
              <w:ind w:left="0" w:right="0" w:firstLine="30"/>
              <w:jc w:val="left"/>
              <w:rPr/>
            </w:pPr>
            <w:r>
              <w:rPr/>
              <w:t> </w:t>
            </w:r>
          </w:p>
        </w:tc>
        <w:tc>
          <w:tcPr>
            <w:tcW w:w="3678"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CCEEFF" w:val="clear"/>
            <w:vAlign w:val="center"/>
          </w:tcPr>
          <w:p>
            <w:pPr>
              <w:pStyle w:val="TableContents"/>
              <w:spacing w:before="0" w:after="0"/>
              <w:jc w:val="right"/>
              <w:rPr>
                <w:rFonts w:ascii="inherit" w:hAnsi="inherit"/>
                <w:sz w:val="17"/>
              </w:rPr>
            </w:pPr>
            <w:r>
              <w:rPr>
                <w:rFonts w:ascii="inherit" w:hAnsi="inherit"/>
                <w:sz w:val="17"/>
              </w:rPr>
              <w:t>241,924</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CCEEFF" w:val="clear"/>
            <w:vAlign w:val="center"/>
          </w:tcPr>
          <w:p>
            <w:pPr>
              <w:pStyle w:val="TableContents"/>
              <w:spacing w:before="0" w:after="0"/>
              <w:jc w:val="right"/>
              <w:rPr>
                <w:rFonts w:ascii="inherit" w:hAnsi="inherit"/>
                <w:sz w:val="17"/>
              </w:rPr>
            </w:pPr>
            <w:r>
              <w:rPr>
                <w:rFonts w:ascii="inherit" w:hAnsi="inherit"/>
                <w:sz w:val="17"/>
              </w:rPr>
              <w:t>184,315</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CCEEFF" w:val="clear"/>
            <w:vAlign w:val="center"/>
          </w:tcPr>
          <w:p>
            <w:pPr>
              <w:pStyle w:val="TableContents"/>
              <w:spacing w:before="0" w:after="0"/>
              <w:jc w:val="right"/>
              <w:rPr>
                <w:rFonts w:ascii="inherit" w:hAnsi="inherit"/>
                <w:sz w:val="17"/>
              </w:rPr>
            </w:pPr>
            <w:r>
              <w:rPr>
                <w:rFonts w:ascii="inherit" w:hAnsi="inherit"/>
                <w:sz w:val="17"/>
              </w:rPr>
              <w:t>111,218</w:t>
            </w:r>
          </w:p>
        </w:tc>
        <w:tc>
          <w:tcPr>
            <w:tcW w:w="1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0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162,598</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126,628</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84,296</w:t>
            </w:r>
          </w:p>
        </w:tc>
        <w:tc>
          <w:tcPr>
            <w:tcW w:w="1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0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30,366</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27,385</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19,122</w:t>
            </w:r>
          </w:p>
        </w:tc>
        <w:tc>
          <w:tcPr>
            <w:tcW w:w="10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the recorded balance of our investment in Cash Converters, accounted for on the equity method, was </w:t>
      </w:r>
      <w:r>
        <w:rPr>
          <w:rFonts w:ascii="inherit" w:hAnsi="inherit"/>
          <w:strike w:val="false"/>
          <w:dstrike w:val="false"/>
          <w:color w:val="000000"/>
          <w:sz w:val="17"/>
          <w:u w:val="none"/>
          <w:effect w:val="none"/>
        </w:rPr>
        <w:t>$74.3 million</w:t>
      </w:r>
      <w:r>
        <w:rPr>
          <w:rFonts w:ascii="inherit" w:hAnsi="inherit"/>
          <w:sz w:val="17"/>
        </w:rPr>
        <w:t xml:space="preserve">. Because Cash Converters publicly reports its financial results only semi-annually as of June 30 and December 31, the latest Cash Converters figures available are as of </w:t>
      </w:r>
      <w:r>
        <w:rPr>
          <w:rFonts w:ascii="inherit" w:hAnsi="inherit"/>
          <w:strike w:val="false"/>
          <w:dstrike w:val="false"/>
          <w:color w:val="000000"/>
          <w:sz w:val="17"/>
          <w:u w:val="none"/>
          <w:effect w:val="none"/>
        </w:rPr>
        <w:t>June 30, 2012</w:t>
      </w:r>
      <w:r>
        <w:rPr>
          <w:rFonts w:ascii="inherit" w:hAnsi="inherit"/>
          <w:sz w:val="17"/>
        </w:rPr>
        <w:t xml:space="preserve">, at which point our equity in net assets of Cash Converters was </w:t>
      </w:r>
      <w:r>
        <w:rPr>
          <w:rFonts w:ascii="inherit" w:hAnsi="inherit"/>
          <w:strike w:val="false"/>
          <w:dstrike w:val="false"/>
          <w:color w:val="000000"/>
          <w:sz w:val="17"/>
          <w:u w:val="none"/>
          <w:effect w:val="none"/>
        </w:rPr>
        <w:t>$62.1 million</w:t>
      </w:r>
      <w:r>
        <w:rPr>
          <w:rFonts w:ascii="inherit" w:hAnsi="inherit"/>
          <w:sz w:val="17"/>
        </w:rPr>
        <w:t xml:space="preserve">. The difference between the recorded balance and our equity in Cash Converters’ net assets represents the </w:t>
      </w:r>
      <w:r>
        <w:rPr>
          <w:rFonts w:ascii="inherit" w:hAnsi="inherit"/>
          <w:strike w:val="false"/>
          <w:dstrike w:val="false"/>
          <w:color w:val="000000"/>
          <w:sz w:val="17"/>
          <w:u w:val="none"/>
          <w:effect w:val="none"/>
        </w:rPr>
        <w:t>$15.0 million</w:t>
      </w:r>
      <w:r>
        <w:rPr>
          <w:sz w:val="17"/>
        </w:rPr>
        <w:t xml:space="preserve"> </w:t>
      </w:r>
      <w:r>
        <w:rPr>
          <w:rFonts w:ascii="inherit" w:hAnsi="inherit"/>
          <w:sz w:val="17"/>
        </w:rPr>
        <w:t>of unamortized goodwill, plus the cumulative difference resulting from Cash Converters’ earnings, dividend payments and translation gains and losses since the dates of investment.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59</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table below summarizes the recorded value and fair value of each of these strategic investments at the dates indicated. These fair values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w:t>
      </w:r>
    </w:p>
    <w:tbl>
      <w:tblPr>
        <w:tblW w:w="10205" w:type="dxa"/>
        <w:jc w:val="left"/>
        <w:tblInd w:w="0" w:type="dxa"/>
        <w:tblCellMar>
          <w:top w:w="0" w:type="dxa"/>
          <w:left w:w="0" w:type="dxa"/>
          <w:bottom w:w="0" w:type="dxa"/>
          <w:right w:w="0" w:type="dxa"/>
        </w:tblCellMar>
      </w:tblPr>
      <w:tblGrid>
        <w:gridCol w:w="6746"/>
        <w:gridCol w:w="178"/>
        <w:gridCol w:w="1258"/>
        <w:gridCol w:w="102"/>
        <w:gridCol w:w="150"/>
        <w:gridCol w:w="178"/>
        <w:gridCol w:w="1258"/>
        <w:gridCol w:w="335"/>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7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46" w:type="dxa"/>
            <w:tcBorders/>
            <w:shd w:fill="auto" w:val="clear"/>
            <w:vAlign w:val="center"/>
          </w:tcPr>
          <w:p>
            <w:pPr>
              <w:pStyle w:val="TableContents"/>
              <w:spacing w:before="0" w:after="0"/>
              <w:ind w:left="0" w:right="0" w:firstLine="30"/>
              <w:jc w:val="left"/>
              <w:rPr/>
            </w:pPr>
            <w:r>
              <w:rPr/>
              <w:t> </w:t>
            </w:r>
          </w:p>
        </w:tc>
        <w:tc>
          <w:tcPr>
            <w:tcW w:w="345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6746" w:type="dxa"/>
            <w:tcBorders/>
            <w:shd w:fill="auto" w:val="clear"/>
            <w:vAlign w:val="center"/>
          </w:tcPr>
          <w:p>
            <w:pPr>
              <w:pStyle w:val="TableContents"/>
              <w:spacing w:before="0" w:after="0"/>
              <w:ind w:left="0" w:right="0" w:firstLine="30"/>
              <w:jc w:val="left"/>
              <w:rPr/>
            </w:pPr>
            <w:r>
              <w:rPr/>
              <w:t> </w:t>
            </w:r>
          </w:p>
        </w:tc>
        <w:tc>
          <w:tcPr>
            <w:tcW w:w="15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0" w:type="dxa"/>
            <w:tcBorders/>
            <w:shd w:fill="auto" w:val="clear"/>
            <w:vAlign w:val="center"/>
          </w:tcPr>
          <w:p>
            <w:pPr>
              <w:pStyle w:val="TableContents"/>
              <w:spacing w:before="0" w:after="0"/>
              <w:ind w:left="0" w:right="0" w:firstLine="30"/>
              <w:rPr/>
            </w:pPr>
            <w:r>
              <w:rPr/>
              <w:t> </w:t>
            </w:r>
          </w:p>
        </w:tc>
        <w:tc>
          <w:tcPr>
            <w:tcW w:w="17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746" w:type="dxa"/>
            <w:tcBorders/>
            <w:shd w:fill="auto" w:val="clear"/>
            <w:vAlign w:val="center"/>
          </w:tcPr>
          <w:p>
            <w:pPr>
              <w:pStyle w:val="TableContents"/>
              <w:spacing w:before="0" w:after="0"/>
              <w:ind w:left="0" w:right="0" w:firstLine="30"/>
              <w:jc w:val="left"/>
              <w:rPr/>
            </w:pPr>
            <w:r>
              <w:rPr/>
              <w:t> </w:t>
            </w:r>
          </w:p>
        </w:tc>
        <w:tc>
          <w:tcPr>
            <w:tcW w:w="345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of U.S. dollars)</w:t>
            </w:r>
          </w:p>
        </w:tc>
      </w:tr>
      <w:tr>
        <w:trPr/>
        <w:tc>
          <w:tcPr>
            <w:tcW w:w="6746"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Albemarle &amp; Bond:</w:t>
            </w:r>
          </w:p>
        </w:tc>
        <w:tc>
          <w:tcPr>
            <w:tcW w:w="1538" w:type="dxa"/>
            <w:gridSpan w:val="3"/>
            <w:tcBorders/>
            <w:shd w:fill="CCEEFF" w:val="clear"/>
            <w:vAlign w:val="center"/>
          </w:tcPr>
          <w:p>
            <w:pPr>
              <w:pStyle w:val="TableContents"/>
              <w:spacing w:before="0" w:after="0"/>
              <w:ind w:left="0" w:right="0" w:firstLine="30"/>
              <w:jc w:val="left"/>
              <w:rPr/>
            </w:pPr>
            <w:r>
              <w:rPr/>
              <w:t> </w:t>
            </w:r>
          </w:p>
        </w:tc>
        <w:tc>
          <w:tcPr>
            <w:tcW w:w="150" w:type="dxa"/>
            <w:tcBorders/>
            <w:shd w:fill="CCEEFF" w:val="clear"/>
            <w:vAlign w:val="center"/>
          </w:tcPr>
          <w:p>
            <w:pPr>
              <w:pStyle w:val="TableContents"/>
              <w:spacing w:before="0" w:after="0"/>
              <w:ind w:left="0" w:right="0" w:firstLine="30"/>
              <w:rPr/>
            </w:pPr>
            <w:r>
              <w:rPr/>
              <w:t> </w:t>
            </w:r>
          </w:p>
        </w:tc>
        <w:tc>
          <w:tcPr>
            <w:tcW w:w="1771" w:type="dxa"/>
            <w:gridSpan w:val="3"/>
            <w:tcBorders/>
            <w:shd w:fill="CCEEFF" w:val="clear"/>
            <w:vAlign w:val="center"/>
          </w:tcPr>
          <w:p>
            <w:pPr>
              <w:pStyle w:val="TableContents"/>
              <w:spacing w:before="0" w:after="0"/>
              <w:ind w:left="0" w:right="0" w:firstLine="300"/>
              <w:jc w:val="left"/>
              <w:rPr/>
            </w:pPr>
            <w:r>
              <w:rPr/>
              <w:t> </w:t>
            </w:r>
          </w:p>
        </w:tc>
      </w:tr>
      <w:tr>
        <w:trPr/>
        <w:tc>
          <w:tcPr>
            <w:tcW w:w="67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58" w:type="dxa"/>
            <w:tcBorders/>
            <w:shd w:fill="auto" w:val="clear"/>
            <w:vAlign w:val="center"/>
          </w:tcPr>
          <w:p>
            <w:pPr>
              <w:pStyle w:val="TableContents"/>
              <w:spacing w:before="0" w:after="0"/>
              <w:jc w:val="right"/>
              <w:rPr>
                <w:rFonts w:ascii="inherit" w:hAnsi="inherit"/>
                <w:sz w:val="17"/>
              </w:rPr>
            </w:pPr>
            <w:r>
              <w:rPr>
                <w:rFonts w:ascii="inherit" w:hAnsi="inherit"/>
                <w:sz w:val="17"/>
              </w:rPr>
              <w:t>51,812</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58" w:type="dxa"/>
            <w:tcBorders/>
            <w:shd w:fill="auto" w:val="clear"/>
            <w:vAlign w:val="center"/>
          </w:tcPr>
          <w:p>
            <w:pPr>
              <w:pStyle w:val="TableContents"/>
              <w:spacing w:before="0" w:after="0"/>
              <w:jc w:val="right"/>
              <w:rPr>
                <w:rFonts w:ascii="inherit" w:hAnsi="inherit"/>
                <w:sz w:val="17"/>
              </w:rPr>
            </w:pPr>
            <w:r>
              <w:rPr>
                <w:rFonts w:ascii="inherit" w:hAnsi="inherit"/>
                <w:sz w:val="17"/>
              </w:rPr>
              <w:t>48,361</w:t>
            </w:r>
          </w:p>
        </w:tc>
        <w:tc>
          <w:tcPr>
            <w:tcW w:w="33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7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4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65,109</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91,741</w:t>
            </w:r>
          </w:p>
        </w:tc>
        <w:tc>
          <w:tcPr>
            <w:tcW w:w="3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6"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Converters:</w:t>
            </w:r>
          </w:p>
        </w:tc>
        <w:tc>
          <w:tcPr>
            <w:tcW w:w="1538"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1771" w:type="dxa"/>
            <w:gridSpan w:val="3"/>
            <w:tcBorders/>
            <w:shd w:fill="auto" w:val="clear"/>
            <w:vAlign w:val="center"/>
          </w:tcPr>
          <w:p>
            <w:pPr>
              <w:pStyle w:val="TableContents"/>
              <w:spacing w:before="0" w:after="0"/>
              <w:ind w:left="0" w:right="0" w:firstLine="300"/>
              <w:jc w:val="left"/>
              <w:rPr/>
            </w:pPr>
            <w:r>
              <w:rPr/>
              <w:t> </w:t>
            </w:r>
          </w:p>
        </w:tc>
      </w:tr>
      <w:tr>
        <w:trPr/>
        <w:tc>
          <w:tcPr>
            <w:tcW w:w="67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4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74,254</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71,958</w:t>
            </w:r>
          </w:p>
        </w:tc>
        <w:tc>
          <w:tcPr>
            <w:tcW w:w="33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7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4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100,705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53,600</w:t>
            </w:r>
          </w:p>
        </w:tc>
        <w:tc>
          <w:tcPr>
            <w:tcW w:w="33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August 2011</w:t>
      </w:r>
      <w:r>
        <w:rPr>
          <w:rFonts w:ascii="inherit" w:hAnsi="inherit"/>
          <w:sz w:val="17"/>
        </w:rPr>
        <w:t xml:space="preserve">, legislation was proposed in Australia that would, among other things, limit the interest charged on certain consumer loans and prohibit loan extensions and refinancing. That legislation, as proposed, could have adversely affected, Cash Converters’ consumer loan business in Australia, which could have the effect of decreasing Cash Converters’ revenues and earnings. As of </w:t>
      </w:r>
      <w:r>
        <w:rPr>
          <w:rFonts w:ascii="inherit" w:hAnsi="inherit"/>
          <w:strike w:val="false"/>
          <w:dstrike w:val="false"/>
          <w:color w:val="000000"/>
          <w:sz w:val="17"/>
          <w:u w:val="none"/>
          <w:effect w:val="none"/>
        </w:rPr>
        <w:t>September 30, 2011</w:t>
      </w:r>
      <w:r>
        <w:rPr>
          <w:rFonts w:ascii="inherit" w:hAnsi="inherit"/>
          <w:sz w:val="17"/>
        </w:rPr>
        <w:t xml:space="preserve">, the fair value of our investment in Cash Converters (based on the market price of Cash Converters’ stock as of that date) was below our recorded value. In light of Cash Converters’ statements at that time regarding its ability to mitigate the potential impact of the proposed legislation, we considered this loss in value to be temporary. The Consumer Credit and Corporations Legislation Amendment (Enhancements) Bill 2011 was passed by the Australian Parliament in August 2012. While imposing new restrictions and limitations on microlending, the new law, which goes into effect on July 1, 2013, incorporates amendments that increase permitted fees and charges over what had been proposed. As of </w:t>
      </w:r>
      <w:r>
        <w:rPr>
          <w:rFonts w:ascii="inherit" w:hAnsi="inherit"/>
          <w:strike w:val="false"/>
          <w:dstrike w:val="false"/>
          <w:color w:val="000000"/>
          <w:sz w:val="17"/>
          <w:u w:val="none"/>
          <w:effect w:val="none"/>
        </w:rPr>
        <w:t>September 30, 2012</w:t>
      </w:r>
      <w:r>
        <w:rPr>
          <w:rFonts w:ascii="inherit" w:hAnsi="inherit"/>
          <w:sz w:val="17"/>
        </w:rPr>
        <w:t>, the fair value of our investment in Cash Converters was above our recorded value, further supporting our assessment of the loss in value of its stock to be temporary.</w:t>
      </w:r>
    </w:p>
    <w:p>
      <w:pPr>
        <w:pStyle w:val="TextBody"/>
        <w:spacing w:lineRule="auto" w:line="288" w:before="0" w:after="0"/>
        <w:jc w:val="left"/>
        <w:rPr>
          <w:rFonts w:ascii="inherit" w:hAnsi="inherit"/>
          <w:b/>
          <w:sz w:val="17"/>
        </w:rPr>
      </w:pPr>
      <w:bookmarkStart w:id="59" w:name="sEBAE32587B62588757860F13B88A1F97"/>
      <w:bookmarkEnd w:id="59"/>
      <w:r>
        <w:rPr>
          <w:rFonts w:ascii="inherit" w:hAnsi="inherit"/>
          <w:b/>
          <w:sz w:val="17"/>
        </w:rPr>
        <w:t>NOTE 6: PROPERTY AND EQUIPMENT</w:t>
      </w:r>
    </w:p>
    <w:p>
      <w:pPr>
        <w:pStyle w:val="TextBody"/>
        <w:spacing w:lineRule="auto" w:line="288" w:before="0" w:after="0"/>
        <w:jc w:val="left"/>
        <w:rPr>
          <w:rFonts w:ascii="inherit" w:hAnsi="inherit"/>
          <w:sz w:val="17"/>
        </w:rPr>
      </w:pPr>
      <w:r>
        <w:rPr>
          <w:rFonts w:ascii="inherit" w:hAnsi="inherit"/>
          <w:sz w:val="17"/>
        </w:rPr>
        <w:t>Major classifications of property and equipment were as follows:</w:t>
      </w:r>
    </w:p>
    <w:tbl>
      <w:tblPr>
        <w:tblW w:w="10205" w:type="dxa"/>
        <w:jc w:val="left"/>
        <w:tblInd w:w="0" w:type="dxa"/>
        <w:tblCellMar>
          <w:top w:w="0" w:type="dxa"/>
          <w:left w:w="0" w:type="dxa"/>
          <w:bottom w:w="0" w:type="dxa"/>
          <w:right w:w="0" w:type="dxa"/>
        </w:tblCellMar>
      </w:tblPr>
      <w:tblGrid>
        <w:gridCol w:w="2208"/>
        <w:gridCol w:w="125"/>
        <w:gridCol w:w="1016"/>
        <w:gridCol w:w="84"/>
        <w:gridCol w:w="110"/>
        <w:gridCol w:w="125"/>
        <w:gridCol w:w="1042"/>
        <w:gridCol w:w="119"/>
        <w:gridCol w:w="110"/>
        <w:gridCol w:w="125"/>
        <w:gridCol w:w="1016"/>
        <w:gridCol w:w="84"/>
        <w:gridCol w:w="110"/>
        <w:gridCol w:w="125"/>
        <w:gridCol w:w="1016"/>
        <w:gridCol w:w="84"/>
        <w:gridCol w:w="110"/>
        <w:gridCol w:w="125"/>
        <w:gridCol w:w="1042"/>
        <w:gridCol w:w="119"/>
        <w:gridCol w:w="110"/>
        <w:gridCol w:w="125"/>
        <w:gridCol w:w="971"/>
        <w:gridCol w:w="104"/>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22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08" w:type="dxa"/>
            <w:tcBorders/>
            <w:shd w:fill="auto" w:val="clear"/>
            <w:vAlign w:val="center"/>
          </w:tcPr>
          <w:p>
            <w:pPr>
              <w:pStyle w:val="TableContents"/>
              <w:spacing w:before="0" w:after="0"/>
              <w:ind w:left="0" w:right="0" w:firstLine="30"/>
              <w:jc w:val="left"/>
              <w:rPr/>
            </w:pPr>
            <w:r>
              <w:rPr/>
              <w:t> </w:t>
            </w:r>
          </w:p>
        </w:tc>
        <w:tc>
          <w:tcPr>
            <w:tcW w:w="7997"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2208" w:type="dxa"/>
            <w:tcBorders/>
            <w:shd w:fill="auto" w:val="clear"/>
            <w:vAlign w:val="center"/>
          </w:tcPr>
          <w:p>
            <w:pPr>
              <w:pStyle w:val="TableContents"/>
              <w:spacing w:before="0" w:after="0"/>
              <w:ind w:left="0" w:right="0" w:firstLine="30"/>
              <w:jc w:val="left"/>
              <w:rPr/>
            </w:pPr>
            <w:r>
              <w:rPr/>
              <w:t> </w:t>
            </w:r>
          </w:p>
        </w:tc>
        <w:tc>
          <w:tcPr>
            <w:tcW w:w="3956" w:type="dxa"/>
            <w:gridSpan w:val="11"/>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0" w:type="dxa"/>
            <w:tcBorders/>
            <w:shd w:fill="auto" w:val="clear"/>
            <w:vAlign w:val="center"/>
          </w:tcPr>
          <w:p>
            <w:pPr>
              <w:pStyle w:val="TableContents"/>
              <w:spacing w:before="0" w:after="0"/>
              <w:ind w:left="0" w:right="0" w:firstLine="30"/>
              <w:rPr/>
            </w:pPr>
            <w:r>
              <w:rPr/>
              <w:t> </w:t>
            </w:r>
          </w:p>
        </w:tc>
        <w:tc>
          <w:tcPr>
            <w:tcW w:w="393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2208" w:type="dxa"/>
            <w:tcBorders/>
            <w:shd w:fill="auto" w:val="clear"/>
            <w:vAlign w:val="center"/>
          </w:tcPr>
          <w:p>
            <w:pPr>
              <w:pStyle w:val="TableContents"/>
              <w:spacing w:before="0" w:after="0"/>
              <w:ind w:left="0" w:right="0" w:firstLine="30"/>
              <w:rPr/>
            </w:pPr>
            <w:r>
              <w:rPr/>
              <w:t> </w:t>
            </w:r>
          </w:p>
        </w:tc>
        <w:tc>
          <w:tcPr>
            <w:tcW w:w="12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10" w:type="dxa"/>
            <w:tcBorders/>
            <w:shd w:fill="auto" w:val="clear"/>
            <w:vAlign w:val="center"/>
          </w:tcPr>
          <w:p>
            <w:pPr>
              <w:pStyle w:val="TableContents"/>
              <w:spacing w:before="0" w:after="0"/>
              <w:ind w:left="0" w:right="0" w:firstLine="30"/>
              <w:rPr/>
            </w:pPr>
            <w:r>
              <w:rPr/>
              <w:t> </w:t>
            </w:r>
          </w:p>
        </w:tc>
        <w:tc>
          <w:tcPr>
            <w:tcW w:w="128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ind w:left="0" w:right="0" w:firstLine="30"/>
              <w:jc w:val="center"/>
              <w:rPr>
                <w:rFonts w:ascii="inherit" w:hAnsi="inherit"/>
                <w:b/>
                <w:sz w:val="13"/>
              </w:rPr>
            </w:pPr>
            <w:r>
              <w:rPr>
                <w:rFonts w:ascii="inherit" w:hAnsi="inherit"/>
                <w:b/>
                <w:sz w:val="13"/>
              </w:rPr>
              <w:t>Depreciation</w:t>
            </w:r>
          </w:p>
        </w:tc>
        <w:tc>
          <w:tcPr>
            <w:tcW w:w="110" w:type="dxa"/>
            <w:tcBorders/>
            <w:shd w:fill="auto" w:val="clear"/>
            <w:vAlign w:val="center"/>
          </w:tcPr>
          <w:p>
            <w:pPr>
              <w:pStyle w:val="TableContents"/>
              <w:spacing w:before="0" w:after="0"/>
              <w:ind w:left="0" w:right="0" w:firstLine="30"/>
              <w:rPr/>
            </w:pPr>
            <w:r>
              <w:rPr/>
              <w:t> </w:t>
            </w:r>
          </w:p>
        </w:tc>
        <w:tc>
          <w:tcPr>
            <w:tcW w:w="12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Net Book</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110" w:type="dxa"/>
            <w:tcBorders/>
            <w:shd w:fill="auto" w:val="clear"/>
            <w:vAlign w:val="center"/>
          </w:tcPr>
          <w:p>
            <w:pPr>
              <w:pStyle w:val="TableContents"/>
              <w:spacing w:before="0" w:after="0"/>
              <w:ind w:left="0" w:right="0" w:firstLine="30"/>
              <w:rPr/>
            </w:pPr>
            <w:r>
              <w:rPr/>
              <w:t> </w:t>
            </w:r>
          </w:p>
        </w:tc>
        <w:tc>
          <w:tcPr>
            <w:tcW w:w="12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10" w:type="dxa"/>
            <w:tcBorders/>
            <w:shd w:fill="auto" w:val="clear"/>
            <w:vAlign w:val="center"/>
          </w:tcPr>
          <w:p>
            <w:pPr>
              <w:pStyle w:val="TableContents"/>
              <w:spacing w:before="0" w:after="0"/>
              <w:ind w:left="0" w:right="0" w:firstLine="30"/>
              <w:rPr/>
            </w:pPr>
            <w:r>
              <w:rPr/>
              <w:t> </w:t>
            </w:r>
          </w:p>
        </w:tc>
        <w:tc>
          <w:tcPr>
            <w:tcW w:w="128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ind w:left="0" w:right="0" w:firstLine="30"/>
              <w:jc w:val="center"/>
              <w:rPr>
                <w:rFonts w:ascii="inherit" w:hAnsi="inherit"/>
                <w:b/>
                <w:sz w:val="13"/>
              </w:rPr>
            </w:pPr>
            <w:r>
              <w:rPr>
                <w:rFonts w:ascii="inherit" w:hAnsi="inherit"/>
                <w:b/>
                <w:sz w:val="13"/>
              </w:rPr>
              <w:t>Depreciation</w:t>
            </w:r>
          </w:p>
        </w:tc>
        <w:tc>
          <w:tcPr>
            <w:tcW w:w="110" w:type="dxa"/>
            <w:tcBorders/>
            <w:shd w:fill="auto" w:val="clear"/>
            <w:vAlign w:val="center"/>
          </w:tcPr>
          <w:p>
            <w:pPr>
              <w:pStyle w:val="TableContents"/>
              <w:spacing w:before="0" w:after="0"/>
              <w:ind w:left="0" w:right="0" w:firstLine="30"/>
              <w:rPr/>
            </w:pPr>
            <w:r>
              <w:rPr/>
              <w:t> </w:t>
            </w:r>
          </w:p>
        </w:tc>
        <w:tc>
          <w:tcPr>
            <w:tcW w:w="120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Net Book</w:t>
            </w:r>
          </w:p>
          <w:p>
            <w:pPr>
              <w:pStyle w:val="TableContents"/>
              <w:spacing w:before="0" w:after="0"/>
              <w:ind w:left="0" w:right="0" w:firstLine="30"/>
              <w:jc w:val="center"/>
              <w:rPr>
                <w:rFonts w:ascii="inherit" w:hAnsi="inherit"/>
                <w:b/>
                <w:sz w:val="13"/>
              </w:rPr>
            </w:pPr>
            <w:r>
              <w:rPr>
                <w:rFonts w:ascii="inherit" w:hAnsi="inherit"/>
                <w:b/>
                <w:sz w:val="13"/>
              </w:rPr>
              <w:t>Value</w:t>
            </w:r>
          </w:p>
        </w:tc>
      </w:tr>
      <w:tr>
        <w:trPr/>
        <w:tc>
          <w:tcPr>
            <w:tcW w:w="2208" w:type="dxa"/>
            <w:tcBorders/>
            <w:shd w:fill="auto" w:val="clear"/>
            <w:vAlign w:val="center"/>
          </w:tcPr>
          <w:p>
            <w:pPr>
              <w:pStyle w:val="TableContents"/>
              <w:spacing w:before="0" w:after="0"/>
              <w:ind w:left="0" w:right="0" w:firstLine="30"/>
              <w:jc w:val="left"/>
              <w:rPr/>
            </w:pPr>
            <w:r>
              <w:rPr/>
              <w:t> </w:t>
            </w:r>
          </w:p>
        </w:tc>
        <w:tc>
          <w:tcPr>
            <w:tcW w:w="7997"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Land</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6"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6"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6"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1"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Buildings and improvements</w:t>
            </w:r>
          </w:p>
        </w:tc>
        <w:tc>
          <w:tcPr>
            <w:tcW w:w="11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106,229</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(62,028</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auto" w:val="clear"/>
            <w:vAlign w:val="center"/>
          </w:tcPr>
          <w:p>
            <w:pPr>
              <w:pStyle w:val="TableContents"/>
              <w:spacing w:before="0" w:after="0"/>
              <w:ind w:left="0" w:right="0" w:firstLine="30"/>
              <w:rPr/>
            </w:pPr>
            <w:r>
              <w:rPr/>
              <w:t> </w:t>
            </w:r>
          </w:p>
        </w:tc>
        <w:tc>
          <w:tcPr>
            <w:tcW w:w="11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44,201</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88,263</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(53,094</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35,169</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Furniture and equipment</w:t>
            </w:r>
          </w:p>
        </w:tc>
        <w:tc>
          <w:tcPr>
            <w:tcW w:w="11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106,597</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1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(64,157</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CCEEFF" w:val="clear"/>
            <w:vAlign w:val="center"/>
          </w:tcPr>
          <w:p>
            <w:pPr>
              <w:pStyle w:val="TableContents"/>
              <w:spacing w:before="0" w:after="0"/>
              <w:ind w:left="0" w:right="0" w:firstLine="30"/>
              <w:rPr/>
            </w:pPr>
            <w:r>
              <w:rPr/>
              <w:t> </w:t>
            </w:r>
          </w:p>
        </w:tc>
        <w:tc>
          <w:tcPr>
            <w:tcW w:w="11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42,440</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1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85,654</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1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(52,562</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33,092</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equipment</w:t>
            </w:r>
          </w:p>
        </w:tc>
        <w:tc>
          <w:tcPr>
            <w:tcW w:w="11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1,600</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auto" w:val="clear"/>
            <w:vAlign w:val="center"/>
          </w:tcPr>
          <w:p>
            <w:pPr>
              <w:pStyle w:val="TableContents"/>
              <w:spacing w:before="0" w:after="0"/>
              <w:ind w:left="0" w:right="0" w:firstLine="30"/>
              <w:rPr/>
            </w:pPr>
            <w:r>
              <w:rPr/>
              <w:t> </w:t>
            </w:r>
          </w:p>
        </w:tc>
        <w:tc>
          <w:tcPr>
            <w:tcW w:w="11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1,484</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67"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pPr>
            <w:r>
              <w:rPr/>
              <w:t>—</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Software</w:t>
            </w:r>
          </w:p>
        </w:tc>
        <w:tc>
          <w:tcPr>
            <w:tcW w:w="11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38,059</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1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(25,947</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CCEEFF" w:val="clear"/>
            <w:vAlign w:val="center"/>
          </w:tcPr>
          <w:p>
            <w:pPr>
              <w:pStyle w:val="TableContents"/>
              <w:spacing w:before="0" w:after="0"/>
              <w:ind w:left="0" w:right="0" w:firstLine="30"/>
              <w:rPr/>
            </w:pPr>
            <w:r>
              <w:rPr/>
              <w:t> </w:t>
            </w:r>
          </w:p>
        </w:tc>
        <w:tc>
          <w:tcPr>
            <w:tcW w:w="11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12,112</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1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28,653</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1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(23,238</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5,415</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Construction in progress</w:t>
            </w:r>
          </w:p>
        </w:tc>
        <w:tc>
          <w:tcPr>
            <w:tcW w:w="11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7,890</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6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7,890</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4,818</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16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09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4,818</w:t>
            </w:r>
          </w:p>
        </w:tc>
        <w:tc>
          <w:tcPr>
            <w:tcW w:w="1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260,379</w:t>
            </w:r>
          </w:p>
        </w:tc>
        <w:tc>
          <w:tcPr>
            <w:tcW w:w="8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(152,248</w:t>
            </w:r>
          </w:p>
        </w:tc>
        <w:tc>
          <w:tcPr>
            <w:tcW w:w="1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108,131</w:t>
            </w:r>
          </w:p>
        </w:tc>
        <w:tc>
          <w:tcPr>
            <w:tcW w:w="8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207,392</w:t>
            </w:r>
          </w:p>
        </w:tc>
        <w:tc>
          <w:tcPr>
            <w:tcW w:w="8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(128,894</w:t>
            </w:r>
          </w:p>
        </w:tc>
        <w:tc>
          <w:tcPr>
            <w:tcW w:w="11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78,498</w:t>
            </w:r>
          </w:p>
        </w:tc>
        <w:tc>
          <w:tcPr>
            <w:tcW w:w="104"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Continuing operations in fiscal 2012, 2011 and 2010 includes </w:t>
      </w:r>
      <w:r>
        <w:rPr>
          <w:rFonts w:ascii="inherit" w:hAnsi="inherit"/>
          <w:strike w:val="false"/>
          <w:dstrike w:val="false"/>
          <w:color w:val="000000"/>
          <w:sz w:val="17"/>
          <w:u w:val="none"/>
          <w:effect w:val="none"/>
        </w:rPr>
        <w:t>$22.0 million</w:t>
      </w:r>
      <w:r>
        <w:rPr>
          <w:rFonts w:ascii="inherit" w:hAnsi="inherit"/>
          <w:sz w:val="17"/>
        </w:rPr>
        <w:t xml:space="preserve">, </w:t>
      </w:r>
      <w:r>
        <w:rPr>
          <w:rFonts w:ascii="inherit" w:hAnsi="inherit"/>
          <w:strike w:val="false"/>
          <w:dstrike w:val="false"/>
          <w:color w:val="000000"/>
          <w:sz w:val="17"/>
          <w:u w:val="none"/>
          <w:effect w:val="none"/>
        </w:rPr>
        <w:t>$16.8 million</w:t>
      </w:r>
      <w:r>
        <w:rPr>
          <w:rFonts w:ascii="inherit" w:hAnsi="inherit"/>
          <w:sz w:val="17"/>
        </w:rPr>
        <w:t xml:space="preserve">, and </w:t>
      </w:r>
      <w:r>
        <w:rPr>
          <w:rFonts w:ascii="inherit" w:hAnsi="inherit"/>
          <w:strike w:val="false"/>
          <w:dstrike w:val="false"/>
          <w:color w:val="000000"/>
          <w:sz w:val="17"/>
          <w:u w:val="none"/>
          <w:effect w:val="none"/>
        </w:rPr>
        <w:t>$13.7 million</w:t>
      </w:r>
      <w:r>
        <w:rPr>
          <w:sz w:val="17"/>
        </w:rPr>
        <w:t xml:space="preserve"> </w:t>
      </w:r>
      <w:r>
        <w:rPr>
          <w:rFonts w:ascii="inherit" w:hAnsi="inherit"/>
          <w:sz w:val="17"/>
        </w:rPr>
        <w:t xml:space="preserve">of depreciation expense, respectively. Discontinued operations in fiscal 2012, 2011 and 2010 includes </w:t>
      </w:r>
      <w:r>
        <w:rPr>
          <w:rFonts w:ascii="inherit" w:hAnsi="inherit"/>
          <w:strike w:val="false"/>
          <w:dstrike w:val="false"/>
          <w:color w:val="000000"/>
          <w:sz w:val="17"/>
          <w:u w:val="none"/>
          <w:effect w:val="none"/>
        </w:rPr>
        <w:t>$1.3 million</w:t>
      </w:r>
      <w:r>
        <w:rPr>
          <w:rFonts w:ascii="inherit" w:hAnsi="inherit"/>
          <w:sz w:val="17"/>
        </w:rPr>
        <w:t xml:space="preserve">, </w:t>
      </w:r>
      <w:r>
        <w:rPr>
          <w:rFonts w:ascii="inherit" w:hAnsi="inherit"/>
          <w:strike w:val="false"/>
          <w:dstrike w:val="false"/>
          <w:color w:val="000000"/>
          <w:sz w:val="17"/>
          <w:u w:val="none"/>
          <w:effect w:val="none"/>
        </w:rPr>
        <w:t>$0.7 million</w:t>
      </w:r>
      <w:r>
        <w:rPr>
          <w:rFonts w:ascii="inherit" w:hAnsi="inherit"/>
          <w:sz w:val="17"/>
        </w:rPr>
        <w:t xml:space="preserve">, and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 xml:space="preserve">of depreciation expense, respectively. Included in these amounts for fiscal </w:t>
      </w:r>
      <w:r>
        <w:rPr>
          <w:rFonts w:ascii="inherit" w:hAnsi="inherit"/>
          <w:strike w:val="false"/>
          <w:dstrike w:val="false"/>
          <w:color w:val="000000"/>
          <w:sz w:val="17"/>
          <w:u w:val="none"/>
          <w:effect w:val="none"/>
        </w:rPr>
        <w:t>2012</w:t>
      </w:r>
      <w:r>
        <w:rPr>
          <w:rFonts w:ascii="inherit" w:hAnsi="inherit"/>
          <w:sz w:val="17"/>
        </w:rPr>
        <w:t xml:space="preserve">,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sz w:val="17"/>
        </w:rPr>
        <w:t xml:space="preserve"> </w:t>
      </w:r>
      <w:r>
        <w:rPr>
          <w:rFonts w:ascii="inherit" w:hAnsi="inherit"/>
          <w:sz w:val="17"/>
        </w:rPr>
        <w:t>is an aggregate of $</w:t>
      </w:r>
      <w:r>
        <w:rPr>
          <w:rFonts w:ascii="inherit" w:hAnsi="inherit"/>
          <w:strike w:val="false"/>
          <w:dstrike w:val="false"/>
          <w:color w:val="000000"/>
          <w:sz w:val="17"/>
          <w:u w:val="none"/>
          <w:effect w:val="none"/>
        </w:rPr>
        <w:t>2.9 million</w:t>
      </w:r>
      <w:r>
        <w:rPr>
          <w:rFonts w:ascii="inherit" w:hAnsi="inherit"/>
          <w:sz w:val="17"/>
        </w:rPr>
        <w:t>, $</w:t>
      </w:r>
      <w:r>
        <w:rPr>
          <w:rFonts w:ascii="inherit" w:hAnsi="inherit"/>
          <w:strike w:val="false"/>
          <w:dstrike w:val="false"/>
          <w:color w:val="000000"/>
          <w:sz w:val="17"/>
          <w:u w:val="none"/>
          <w:effect w:val="none"/>
        </w:rPr>
        <w:t>1.4 million</w:t>
      </w:r>
      <w:r>
        <w:rPr>
          <w:sz w:val="17"/>
        </w:rPr>
        <w:t xml:space="preserve"> </w:t>
      </w:r>
      <w:r>
        <w:rPr>
          <w:rFonts w:ascii="inherit" w:hAnsi="inherit"/>
          <w:sz w:val="17"/>
        </w:rPr>
        <w:t>and $</w:t>
      </w:r>
      <w:r>
        <w:rPr>
          <w:rFonts w:ascii="inherit" w:hAnsi="inherit"/>
          <w:strike w:val="false"/>
          <w:dstrike w:val="false"/>
          <w:color w:val="000000"/>
          <w:sz w:val="17"/>
          <w:u w:val="none"/>
          <w:effect w:val="none"/>
        </w:rPr>
        <w:t>0.9 million</w:t>
      </w:r>
      <w:r>
        <w:rPr>
          <w:rFonts w:ascii="inherit" w:hAnsi="inherit"/>
          <w:sz w:val="17"/>
        </w:rPr>
        <w:t>, respectively, of depreciation expense related to capitalized computer software.</w:t>
      </w:r>
    </w:p>
    <w:p>
      <w:pPr>
        <w:pStyle w:val="TextBody"/>
        <w:spacing w:lineRule="auto" w:line="288" w:before="0" w:after="0"/>
        <w:jc w:val="left"/>
        <w:rPr>
          <w:sz w:val="17"/>
        </w:rPr>
      </w:pPr>
      <w:r>
        <w:rPr>
          <w:rFonts w:ascii="inherit" w:hAnsi="inherit"/>
          <w:sz w:val="17"/>
        </w:rPr>
        <w:t xml:space="preserve">Property and equipment at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includes approximately </w:t>
      </w:r>
      <w:r>
        <w:rPr>
          <w:rFonts w:ascii="inherit" w:hAnsi="inherit"/>
          <w:strike w:val="false"/>
          <w:dstrike w:val="false"/>
          <w:color w:val="000000"/>
          <w:sz w:val="17"/>
          <w:u w:val="none"/>
          <w:effect w:val="none"/>
        </w:rPr>
        <w:t>$1.6 million</w:t>
      </w:r>
      <w:r>
        <w:rPr>
          <w:sz w:val="17"/>
        </w:rPr>
        <w:t xml:space="preserve"> </w:t>
      </w:r>
      <w:r>
        <w:rPr>
          <w:rFonts w:ascii="inherit" w:hAnsi="inherit"/>
          <w:sz w:val="17"/>
        </w:rPr>
        <w:t xml:space="preserve">of equipment leased under a capital lease. Amortization of equipment under capital leases is included with depreciation expense and was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for the fiscal year ended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60</w:t>
      </w:r>
      <w:r>
        <w:br w:type="page"/>
      </w:r>
    </w:p>
    <w:p>
      <w:pPr>
        <w:pStyle w:val="TextBody"/>
        <w:spacing w:lineRule="auto" w:line="288" w:before="0" w:after="0"/>
        <w:rPr/>
      </w:pPr>
      <w:hyperlink w:anchor="s149FCBE28F3900CCBC1E0F13F39FAE0B">
        <w:bookmarkStart w:id="60" w:name="s7C688237B8F96ED0F0260F13B71B9ABA"/>
        <w:bookmarkEnd w:id="60"/>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7: GOODWILL AND OTHER INTANGIBLE ASSETS</w:t>
      </w:r>
    </w:p>
    <w:p>
      <w:pPr>
        <w:pStyle w:val="TextBody"/>
        <w:spacing w:lineRule="auto" w:line="288" w:before="0" w:after="0"/>
        <w:jc w:val="left"/>
        <w:rPr>
          <w:rFonts w:ascii="inherit" w:hAnsi="inherit"/>
          <w:sz w:val="17"/>
        </w:rPr>
      </w:pPr>
      <w:r>
        <w:rPr>
          <w:rFonts w:ascii="inherit" w:hAnsi="inherit"/>
          <w:sz w:val="17"/>
        </w:rPr>
        <w:t>The following table presents the balance of each major class of indefinite-lived intangible asset at the specified dates:</w:t>
      </w:r>
    </w:p>
    <w:tbl>
      <w:tblPr>
        <w:tblW w:w="10205" w:type="dxa"/>
        <w:jc w:val="left"/>
        <w:tblInd w:w="0" w:type="dxa"/>
        <w:tblCellMar>
          <w:top w:w="0" w:type="dxa"/>
          <w:left w:w="0" w:type="dxa"/>
          <w:bottom w:w="0" w:type="dxa"/>
          <w:right w:w="0" w:type="dxa"/>
        </w:tblCellMar>
      </w:tblPr>
      <w:tblGrid>
        <w:gridCol w:w="7374"/>
        <w:gridCol w:w="125"/>
        <w:gridCol w:w="1126"/>
        <w:gridCol w:w="102"/>
        <w:gridCol w:w="117"/>
        <w:gridCol w:w="125"/>
        <w:gridCol w:w="1126"/>
        <w:gridCol w:w="11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3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74" w:type="dxa"/>
            <w:tcBorders/>
            <w:shd w:fill="auto" w:val="clear"/>
            <w:vAlign w:val="center"/>
          </w:tcPr>
          <w:p>
            <w:pPr>
              <w:pStyle w:val="TableContents"/>
              <w:spacing w:before="0" w:after="0"/>
              <w:ind w:left="0" w:right="0" w:firstLine="30"/>
              <w:jc w:val="left"/>
              <w:rPr/>
            </w:pPr>
            <w:r>
              <w:rPr/>
              <w:t> </w:t>
            </w:r>
          </w:p>
        </w:tc>
        <w:tc>
          <w:tcPr>
            <w:tcW w:w="283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7374" w:type="dxa"/>
            <w:tcBorders/>
            <w:shd w:fill="auto" w:val="clear"/>
            <w:vAlign w:val="center"/>
          </w:tcPr>
          <w:p>
            <w:pPr>
              <w:pStyle w:val="TableContents"/>
              <w:spacing w:before="0" w:after="0"/>
              <w:ind w:left="0" w:right="0" w:firstLine="30"/>
              <w:jc w:val="left"/>
              <w:rPr/>
            </w:pPr>
            <w:r>
              <w:rPr/>
              <w:t> </w:t>
            </w:r>
          </w:p>
        </w:tc>
        <w:tc>
          <w:tcPr>
            <w:tcW w:w="135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7" w:type="dxa"/>
            <w:tcBorders/>
            <w:shd w:fill="auto" w:val="clear"/>
            <w:vAlign w:val="center"/>
          </w:tcPr>
          <w:p>
            <w:pPr>
              <w:pStyle w:val="TableContents"/>
              <w:spacing w:before="0" w:after="0"/>
              <w:ind w:left="0" w:right="0" w:firstLine="30"/>
              <w:rPr/>
            </w:pPr>
            <w:r>
              <w:rPr/>
              <w:t> </w:t>
            </w:r>
          </w:p>
        </w:tc>
        <w:tc>
          <w:tcPr>
            <w:tcW w:w="13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374" w:type="dxa"/>
            <w:tcBorders/>
            <w:shd w:fill="auto" w:val="clear"/>
            <w:vAlign w:val="center"/>
          </w:tcPr>
          <w:p>
            <w:pPr>
              <w:pStyle w:val="TableContents"/>
              <w:spacing w:before="0" w:after="0"/>
              <w:ind w:left="0" w:right="0" w:firstLine="30"/>
              <w:jc w:val="left"/>
              <w:rPr/>
            </w:pPr>
            <w:r>
              <w:rPr/>
              <w:t> </w:t>
            </w:r>
          </w:p>
        </w:tc>
        <w:tc>
          <w:tcPr>
            <w:tcW w:w="283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3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licenses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 name</w:t>
            </w:r>
          </w:p>
        </w:tc>
        <w:tc>
          <w:tcPr>
            <w:tcW w:w="12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9,845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4,870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2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374,663</w:t>
            </w:r>
          </w:p>
        </w:tc>
        <w:tc>
          <w:tcPr>
            <w:tcW w:w="1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173,206</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393,344</w:t>
            </w:r>
          </w:p>
        </w:tc>
        <w:tc>
          <w:tcPr>
            <w:tcW w:w="10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186,912</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The following table presents the changes in the carrying value of goodwill, by segment, for the fiscal years ended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rFonts w:ascii="inherit" w:hAnsi="inherit"/>
          <w:sz w:val="17"/>
        </w:rPr>
        <w:t>:</w:t>
      </w:r>
    </w:p>
    <w:tbl>
      <w:tblPr>
        <w:tblW w:w="10205" w:type="dxa"/>
        <w:jc w:val="left"/>
        <w:tblInd w:w="0" w:type="dxa"/>
        <w:tblCellMar>
          <w:top w:w="0" w:type="dxa"/>
          <w:left w:w="0" w:type="dxa"/>
          <w:bottom w:w="0" w:type="dxa"/>
          <w:right w:w="0" w:type="dxa"/>
        </w:tblCellMar>
      </w:tblPr>
      <w:tblGrid>
        <w:gridCol w:w="3774"/>
        <w:gridCol w:w="161"/>
        <w:gridCol w:w="1159"/>
        <w:gridCol w:w="83"/>
        <w:gridCol w:w="132"/>
        <w:gridCol w:w="161"/>
        <w:gridCol w:w="1159"/>
        <w:gridCol w:w="148"/>
        <w:gridCol w:w="132"/>
        <w:gridCol w:w="194"/>
        <w:gridCol w:w="1234"/>
        <w:gridCol w:w="93"/>
        <w:gridCol w:w="132"/>
        <w:gridCol w:w="161"/>
        <w:gridCol w:w="1159"/>
        <w:gridCol w:w="32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77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74" w:type="dxa"/>
            <w:tcBorders/>
            <w:shd w:fill="auto" w:val="clear"/>
            <w:vAlign w:val="center"/>
          </w:tcPr>
          <w:p>
            <w:pPr>
              <w:pStyle w:val="TableContents"/>
              <w:spacing w:before="0" w:after="0"/>
              <w:rPr/>
            </w:pPr>
            <w:r>
              <w:rPr/>
              <w:t> </w:t>
            </w:r>
          </w:p>
        </w:tc>
        <w:tc>
          <w:tcPr>
            <w:tcW w:w="1403"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U.S, &amp;</w:t>
            </w:r>
          </w:p>
        </w:tc>
        <w:tc>
          <w:tcPr>
            <w:tcW w:w="132" w:type="dxa"/>
            <w:tcBorders/>
            <w:shd w:fill="auto" w:val="clear"/>
            <w:vAlign w:val="center"/>
          </w:tcPr>
          <w:p>
            <w:pPr>
              <w:pStyle w:val="TableContents"/>
              <w:spacing w:before="0" w:after="0"/>
              <w:rPr/>
            </w:pPr>
            <w:r>
              <w:rPr/>
              <w:t> </w:t>
            </w:r>
          </w:p>
        </w:tc>
        <w:tc>
          <w:tcPr>
            <w:tcW w:w="1468"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Latin</w:t>
            </w:r>
          </w:p>
        </w:tc>
        <w:tc>
          <w:tcPr>
            <w:tcW w:w="132" w:type="dxa"/>
            <w:tcBorders/>
            <w:shd w:fill="auto" w:val="clear"/>
            <w:vAlign w:val="center"/>
          </w:tcPr>
          <w:p>
            <w:pPr>
              <w:pStyle w:val="TableContents"/>
              <w:spacing w:before="0" w:after="0"/>
              <w:rPr/>
            </w:pPr>
            <w:r>
              <w:rPr/>
              <w:t> </w:t>
            </w:r>
          </w:p>
        </w:tc>
        <w:tc>
          <w:tcPr>
            <w:tcW w:w="1521"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Other </w:t>
            </w:r>
          </w:p>
        </w:tc>
        <w:tc>
          <w:tcPr>
            <w:tcW w:w="132" w:type="dxa"/>
            <w:tcBorders/>
            <w:shd w:fill="auto" w:val="clear"/>
            <w:vAlign w:val="center"/>
          </w:tcPr>
          <w:p>
            <w:pPr>
              <w:pStyle w:val="TableContents"/>
              <w:spacing w:before="0" w:after="0"/>
              <w:ind w:left="0" w:right="0" w:firstLine="30"/>
              <w:rPr/>
            </w:pPr>
            <w:r>
              <w:rPr/>
              <w:t> </w:t>
            </w:r>
          </w:p>
        </w:tc>
        <w:tc>
          <w:tcPr>
            <w:tcW w:w="1643" w:type="dxa"/>
            <w:gridSpan w:val="3"/>
            <w:tcBorders/>
            <w:shd w:fill="auto" w:val="clear"/>
            <w:vAlign w:val="center"/>
          </w:tcPr>
          <w:p>
            <w:pPr>
              <w:pStyle w:val="TableContents"/>
              <w:spacing w:before="0" w:after="0"/>
              <w:ind w:left="0" w:right="0" w:firstLine="30"/>
              <w:rPr/>
            </w:pPr>
            <w:r>
              <w:rPr/>
              <w:t> </w:t>
            </w:r>
          </w:p>
        </w:tc>
      </w:tr>
      <w:tr>
        <w:trPr/>
        <w:tc>
          <w:tcPr>
            <w:tcW w:w="3774" w:type="dxa"/>
            <w:tcBorders/>
            <w:shd w:fill="auto" w:val="clear"/>
            <w:vAlign w:val="center"/>
          </w:tcPr>
          <w:p>
            <w:pPr>
              <w:pStyle w:val="TableContents"/>
              <w:spacing w:before="0" w:after="0"/>
              <w:ind w:left="0" w:right="0" w:firstLine="30"/>
              <w:jc w:val="left"/>
              <w:rPr/>
            </w:pPr>
            <w:r>
              <w:rPr/>
              <w:t> </w:t>
            </w:r>
          </w:p>
        </w:tc>
        <w:tc>
          <w:tcPr>
            <w:tcW w:w="14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Canada</w:t>
            </w:r>
          </w:p>
        </w:tc>
        <w:tc>
          <w:tcPr>
            <w:tcW w:w="132" w:type="dxa"/>
            <w:tcBorders/>
            <w:shd w:fill="auto" w:val="clear"/>
            <w:vAlign w:val="center"/>
          </w:tcPr>
          <w:p>
            <w:pPr>
              <w:pStyle w:val="TableContents"/>
              <w:spacing w:before="0" w:after="0"/>
              <w:ind w:left="0" w:right="0" w:firstLine="30"/>
              <w:rPr/>
            </w:pPr>
            <w:r>
              <w:rPr/>
              <w:t> </w:t>
            </w:r>
          </w:p>
        </w:tc>
        <w:tc>
          <w:tcPr>
            <w:tcW w:w="14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America</w:t>
            </w:r>
          </w:p>
        </w:tc>
        <w:tc>
          <w:tcPr>
            <w:tcW w:w="132" w:type="dxa"/>
            <w:tcBorders/>
            <w:shd w:fill="auto" w:val="clear"/>
            <w:vAlign w:val="center"/>
          </w:tcPr>
          <w:p>
            <w:pPr>
              <w:pStyle w:val="TableContents"/>
              <w:spacing w:before="0" w:after="0"/>
              <w:ind w:left="0" w:right="0" w:firstLine="30"/>
              <w:rPr/>
            </w:pPr>
            <w:r>
              <w:rPr/>
              <w:t> </w:t>
            </w:r>
          </w:p>
        </w:tc>
        <w:tc>
          <w:tcPr>
            <w:tcW w:w="15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2" w:type="dxa"/>
            <w:tcBorders/>
            <w:shd w:fill="auto" w:val="clear"/>
            <w:vAlign w:val="center"/>
          </w:tcPr>
          <w:p>
            <w:pPr>
              <w:pStyle w:val="TableContents"/>
              <w:spacing w:before="0" w:after="0"/>
              <w:ind w:left="0" w:right="0" w:firstLine="30"/>
              <w:rPr/>
            </w:pPr>
            <w:r>
              <w:rPr/>
              <w:t> </w:t>
            </w:r>
          </w:p>
        </w:tc>
        <w:tc>
          <w:tcPr>
            <w:tcW w:w="16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774" w:type="dxa"/>
            <w:tcBorders/>
            <w:shd w:fill="auto" w:val="clear"/>
            <w:vAlign w:val="center"/>
          </w:tcPr>
          <w:p>
            <w:pPr>
              <w:pStyle w:val="TableContents"/>
              <w:spacing w:before="0" w:after="0"/>
              <w:ind w:left="0" w:right="0" w:firstLine="30"/>
              <w:jc w:val="left"/>
              <w:rPr/>
            </w:pPr>
            <w:r>
              <w:rPr/>
              <w:t> </w:t>
            </w:r>
          </w:p>
        </w:tc>
        <w:tc>
          <w:tcPr>
            <w:tcW w:w="1403" w:type="dxa"/>
            <w:gridSpan w:val="3"/>
            <w:tcBorders/>
            <w:shd w:fill="auto" w:val="clear"/>
            <w:vAlign w:val="center"/>
          </w:tcPr>
          <w:p>
            <w:pPr>
              <w:pStyle w:val="TableContents"/>
              <w:spacing w:before="0" w:after="0"/>
              <w:ind w:left="0" w:right="0" w:firstLine="30"/>
              <w:jc w:val="left"/>
              <w:rPr/>
            </w:pPr>
            <w:r>
              <w:rPr/>
              <w:t> </w:t>
            </w:r>
          </w:p>
        </w:tc>
        <w:tc>
          <w:tcPr>
            <w:tcW w:w="132" w:type="dxa"/>
            <w:tcBorders/>
            <w:shd w:fill="auto" w:val="clear"/>
            <w:vAlign w:val="center"/>
          </w:tcPr>
          <w:p>
            <w:pPr>
              <w:pStyle w:val="TableContents"/>
              <w:spacing w:before="0" w:after="0"/>
              <w:ind w:left="0" w:right="0" w:firstLine="30"/>
              <w:rPr/>
            </w:pPr>
            <w:r>
              <w:rPr/>
              <w:t> </w:t>
            </w:r>
          </w:p>
        </w:tc>
        <w:tc>
          <w:tcPr>
            <w:tcW w:w="312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32" w:type="dxa"/>
            <w:tcBorders/>
            <w:shd w:fill="auto" w:val="clear"/>
            <w:vAlign w:val="center"/>
          </w:tcPr>
          <w:p>
            <w:pPr>
              <w:pStyle w:val="TableContents"/>
              <w:spacing w:before="0" w:after="0"/>
              <w:ind w:left="0" w:right="0" w:firstLine="30"/>
              <w:rPr/>
            </w:pPr>
            <w:r>
              <w:rPr/>
              <w:t> </w:t>
            </w:r>
          </w:p>
        </w:tc>
        <w:tc>
          <w:tcPr>
            <w:tcW w:w="1643" w:type="dxa"/>
            <w:gridSpan w:val="3"/>
            <w:tcBorders/>
            <w:shd w:fill="auto" w:val="clear"/>
            <w:vAlign w:val="center"/>
          </w:tcPr>
          <w:p>
            <w:pPr>
              <w:pStyle w:val="TableContents"/>
              <w:spacing w:before="0" w:after="0"/>
              <w:ind w:left="0" w:right="0" w:firstLine="30"/>
              <w:jc w:val="left"/>
              <w:rPr/>
            </w:pPr>
            <w:r>
              <w:rPr/>
              <w:t> </w:t>
            </w:r>
          </w:p>
        </w:tc>
      </w:tr>
      <w:tr>
        <w:trPr/>
        <w:tc>
          <w:tcPr>
            <w:tcW w:w="37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2010</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110,255</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7,050</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4" w:type="dxa"/>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117,305</w:t>
            </w:r>
          </w:p>
        </w:tc>
        <w:tc>
          <w:tcPr>
            <w:tcW w:w="32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7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53,642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3,148</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8" w:type="dxa"/>
            <w:gridSpan w:val="2"/>
            <w:tcBorders/>
            <w:shd w:fill="auto" w:val="clear"/>
            <w:vAlign w:val="center"/>
          </w:tcPr>
          <w:p>
            <w:pPr>
              <w:pStyle w:val="TableContents"/>
              <w:spacing w:before="0" w:after="0"/>
              <w:jc w:val="right"/>
              <w:rPr/>
            </w:pPr>
            <w:r>
              <w:rPr/>
              <w:t>—</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56,790</w:t>
            </w:r>
          </w:p>
        </w:tc>
        <w:tc>
          <w:tcPr>
            <w:tcW w:w="32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7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(889</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42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(889</w:t>
            </w:r>
          </w:p>
        </w:tc>
        <w:tc>
          <w:tcPr>
            <w:tcW w:w="32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7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2011</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163,897</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9,309</w:t>
            </w:r>
          </w:p>
        </w:tc>
        <w:tc>
          <w:tcPr>
            <w:tcW w:w="14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173,206</w:t>
            </w:r>
          </w:p>
        </w:tc>
        <w:tc>
          <w:tcPr>
            <w:tcW w:w="323"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7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60,409</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99,486</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39,338</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199,233</w:t>
            </w:r>
          </w:p>
        </w:tc>
        <w:tc>
          <w:tcPr>
            <w:tcW w:w="32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7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1,606</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618</w:t>
            </w:r>
          </w:p>
        </w:tc>
        <w:tc>
          <w:tcPr>
            <w:tcW w:w="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2,224</w:t>
            </w:r>
          </w:p>
        </w:tc>
        <w:tc>
          <w:tcPr>
            <w:tcW w:w="32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2012</w:t>
            </w:r>
          </w:p>
        </w:tc>
        <w:tc>
          <w:tcPr>
            <w:tcW w:w="16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224,306</w:t>
            </w:r>
          </w:p>
        </w:tc>
        <w:tc>
          <w:tcPr>
            <w:tcW w:w="8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110,401</w:t>
            </w:r>
          </w:p>
        </w:tc>
        <w:tc>
          <w:tcPr>
            <w:tcW w:w="14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9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39,956</w:t>
            </w:r>
          </w:p>
        </w:tc>
        <w:tc>
          <w:tcPr>
            <w:tcW w:w="9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374,663</w:t>
            </w:r>
          </w:p>
        </w:tc>
        <w:tc>
          <w:tcPr>
            <w:tcW w:w="32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following table presents the gross carrying amount and accumulated amortization for each major class of definite-lived intangible asset at the specified dates:</w:t>
      </w:r>
    </w:p>
    <w:tbl>
      <w:tblPr>
        <w:tblW w:w="10205" w:type="dxa"/>
        <w:jc w:val="left"/>
        <w:tblInd w:w="0" w:type="dxa"/>
        <w:tblCellMar>
          <w:top w:w="0" w:type="dxa"/>
          <w:left w:w="0" w:type="dxa"/>
          <w:bottom w:w="0" w:type="dxa"/>
          <w:right w:w="0" w:type="dxa"/>
        </w:tblCellMar>
      </w:tblPr>
      <w:tblGrid>
        <w:gridCol w:w="2173"/>
        <w:gridCol w:w="138"/>
        <w:gridCol w:w="988"/>
        <w:gridCol w:w="81"/>
        <w:gridCol w:w="117"/>
        <w:gridCol w:w="159"/>
        <w:gridCol w:w="1052"/>
        <w:gridCol w:w="148"/>
        <w:gridCol w:w="117"/>
        <w:gridCol w:w="138"/>
        <w:gridCol w:w="988"/>
        <w:gridCol w:w="81"/>
        <w:gridCol w:w="117"/>
        <w:gridCol w:w="139"/>
        <w:gridCol w:w="929"/>
        <w:gridCol w:w="82"/>
        <w:gridCol w:w="117"/>
        <w:gridCol w:w="159"/>
        <w:gridCol w:w="1052"/>
        <w:gridCol w:w="148"/>
        <w:gridCol w:w="117"/>
        <w:gridCol w:w="138"/>
        <w:gridCol w:w="925"/>
        <w:gridCol w:w="102"/>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217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73" w:type="dxa"/>
            <w:tcBorders/>
            <w:shd w:fill="auto" w:val="clear"/>
            <w:vAlign w:val="center"/>
          </w:tcPr>
          <w:p>
            <w:pPr>
              <w:pStyle w:val="TableContents"/>
              <w:spacing w:before="0" w:after="0"/>
              <w:ind w:left="0" w:right="0" w:firstLine="30"/>
              <w:jc w:val="left"/>
              <w:rPr/>
            </w:pPr>
            <w:r>
              <w:rPr/>
              <w:t> </w:t>
            </w:r>
          </w:p>
        </w:tc>
        <w:tc>
          <w:tcPr>
            <w:tcW w:w="8032"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2173" w:type="dxa"/>
            <w:tcBorders/>
            <w:shd w:fill="auto" w:val="clear"/>
            <w:vAlign w:val="center"/>
          </w:tcPr>
          <w:p>
            <w:pPr>
              <w:pStyle w:val="TableContents"/>
              <w:spacing w:before="0" w:after="0"/>
              <w:ind w:left="0" w:right="0" w:firstLine="30"/>
              <w:jc w:val="left"/>
              <w:rPr/>
            </w:pPr>
            <w:r>
              <w:rPr/>
              <w:t> </w:t>
            </w:r>
          </w:p>
        </w:tc>
        <w:tc>
          <w:tcPr>
            <w:tcW w:w="400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7" w:type="dxa"/>
            <w:tcBorders/>
            <w:shd w:fill="auto" w:val="clear"/>
            <w:vAlign w:val="center"/>
          </w:tcPr>
          <w:p>
            <w:pPr>
              <w:pStyle w:val="TableContents"/>
              <w:spacing w:before="0" w:after="0"/>
              <w:ind w:left="0" w:right="0" w:firstLine="30"/>
              <w:rPr/>
            </w:pPr>
            <w:r>
              <w:rPr/>
              <w:t> </w:t>
            </w:r>
          </w:p>
        </w:tc>
        <w:tc>
          <w:tcPr>
            <w:tcW w:w="390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2173" w:type="dxa"/>
            <w:tcBorders/>
            <w:shd w:fill="auto" w:val="clear"/>
            <w:vAlign w:val="center"/>
          </w:tcPr>
          <w:p>
            <w:pPr>
              <w:pStyle w:val="TableContents"/>
              <w:spacing w:before="0" w:after="0"/>
              <w:ind w:left="0" w:right="0" w:firstLine="30"/>
              <w:rPr/>
            </w:pPr>
            <w:r>
              <w:rPr/>
              <w:t> </w:t>
            </w:r>
          </w:p>
        </w:tc>
        <w:tc>
          <w:tcPr>
            <w:tcW w:w="120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17" w:type="dxa"/>
            <w:tcBorders/>
            <w:shd w:fill="auto" w:val="clear"/>
            <w:vAlign w:val="center"/>
          </w:tcPr>
          <w:p>
            <w:pPr>
              <w:pStyle w:val="TableContents"/>
              <w:spacing w:before="0" w:after="0"/>
              <w:ind w:left="0" w:right="0" w:firstLine="30"/>
              <w:rPr/>
            </w:pPr>
            <w:r>
              <w:rPr/>
              <w:t> </w:t>
            </w:r>
          </w:p>
        </w:tc>
        <w:tc>
          <w:tcPr>
            <w:tcW w:w="135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ind w:left="0" w:right="0" w:firstLine="30"/>
              <w:jc w:val="center"/>
              <w:rPr>
                <w:rFonts w:ascii="inherit" w:hAnsi="inherit"/>
                <w:b/>
                <w:sz w:val="13"/>
              </w:rPr>
            </w:pPr>
            <w:r>
              <w:rPr>
                <w:rFonts w:ascii="inherit" w:hAnsi="inherit"/>
                <w:b/>
                <w:sz w:val="13"/>
              </w:rPr>
              <w:t>Amortization</w:t>
            </w:r>
          </w:p>
        </w:tc>
        <w:tc>
          <w:tcPr>
            <w:tcW w:w="117" w:type="dxa"/>
            <w:tcBorders/>
            <w:shd w:fill="auto" w:val="clear"/>
            <w:vAlign w:val="center"/>
          </w:tcPr>
          <w:p>
            <w:pPr>
              <w:pStyle w:val="TableContents"/>
              <w:spacing w:before="0" w:after="0"/>
              <w:ind w:left="0" w:right="0" w:firstLine="30"/>
              <w:rPr/>
            </w:pPr>
            <w:r>
              <w:rPr/>
              <w:t> </w:t>
            </w:r>
          </w:p>
        </w:tc>
        <w:tc>
          <w:tcPr>
            <w:tcW w:w="120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Net Book</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117" w:type="dxa"/>
            <w:tcBorders/>
            <w:shd w:fill="auto" w:val="clear"/>
            <w:vAlign w:val="center"/>
          </w:tcPr>
          <w:p>
            <w:pPr>
              <w:pStyle w:val="TableContents"/>
              <w:spacing w:before="0" w:after="0"/>
              <w:ind w:left="0" w:right="0" w:firstLine="30"/>
              <w:rPr/>
            </w:pPr>
            <w:r>
              <w:rPr/>
              <w:t> </w:t>
            </w:r>
          </w:p>
        </w:tc>
        <w:tc>
          <w:tcPr>
            <w:tcW w:w="115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17" w:type="dxa"/>
            <w:tcBorders/>
            <w:shd w:fill="auto" w:val="clear"/>
            <w:vAlign w:val="center"/>
          </w:tcPr>
          <w:p>
            <w:pPr>
              <w:pStyle w:val="TableContents"/>
              <w:spacing w:before="0" w:after="0"/>
              <w:ind w:left="0" w:right="0" w:firstLine="30"/>
              <w:rPr/>
            </w:pPr>
            <w:r>
              <w:rPr/>
              <w:t> </w:t>
            </w:r>
          </w:p>
        </w:tc>
        <w:tc>
          <w:tcPr>
            <w:tcW w:w="135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ind w:left="0" w:right="0" w:firstLine="30"/>
              <w:jc w:val="center"/>
              <w:rPr>
                <w:rFonts w:ascii="inherit" w:hAnsi="inherit"/>
                <w:b/>
                <w:sz w:val="13"/>
              </w:rPr>
            </w:pPr>
            <w:r>
              <w:rPr>
                <w:rFonts w:ascii="inherit" w:hAnsi="inherit"/>
                <w:b/>
                <w:sz w:val="13"/>
              </w:rPr>
              <w:t>Amortization</w:t>
            </w:r>
          </w:p>
        </w:tc>
        <w:tc>
          <w:tcPr>
            <w:tcW w:w="117" w:type="dxa"/>
            <w:tcBorders/>
            <w:shd w:fill="auto" w:val="clear"/>
            <w:vAlign w:val="center"/>
          </w:tcPr>
          <w:p>
            <w:pPr>
              <w:pStyle w:val="TableContents"/>
              <w:spacing w:before="0" w:after="0"/>
              <w:ind w:left="0" w:right="0" w:firstLine="30"/>
              <w:rPr/>
            </w:pPr>
            <w:r>
              <w:rPr/>
              <w:t> </w:t>
            </w:r>
          </w:p>
        </w:tc>
        <w:tc>
          <w:tcPr>
            <w:tcW w:w="116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Net Book</w:t>
            </w:r>
          </w:p>
          <w:p>
            <w:pPr>
              <w:pStyle w:val="TableContents"/>
              <w:spacing w:before="0" w:after="0"/>
              <w:ind w:left="0" w:right="0" w:firstLine="30"/>
              <w:jc w:val="center"/>
              <w:rPr>
                <w:rFonts w:ascii="inherit" w:hAnsi="inherit"/>
                <w:b/>
                <w:sz w:val="13"/>
              </w:rPr>
            </w:pPr>
            <w:r>
              <w:rPr>
                <w:rFonts w:ascii="inherit" w:hAnsi="inherit"/>
                <w:b/>
                <w:sz w:val="13"/>
              </w:rPr>
              <w:t>Value</w:t>
            </w:r>
          </w:p>
        </w:tc>
      </w:tr>
      <w:tr>
        <w:trPr/>
        <w:tc>
          <w:tcPr>
            <w:tcW w:w="2173" w:type="dxa"/>
            <w:tcBorders/>
            <w:shd w:fill="auto" w:val="clear"/>
            <w:vAlign w:val="center"/>
          </w:tcPr>
          <w:p>
            <w:pPr>
              <w:pStyle w:val="TableContents"/>
              <w:spacing w:before="0" w:after="0"/>
              <w:ind w:left="0" w:right="0" w:firstLine="30"/>
              <w:jc w:val="left"/>
              <w:rPr/>
            </w:pPr>
            <w:r>
              <w:rPr/>
              <w:t> </w:t>
            </w:r>
          </w:p>
        </w:tc>
        <w:tc>
          <w:tcPr>
            <w:tcW w:w="1207" w:type="dxa"/>
            <w:gridSpan w:val="3"/>
            <w:tcBorders/>
            <w:shd w:fill="auto" w:val="clear"/>
            <w:vAlign w:val="center"/>
          </w:tcPr>
          <w:p>
            <w:pPr>
              <w:pStyle w:val="TableContents"/>
              <w:spacing w:before="0" w:after="0"/>
              <w:ind w:left="0" w:right="0" w:firstLine="30"/>
              <w:jc w:val="left"/>
              <w:rPr/>
            </w:pPr>
            <w:r>
              <w:rPr/>
              <w:t> </w:t>
            </w:r>
          </w:p>
        </w:tc>
        <w:tc>
          <w:tcPr>
            <w:tcW w:w="117" w:type="dxa"/>
            <w:tcBorders/>
            <w:shd w:fill="auto" w:val="clear"/>
            <w:vAlign w:val="center"/>
          </w:tcPr>
          <w:p>
            <w:pPr>
              <w:pStyle w:val="TableContents"/>
              <w:spacing w:before="0" w:after="0"/>
              <w:ind w:left="0" w:right="0" w:firstLine="30"/>
              <w:rPr/>
            </w:pPr>
            <w:r>
              <w:rPr/>
              <w:t> </w:t>
            </w:r>
          </w:p>
        </w:tc>
        <w:tc>
          <w:tcPr>
            <w:tcW w:w="1359" w:type="dxa"/>
            <w:gridSpan w:val="3"/>
            <w:tcBorders/>
            <w:shd w:fill="auto" w:val="clear"/>
            <w:vAlign w:val="center"/>
          </w:tcPr>
          <w:p>
            <w:pPr>
              <w:pStyle w:val="TableContents"/>
              <w:spacing w:before="0" w:after="0"/>
              <w:ind w:left="0" w:right="0" w:firstLine="30"/>
              <w:jc w:val="left"/>
              <w:rPr/>
            </w:pPr>
            <w:r>
              <w:rPr/>
              <w:t> </w:t>
            </w:r>
          </w:p>
        </w:tc>
        <w:tc>
          <w:tcPr>
            <w:tcW w:w="117" w:type="dxa"/>
            <w:tcBorders/>
            <w:shd w:fill="auto" w:val="clear"/>
            <w:vAlign w:val="center"/>
          </w:tcPr>
          <w:p>
            <w:pPr>
              <w:pStyle w:val="TableContents"/>
              <w:spacing w:before="0" w:after="0"/>
              <w:ind w:left="0" w:right="0" w:firstLine="30"/>
              <w:rPr/>
            </w:pPr>
            <w:r>
              <w:rPr/>
              <w:t> </w:t>
            </w:r>
          </w:p>
        </w:tc>
        <w:tc>
          <w:tcPr>
            <w:tcW w:w="247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17" w:type="dxa"/>
            <w:tcBorders/>
            <w:shd w:fill="auto" w:val="clear"/>
            <w:vAlign w:val="center"/>
          </w:tcPr>
          <w:p>
            <w:pPr>
              <w:pStyle w:val="TableContents"/>
              <w:spacing w:before="0" w:after="0"/>
              <w:ind w:left="0" w:right="0" w:firstLine="30"/>
              <w:rPr/>
            </w:pPr>
            <w:r>
              <w:rPr/>
              <w:t> </w:t>
            </w:r>
          </w:p>
        </w:tc>
        <w:tc>
          <w:tcPr>
            <w:tcW w:w="1359" w:type="dxa"/>
            <w:gridSpan w:val="3"/>
            <w:tcBorders/>
            <w:shd w:fill="auto" w:val="clear"/>
            <w:vAlign w:val="center"/>
          </w:tcPr>
          <w:p>
            <w:pPr>
              <w:pStyle w:val="TableContents"/>
              <w:spacing w:before="0" w:after="0"/>
              <w:ind w:left="0" w:right="0" w:firstLine="30"/>
              <w:jc w:val="left"/>
              <w:rPr/>
            </w:pPr>
            <w:r>
              <w:rPr/>
              <w:t> </w:t>
            </w:r>
          </w:p>
        </w:tc>
        <w:tc>
          <w:tcPr>
            <w:tcW w:w="117" w:type="dxa"/>
            <w:tcBorders/>
            <w:shd w:fill="auto" w:val="clear"/>
            <w:vAlign w:val="center"/>
          </w:tcPr>
          <w:p>
            <w:pPr>
              <w:pStyle w:val="TableContents"/>
              <w:spacing w:before="0" w:after="0"/>
              <w:ind w:left="0" w:right="0" w:firstLine="30"/>
              <w:rPr/>
            </w:pPr>
            <w:r>
              <w:rPr/>
              <w:t> </w:t>
            </w:r>
          </w:p>
        </w:tc>
        <w:tc>
          <w:tcPr>
            <w:tcW w:w="1165" w:type="dxa"/>
            <w:gridSpan w:val="3"/>
            <w:tcBorders/>
            <w:shd w:fill="auto" w:val="clear"/>
            <w:vAlign w:val="center"/>
          </w:tcPr>
          <w:p>
            <w:pPr>
              <w:pStyle w:val="TableContents"/>
              <w:spacing w:before="0" w:after="0"/>
              <w:ind w:left="0" w:right="0" w:firstLine="30"/>
              <w:jc w:val="left"/>
              <w:rPr/>
            </w:pPr>
            <w:r>
              <w:rPr/>
              <w:t> </w:t>
            </w:r>
          </w:p>
        </w:tc>
      </w:tr>
      <w:tr>
        <w:trPr/>
        <w:tc>
          <w:tcPr>
            <w:tcW w:w="2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Real estate finders’ fees</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shd w:fill="CCEEFF" w:val="clear"/>
            <w:vAlign w:val="center"/>
          </w:tcPr>
          <w:p>
            <w:pPr>
              <w:pStyle w:val="TableContents"/>
              <w:spacing w:before="0" w:after="0"/>
              <w:jc w:val="right"/>
              <w:rPr>
                <w:rFonts w:ascii="inherit" w:hAnsi="inherit"/>
                <w:sz w:val="17"/>
              </w:rPr>
            </w:pPr>
            <w:r>
              <w:rPr>
                <w:rFonts w:ascii="inherit" w:hAnsi="inherit"/>
                <w:sz w:val="17"/>
              </w:rPr>
              <w:t>1,457</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2" w:type="dxa"/>
            <w:tcBorders/>
            <w:shd w:fill="CCEEFF" w:val="clear"/>
            <w:vAlign w:val="center"/>
          </w:tcPr>
          <w:p>
            <w:pPr>
              <w:pStyle w:val="TableContents"/>
              <w:spacing w:before="0" w:after="0"/>
              <w:jc w:val="right"/>
              <w:rPr>
                <w:rFonts w:ascii="inherit" w:hAnsi="inherit"/>
                <w:sz w:val="17"/>
              </w:rPr>
            </w:pPr>
            <w:r>
              <w:rPr>
                <w:rFonts w:ascii="inherit" w:hAnsi="inherit"/>
                <w:sz w:val="17"/>
              </w:rPr>
              <w:t>(590</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shd w:fill="CCEEFF" w:val="clear"/>
            <w:vAlign w:val="center"/>
          </w:tcPr>
          <w:p>
            <w:pPr>
              <w:pStyle w:val="TableContents"/>
              <w:spacing w:before="0" w:after="0"/>
              <w:jc w:val="right"/>
              <w:rPr>
                <w:rFonts w:ascii="inherit" w:hAnsi="inherit"/>
                <w:sz w:val="17"/>
              </w:rPr>
            </w:pPr>
            <w:r>
              <w:rPr>
                <w:rFonts w:ascii="inherit" w:hAnsi="inherit"/>
                <w:sz w:val="17"/>
              </w:rPr>
              <w:t>867</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9" w:type="dxa"/>
            <w:tcBorders/>
            <w:shd w:fill="CCEEFF" w:val="clear"/>
            <w:vAlign w:val="center"/>
          </w:tcPr>
          <w:p>
            <w:pPr>
              <w:pStyle w:val="TableContents"/>
              <w:spacing w:before="0" w:after="0"/>
              <w:jc w:val="right"/>
              <w:rPr>
                <w:rFonts w:ascii="inherit" w:hAnsi="inherit"/>
                <w:sz w:val="17"/>
              </w:rPr>
            </w:pPr>
            <w:r>
              <w:rPr>
                <w:rFonts w:ascii="inherit" w:hAnsi="inherit"/>
                <w:sz w:val="17"/>
              </w:rPr>
              <w:t>1,157</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2" w:type="dxa"/>
            <w:tcBorders/>
            <w:shd w:fill="CCEEFF" w:val="clear"/>
            <w:vAlign w:val="center"/>
          </w:tcPr>
          <w:p>
            <w:pPr>
              <w:pStyle w:val="TableContents"/>
              <w:spacing w:before="0" w:after="0"/>
              <w:jc w:val="right"/>
              <w:rPr>
                <w:rFonts w:ascii="inherit" w:hAnsi="inherit"/>
                <w:sz w:val="17"/>
              </w:rPr>
            </w:pPr>
            <w:r>
              <w:rPr>
                <w:rFonts w:ascii="inherit" w:hAnsi="inherit"/>
                <w:sz w:val="17"/>
              </w:rPr>
              <w:t>(479</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5" w:type="dxa"/>
            <w:tcBorders/>
            <w:shd w:fill="CCEEFF" w:val="clear"/>
            <w:vAlign w:val="center"/>
          </w:tcPr>
          <w:p>
            <w:pPr>
              <w:pStyle w:val="TableContents"/>
              <w:spacing w:before="0" w:after="0"/>
              <w:jc w:val="right"/>
              <w:rPr>
                <w:rFonts w:ascii="inherit" w:hAnsi="inherit"/>
                <w:sz w:val="17"/>
              </w:rPr>
            </w:pPr>
            <w:r>
              <w:rPr>
                <w:rFonts w:ascii="inherit" w:hAnsi="inherit"/>
                <w:sz w:val="17"/>
              </w:rPr>
              <w:t>678</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4,504</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(3,290</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1,214</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3,722</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(2,459</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1,263</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Favorable lease</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1,159</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(436</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723</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755</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(322</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7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Franchise rights</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1,625</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1,523</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1,547</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financing costs</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10,584</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(3,459</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7,125</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2,411</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2,149</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7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Contractual relationship</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14,517</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(1,075</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13,442</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68" w:type="dxa"/>
            <w:gridSpan w:val="2"/>
            <w:tcBorders/>
            <w:shd w:fill="auto" w:val="clear"/>
            <w:vAlign w:val="center"/>
          </w:tcPr>
          <w:p>
            <w:pPr>
              <w:pStyle w:val="TableContents"/>
              <w:spacing w:before="0" w:after="0"/>
              <w:jc w:val="right"/>
              <w:rPr/>
            </w:pPr>
            <w:r>
              <w:rPr/>
              <w:t>—</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7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Internally developed software</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1,344</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1,325</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68" w:type="dxa"/>
            <w:gridSpan w:val="2"/>
            <w:tcBorders/>
            <w:shd w:fill="CCEEFF" w:val="clear"/>
            <w:vAlign w:val="center"/>
          </w:tcPr>
          <w:p>
            <w:pPr>
              <w:pStyle w:val="TableContents"/>
              <w:spacing w:before="0" w:after="0"/>
              <w:jc w:val="right"/>
              <w:rPr/>
            </w:pPr>
            <w:r>
              <w:rPr/>
              <w:t>—</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pPr>
            <w:r>
              <w:rPr/>
              <w:t>—</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1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8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1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1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w:t>
            </w:r>
          </w:p>
        </w:tc>
        <w:tc>
          <w:tcPr>
            <w:tcW w:w="8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w:t>
            </w:r>
          </w:p>
        </w:tc>
        <w:tc>
          <w:tcPr>
            <w:tcW w:w="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1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w:t>
            </w:r>
          </w:p>
        </w:tc>
        <w:tc>
          <w:tcPr>
            <w:tcW w:w="1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35,511</w:t>
            </w:r>
          </w:p>
        </w:tc>
        <w:tc>
          <w:tcPr>
            <w:tcW w:w="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(9,007</w:t>
            </w:r>
          </w:p>
        </w:tc>
        <w:tc>
          <w:tcPr>
            <w:tcW w:w="148"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26,504</w:t>
            </w:r>
          </w:p>
        </w:tc>
        <w:tc>
          <w:tcPr>
            <w:tcW w:w="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9,650</w:t>
            </w:r>
          </w:p>
        </w:tc>
        <w:tc>
          <w:tcPr>
            <w:tcW w:w="8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(3,566</w:t>
            </w:r>
          </w:p>
        </w:tc>
        <w:tc>
          <w:tcPr>
            <w:tcW w:w="148"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6,084</w:t>
            </w:r>
          </w:p>
        </w:tc>
        <w:tc>
          <w:tcPr>
            <w:tcW w:w="10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61</w:t>
      </w:r>
      <w:r>
        <w:br w:type="page"/>
      </w:r>
    </w:p>
    <w:p>
      <w:pPr>
        <w:pStyle w:val="TextBody"/>
        <w:spacing w:lineRule="auto" w:line="288" w:before="0" w:after="0"/>
        <w:rPr/>
      </w:pPr>
      <w:hyperlink w:anchor="s149FCBE28F3900CCBC1E0F13F39FAE0B">
        <w:bookmarkStart w:id="61" w:name="s7C688237B8F96ED0F0260F13B71B9ABA1"/>
        <w:bookmarkEnd w:id="61"/>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our credit agreement.</w:t>
      </w:r>
    </w:p>
    <w:p>
      <w:pPr>
        <w:pStyle w:val="TextBody"/>
        <w:spacing w:lineRule="auto" w:line="288" w:before="0" w:after="0"/>
        <w:jc w:val="left"/>
        <w:rPr>
          <w:rFonts w:ascii="inherit" w:hAnsi="inherit"/>
          <w:sz w:val="17"/>
        </w:rPr>
      </w:pPr>
      <w:r>
        <w:rPr>
          <w:rFonts w:ascii="inherit" w:hAnsi="inherit"/>
          <w:sz w:val="17"/>
        </w:rPr>
        <w:t>The following table presents the amount and classification of amortization recognized as expense in each of the periods presented:</w:t>
      </w:r>
    </w:p>
    <w:tbl>
      <w:tblPr>
        <w:tblW w:w="10205" w:type="dxa"/>
        <w:jc w:val="left"/>
        <w:tblInd w:w="0" w:type="dxa"/>
        <w:tblCellMar>
          <w:top w:w="0" w:type="dxa"/>
          <w:left w:w="0" w:type="dxa"/>
          <w:bottom w:w="0" w:type="dxa"/>
          <w:right w:w="0" w:type="dxa"/>
        </w:tblCellMar>
      </w:tblPr>
      <w:tblGrid>
        <w:gridCol w:w="5715"/>
        <w:gridCol w:w="159"/>
        <w:gridCol w:w="1110"/>
        <w:gridCol w:w="99"/>
        <w:gridCol w:w="136"/>
        <w:gridCol w:w="178"/>
        <w:gridCol w:w="1186"/>
        <w:gridCol w:w="104"/>
        <w:gridCol w:w="136"/>
        <w:gridCol w:w="159"/>
        <w:gridCol w:w="1110"/>
        <w:gridCol w:w="113"/>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71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15" w:type="dxa"/>
            <w:tcBorders/>
            <w:shd w:fill="auto" w:val="clear"/>
            <w:vAlign w:val="center"/>
          </w:tcPr>
          <w:p>
            <w:pPr>
              <w:pStyle w:val="TableContents"/>
              <w:spacing w:before="0" w:after="0"/>
              <w:ind w:left="0" w:right="0" w:firstLine="30"/>
              <w:jc w:val="left"/>
              <w:rPr/>
            </w:pPr>
            <w:r>
              <w:rPr/>
              <w:t> </w:t>
            </w:r>
          </w:p>
        </w:tc>
        <w:tc>
          <w:tcPr>
            <w:tcW w:w="449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715" w:type="dxa"/>
            <w:tcBorders/>
            <w:shd w:fill="auto" w:val="clear"/>
            <w:vAlign w:val="center"/>
          </w:tcPr>
          <w:p>
            <w:pPr>
              <w:pStyle w:val="TableContents"/>
              <w:spacing w:before="0" w:after="0"/>
              <w:ind w:left="0" w:right="0" w:firstLine="30"/>
              <w:jc w:val="left"/>
              <w:rPr/>
            </w:pPr>
            <w:r>
              <w:rPr/>
              <w:t> </w:t>
            </w:r>
          </w:p>
        </w:tc>
        <w:tc>
          <w:tcPr>
            <w:tcW w:w="1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6" w:type="dxa"/>
            <w:tcBorders/>
            <w:shd w:fill="auto" w:val="clear"/>
            <w:vAlign w:val="center"/>
          </w:tcPr>
          <w:p>
            <w:pPr>
              <w:pStyle w:val="TableContents"/>
              <w:spacing w:before="0" w:after="0"/>
              <w:ind w:left="0" w:right="0" w:firstLine="30"/>
              <w:rPr/>
            </w:pPr>
            <w:r>
              <w:rPr/>
              <w:t> </w:t>
            </w:r>
          </w:p>
        </w:tc>
        <w:tc>
          <w:tcPr>
            <w:tcW w:w="14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6" w:type="dxa"/>
            <w:tcBorders/>
            <w:shd w:fill="auto" w:val="clear"/>
            <w:vAlign w:val="center"/>
          </w:tcPr>
          <w:p>
            <w:pPr>
              <w:pStyle w:val="TableContents"/>
              <w:spacing w:before="0" w:after="0"/>
              <w:ind w:left="0" w:right="0" w:firstLine="30"/>
              <w:rPr/>
            </w:pPr>
            <w:r>
              <w:rPr/>
              <w:t> </w:t>
            </w:r>
          </w:p>
        </w:tc>
        <w:tc>
          <w:tcPr>
            <w:tcW w:w="13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715" w:type="dxa"/>
            <w:tcBorders/>
            <w:shd w:fill="auto" w:val="clear"/>
            <w:vAlign w:val="center"/>
          </w:tcPr>
          <w:p>
            <w:pPr>
              <w:pStyle w:val="TableContents"/>
              <w:spacing w:before="0" w:after="0"/>
              <w:ind w:left="0" w:right="0" w:firstLine="30"/>
              <w:jc w:val="left"/>
              <w:rPr/>
            </w:pPr>
            <w:r>
              <w:rPr/>
              <w:t> </w:t>
            </w:r>
          </w:p>
        </w:tc>
        <w:tc>
          <w:tcPr>
            <w:tcW w:w="1368" w:type="dxa"/>
            <w:gridSpan w:val="3"/>
            <w:tcBorders/>
            <w:shd w:fill="auto" w:val="clear"/>
            <w:vAlign w:val="center"/>
          </w:tcPr>
          <w:p>
            <w:pPr>
              <w:pStyle w:val="TableContents"/>
              <w:spacing w:before="0" w:after="0"/>
              <w:ind w:left="0" w:right="0" w:firstLine="30"/>
              <w:jc w:val="left"/>
              <w:rPr/>
            </w:pPr>
            <w:r>
              <w:rPr/>
              <w:t> </w:t>
            </w:r>
          </w:p>
        </w:tc>
        <w:tc>
          <w:tcPr>
            <w:tcW w:w="136" w:type="dxa"/>
            <w:tcBorders/>
            <w:shd w:fill="auto" w:val="clear"/>
            <w:vAlign w:val="center"/>
          </w:tcPr>
          <w:p>
            <w:pPr>
              <w:pStyle w:val="TableContents"/>
              <w:spacing w:before="0" w:after="0"/>
              <w:ind w:left="0" w:right="0" w:firstLine="30"/>
              <w:rPr/>
            </w:pPr>
            <w:r>
              <w:rPr/>
              <w:t> </w:t>
            </w:r>
          </w:p>
        </w:tc>
        <w:tc>
          <w:tcPr>
            <w:tcW w:w="1468"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36" w:type="dxa"/>
            <w:tcBorders/>
            <w:shd w:fill="auto" w:val="clear"/>
            <w:vAlign w:val="center"/>
          </w:tcPr>
          <w:p>
            <w:pPr>
              <w:pStyle w:val="TableContents"/>
              <w:spacing w:before="0" w:after="0"/>
              <w:ind w:left="0" w:right="0" w:firstLine="30"/>
              <w:rPr/>
            </w:pPr>
            <w:r>
              <w:rPr/>
              <w:t> </w:t>
            </w:r>
          </w:p>
        </w:tc>
        <w:tc>
          <w:tcPr>
            <w:tcW w:w="1382" w:type="dxa"/>
            <w:gridSpan w:val="3"/>
            <w:tcBorders/>
            <w:shd w:fill="auto" w:val="clear"/>
            <w:vAlign w:val="center"/>
          </w:tcPr>
          <w:p>
            <w:pPr>
              <w:pStyle w:val="TableContents"/>
              <w:spacing w:before="0" w:after="0"/>
              <w:ind w:left="0" w:right="0" w:firstLine="30"/>
              <w:jc w:val="left"/>
              <w:rPr/>
            </w:pPr>
            <w:r>
              <w:rPr/>
              <w:t> </w:t>
            </w:r>
          </w:p>
        </w:tc>
      </w:tr>
      <w:tr>
        <w:trPr/>
        <w:tc>
          <w:tcPr>
            <w:tcW w:w="571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Amortization expense in continuing operations</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1,956</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CCEEFF" w:val="clear"/>
            <w:vAlign w:val="center"/>
          </w:tcPr>
          <w:p>
            <w:pPr>
              <w:pStyle w:val="TableContents"/>
              <w:spacing w:before="0" w:after="0"/>
              <w:jc w:val="right"/>
              <w:rPr>
                <w:rFonts w:ascii="inherit" w:hAnsi="inherit"/>
                <w:sz w:val="17"/>
              </w:rPr>
            </w:pPr>
            <w:r>
              <w:rPr>
                <w:rFonts w:ascii="inherit" w:hAnsi="inherit"/>
                <w:sz w:val="17"/>
              </w:rPr>
              <w:t>834</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622</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Amortization expense in discontinued operations</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2,478</w:t>
            </w:r>
          </w:p>
        </w:tc>
        <w:tc>
          <w:tcPr>
            <w:tcW w:w="9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615</w:t>
            </w:r>
          </w:p>
        </w:tc>
        <w:tc>
          <w:tcPr>
            <w:tcW w:w="1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403</w:t>
            </w:r>
          </w:p>
        </w:tc>
        <w:tc>
          <w:tcPr>
            <w:tcW w:w="11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expense from the amortization of definite-lived intangible assets</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4,595</w:t>
            </w:r>
          </w:p>
        </w:tc>
        <w:tc>
          <w:tcPr>
            <w:tcW w:w="9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1,581</w:t>
            </w:r>
          </w:p>
        </w:tc>
        <w:tc>
          <w:tcPr>
            <w:tcW w:w="10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1,163</w:t>
            </w:r>
          </w:p>
        </w:tc>
        <w:tc>
          <w:tcPr>
            <w:tcW w:w="11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following table presents our estimate of amortization expense for definite-lived intangible assets:</w:t>
      </w:r>
    </w:p>
    <w:tbl>
      <w:tblPr>
        <w:tblW w:w="10205" w:type="dxa"/>
        <w:jc w:val="left"/>
        <w:tblInd w:w="0" w:type="dxa"/>
        <w:tblCellMar>
          <w:top w:w="0" w:type="dxa"/>
          <w:left w:w="0" w:type="dxa"/>
          <w:bottom w:w="0" w:type="dxa"/>
          <w:right w:w="0" w:type="dxa"/>
        </w:tblCellMar>
      </w:tblPr>
      <w:tblGrid>
        <w:gridCol w:w="5217"/>
        <w:gridCol w:w="231"/>
        <w:gridCol w:w="1344"/>
        <w:gridCol w:w="111"/>
        <w:gridCol w:w="146"/>
        <w:gridCol w:w="251"/>
        <w:gridCol w:w="1208"/>
        <w:gridCol w:w="116"/>
        <w:gridCol w:w="146"/>
        <w:gridCol w:w="178"/>
        <w:gridCol w:w="1139"/>
        <w:gridCol w:w="11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21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1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Fiscal Years Ended September 30,</w:t>
            </w:r>
          </w:p>
        </w:tc>
        <w:tc>
          <w:tcPr>
            <w:tcW w:w="16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Amortization Expense</w:t>
            </w:r>
          </w:p>
        </w:tc>
        <w:tc>
          <w:tcPr>
            <w:tcW w:w="146" w:type="dxa"/>
            <w:tcBorders/>
            <w:shd w:fill="auto" w:val="clear"/>
            <w:vAlign w:val="center"/>
          </w:tcPr>
          <w:p>
            <w:pPr>
              <w:pStyle w:val="TableContents"/>
              <w:spacing w:before="0" w:after="0"/>
              <w:ind w:left="0" w:right="0" w:firstLine="30"/>
              <w:rPr/>
            </w:pPr>
            <w:r>
              <w:rPr/>
              <w:t> </w:t>
            </w:r>
          </w:p>
        </w:tc>
        <w:tc>
          <w:tcPr>
            <w:tcW w:w="15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Operations Expense</w:t>
            </w:r>
          </w:p>
        </w:tc>
        <w:tc>
          <w:tcPr>
            <w:tcW w:w="146" w:type="dxa"/>
            <w:tcBorders/>
            <w:shd w:fill="auto" w:val="clear"/>
            <w:vAlign w:val="center"/>
          </w:tcPr>
          <w:p>
            <w:pPr>
              <w:pStyle w:val="TableContents"/>
              <w:spacing w:before="0" w:after="0"/>
              <w:ind w:left="0" w:right="0" w:firstLine="30"/>
              <w:rPr/>
            </w:pPr>
            <w:r>
              <w:rPr/>
              <w:t> </w:t>
            </w:r>
          </w:p>
        </w:tc>
        <w:tc>
          <w:tcPr>
            <w:tcW w:w="14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Interest Expense</w:t>
            </w:r>
          </w:p>
        </w:tc>
      </w:tr>
      <w:tr>
        <w:trPr/>
        <w:tc>
          <w:tcPr>
            <w:tcW w:w="5217" w:type="dxa"/>
            <w:tcBorders/>
            <w:shd w:fill="auto" w:val="clear"/>
            <w:vAlign w:val="center"/>
          </w:tcPr>
          <w:p>
            <w:pPr>
              <w:pStyle w:val="TableContents"/>
              <w:spacing w:before="0" w:after="0"/>
              <w:ind w:left="0" w:right="0" w:firstLine="30"/>
              <w:jc w:val="left"/>
              <w:rPr/>
            </w:pPr>
            <w:r>
              <w:rPr/>
              <w:t> </w:t>
            </w:r>
          </w:p>
        </w:tc>
        <w:tc>
          <w:tcPr>
            <w:tcW w:w="1686" w:type="dxa"/>
            <w:gridSpan w:val="3"/>
            <w:tcBorders/>
            <w:shd w:fill="auto" w:val="clear"/>
            <w:vAlign w:val="center"/>
          </w:tcPr>
          <w:p>
            <w:pPr>
              <w:pStyle w:val="TableContents"/>
              <w:spacing w:before="0" w:after="0"/>
              <w:ind w:left="0" w:right="0" w:firstLine="30"/>
              <w:jc w:val="left"/>
              <w:rPr/>
            </w:pPr>
            <w:r>
              <w:rPr/>
              <w:t> </w:t>
            </w:r>
          </w:p>
        </w:tc>
        <w:tc>
          <w:tcPr>
            <w:tcW w:w="146" w:type="dxa"/>
            <w:tcBorders/>
            <w:shd w:fill="auto" w:val="clear"/>
            <w:vAlign w:val="center"/>
          </w:tcPr>
          <w:p>
            <w:pPr>
              <w:pStyle w:val="TableContents"/>
              <w:spacing w:before="0" w:after="0"/>
              <w:ind w:left="0" w:right="0" w:firstLine="30"/>
              <w:rPr/>
            </w:pPr>
            <w:r>
              <w:rPr/>
              <w:t> </w:t>
            </w:r>
          </w:p>
        </w:tc>
        <w:tc>
          <w:tcPr>
            <w:tcW w:w="1575"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6" w:type="dxa"/>
            <w:tcBorders/>
            <w:shd w:fill="auto" w:val="clear"/>
            <w:vAlign w:val="center"/>
          </w:tcPr>
          <w:p>
            <w:pPr>
              <w:pStyle w:val="TableContents"/>
              <w:spacing w:before="0" w:after="0"/>
              <w:ind w:left="0" w:right="0" w:firstLine="30"/>
              <w:rPr/>
            </w:pPr>
            <w:r>
              <w:rPr/>
              <w:t> </w:t>
            </w:r>
          </w:p>
        </w:tc>
        <w:tc>
          <w:tcPr>
            <w:tcW w:w="1435" w:type="dxa"/>
            <w:gridSpan w:val="3"/>
            <w:tcBorders/>
            <w:shd w:fill="auto" w:val="clear"/>
            <w:vAlign w:val="center"/>
          </w:tcPr>
          <w:p>
            <w:pPr>
              <w:pStyle w:val="TableContents"/>
              <w:spacing w:before="0" w:after="0"/>
              <w:ind w:left="0" w:right="0" w:firstLine="30"/>
              <w:jc w:val="left"/>
              <w:rPr/>
            </w:pPr>
            <w:r>
              <w:rPr/>
              <w:t> </w:t>
            </w:r>
          </w:p>
        </w:tc>
      </w:tr>
      <w:tr>
        <w:trPr/>
        <w:tc>
          <w:tcPr>
            <w:tcW w:w="5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2013</w:t>
            </w:r>
          </w:p>
        </w:tc>
        <w:tc>
          <w:tcPr>
            <w:tcW w:w="2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44" w:type="dxa"/>
            <w:tcBorders/>
            <w:shd w:fill="CCEEFF" w:val="clear"/>
            <w:vAlign w:val="center"/>
          </w:tcPr>
          <w:p>
            <w:pPr>
              <w:pStyle w:val="TableContents"/>
              <w:spacing w:before="0" w:after="0"/>
              <w:jc w:val="right"/>
              <w:rPr>
                <w:rFonts w:ascii="inherit" w:hAnsi="inherit"/>
                <w:sz w:val="17"/>
              </w:rPr>
            </w:pPr>
            <w:r>
              <w:rPr>
                <w:rFonts w:ascii="inherit" w:hAnsi="inherit"/>
                <w:sz w:val="17"/>
              </w:rPr>
              <w:t>2,375</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2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8" w:type="dxa"/>
            <w:tcBorders/>
            <w:shd w:fill="CCEEFF" w:val="clear"/>
            <w:vAlign w:val="center"/>
          </w:tcPr>
          <w:p>
            <w:pPr>
              <w:pStyle w:val="TableContents"/>
              <w:spacing w:before="0" w:after="0"/>
              <w:jc w:val="right"/>
              <w:rPr>
                <w:rFonts w:ascii="inherit" w:hAnsi="inherit"/>
                <w:sz w:val="17"/>
              </w:rPr>
            </w:pPr>
            <w:r>
              <w:rPr>
                <w:rFonts w:ascii="inherit" w:hAnsi="inherit"/>
                <w:sz w:val="17"/>
              </w:rPr>
              <w:t>136</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9" w:type="dxa"/>
            <w:tcBorders/>
            <w:shd w:fill="CCEEFF" w:val="clear"/>
            <w:vAlign w:val="center"/>
          </w:tcPr>
          <w:p>
            <w:pPr>
              <w:pStyle w:val="TableContents"/>
              <w:spacing w:before="0" w:after="0"/>
              <w:jc w:val="right"/>
              <w:rPr>
                <w:rFonts w:ascii="inherit" w:hAnsi="inherit"/>
                <w:sz w:val="17"/>
              </w:rPr>
            </w:pPr>
            <w:r>
              <w:rPr>
                <w:rFonts w:ascii="inherit" w:hAnsi="inherit"/>
                <w:sz w:val="17"/>
              </w:rPr>
              <w:t>3,346</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2014</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2,200</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1,869</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2015</w:t>
            </w:r>
          </w:p>
        </w:tc>
        <w:tc>
          <w:tcPr>
            <w:tcW w:w="15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1,927</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45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926</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2016</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1,869</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984</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2017</w:t>
            </w:r>
          </w:p>
        </w:tc>
        <w:tc>
          <w:tcPr>
            <w:tcW w:w="15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1,820</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45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As acquisitions and dispositions occur in the future, amortization expense may vary from these estimates.</w:t>
      </w:r>
    </w:p>
    <w:p>
      <w:pPr>
        <w:pStyle w:val="TextBody"/>
        <w:spacing w:lineRule="auto" w:line="288" w:before="0" w:after="0"/>
        <w:jc w:val="left"/>
        <w:rPr>
          <w:rFonts w:ascii="inherit" w:hAnsi="inherit"/>
          <w:b/>
          <w:sz w:val="17"/>
        </w:rPr>
      </w:pPr>
      <w:bookmarkStart w:id="62" w:name="sFECED942E38B99B7EB8B0F13B75E480C"/>
      <w:bookmarkEnd w:id="62"/>
      <w:r>
        <w:rPr>
          <w:rFonts w:ascii="inherit" w:hAnsi="inherit"/>
          <w:b/>
          <w:sz w:val="17"/>
        </w:rPr>
        <w:t>NOTE 8: ACCOUNTS PAYABLE AND OTHER ACCRUED EXPENSES</w:t>
      </w:r>
    </w:p>
    <w:p>
      <w:pPr>
        <w:pStyle w:val="TextBody"/>
        <w:spacing w:lineRule="auto" w:line="288" w:before="0" w:after="0"/>
        <w:jc w:val="left"/>
        <w:rPr>
          <w:rFonts w:ascii="inherit" w:hAnsi="inherit"/>
          <w:sz w:val="17"/>
        </w:rPr>
      </w:pPr>
      <w:r>
        <w:rPr>
          <w:rFonts w:ascii="inherit" w:hAnsi="inherit"/>
          <w:sz w:val="17"/>
        </w:rPr>
        <w:t>Accounts payable and other accrued expenses consisted of the following:</w:t>
      </w:r>
    </w:p>
    <w:tbl>
      <w:tblPr>
        <w:tblW w:w="10205" w:type="dxa"/>
        <w:jc w:val="left"/>
        <w:tblInd w:w="0" w:type="dxa"/>
        <w:tblCellMar>
          <w:top w:w="0" w:type="dxa"/>
          <w:left w:w="0" w:type="dxa"/>
          <w:bottom w:w="0" w:type="dxa"/>
          <w:right w:w="0" w:type="dxa"/>
        </w:tblCellMar>
      </w:tblPr>
      <w:tblGrid>
        <w:gridCol w:w="7441"/>
        <w:gridCol w:w="125"/>
        <w:gridCol w:w="1094"/>
        <w:gridCol w:w="102"/>
        <w:gridCol w:w="116"/>
        <w:gridCol w:w="125"/>
        <w:gridCol w:w="1094"/>
        <w:gridCol w:w="10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4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441" w:type="dxa"/>
            <w:tcBorders/>
            <w:shd w:fill="auto" w:val="clear"/>
            <w:vAlign w:val="center"/>
          </w:tcPr>
          <w:p>
            <w:pPr>
              <w:pStyle w:val="TableContents"/>
              <w:spacing w:before="0" w:after="0"/>
              <w:ind w:left="0" w:right="0" w:firstLine="30"/>
              <w:jc w:val="left"/>
              <w:rPr/>
            </w:pPr>
            <w:r>
              <w:rPr/>
              <w:t> </w:t>
            </w:r>
          </w:p>
        </w:tc>
        <w:tc>
          <w:tcPr>
            <w:tcW w:w="276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7441" w:type="dxa"/>
            <w:tcBorders/>
            <w:shd w:fill="auto" w:val="clear"/>
            <w:vAlign w:val="center"/>
          </w:tcPr>
          <w:p>
            <w:pPr>
              <w:pStyle w:val="TableContents"/>
              <w:spacing w:before="0" w:after="0"/>
              <w:ind w:left="0" w:right="0" w:firstLine="30"/>
              <w:jc w:val="left"/>
              <w:rPr/>
            </w:pPr>
            <w:r>
              <w:rPr/>
              <w:t> </w:t>
            </w:r>
          </w:p>
        </w:tc>
        <w:tc>
          <w:tcPr>
            <w:tcW w:w="13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6" w:type="dxa"/>
            <w:tcBorders/>
            <w:shd w:fill="auto" w:val="clear"/>
            <w:vAlign w:val="center"/>
          </w:tcPr>
          <w:p>
            <w:pPr>
              <w:pStyle w:val="TableContents"/>
              <w:spacing w:before="0" w:after="0"/>
              <w:ind w:left="0" w:right="0" w:firstLine="30"/>
              <w:rPr/>
            </w:pPr>
            <w:r>
              <w:rPr/>
              <w:t> </w:t>
            </w:r>
          </w:p>
        </w:tc>
        <w:tc>
          <w:tcPr>
            <w:tcW w:w="132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441" w:type="dxa"/>
            <w:tcBorders/>
            <w:shd w:fill="auto" w:val="clear"/>
            <w:vAlign w:val="center"/>
          </w:tcPr>
          <w:p>
            <w:pPr>
              <w:pStyle w:val="TableContents"/>
              <w:spacing w:before="0" w:after="0"/>
              <w:ind w:left="0" w:right="0" w:firstLine="30"/>
              <w:jc w:val="left"/>
              <w:rPr/>
            </w:pPr>
            <w:r>
              <w:rPr/>
              <w:t> </w:t>
            </w:r>
          </w:p>
        </w:tc>
        <w:tc>
          <w:tcPr>
            <w:tcW w:w="276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4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accounts payable</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4" w:type="dxa"/>
            <w:tcBorders/>
            <w:shd w:fill="CCEEFF" w:val="clear"/>
            <w:vAlign w:val="center"/>
          </w:tcPr>
          <w:p>
            <w:pPr>
              <w:pStyle w:val="TableContents"/>
              <w:spacing w:before="0" w:after="0"/>
              <w:jc w:val="right"/>
              <w:rPr>
                <w:rFonts w:ascii="inherit" w:hAnsi="inherit"/>
                <w:sz w:val="17"/>
              </w:rPr>
            </w:pPr>
            <w:r>
              <w:rPr>
                <w:rFonts w:ascii="inherit" w:hAnsi="inherit"/>
                <w:sz w:val="17"/>
              </w:rPr>
              <w:t>15,172</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4" w:type="dxa"/>
            <w:tcBorders/>
            <w:shd w:fill="CCEEFF" w:val="clear"/>
            <w:vAlign w:val="center"/>
          </w:tcPr>
          <w:p>
            <w:pPr>
              <w:pStyle w:val="TableContents"/>
              <w:spacing w:before="0" w:after="0"/>
              <w:jc w:val="right"/>
              <w:rPr>
                <w:rFonts w:ascii="inherit" w:hAnsi="inherit"/>
                <w:sz w:val="17"/>
              </w:rPr>
            </w:pPr>
            <w:r>
              <w:rPr>
                <w:rFonts w:ascii="inherit" w:hAnsi="inherit"/>
                <w:sz w:val="17"/>
              </w:rPr>
              <w:t>9,949</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payroll and related expenses</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18,478</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22,326</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interest</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953</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rent and property taxes</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12,361</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10,728</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Accrual for expected losses on credit service letters of credit</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1,629</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1,795</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Collected funds payable to unaffiliated lenders under credit service programs</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1,705</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Contingent consideration</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11,901</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19" w:type="dxa"/>
            <w:gridSpan w:val="2"/>
            <w:tcBorders/>
            <w:shd w:fill="CCEEFF" w:val="clear"/>
            <w:vAlign w:val="center"/>
          </w:tcPr>
          <w:p>
            <w:pPr>
              <w:pStyle w:val="TableContents"/>
              <w:spacing w:before="0" w:after="0"/>
              <w:jc w:val="right"/>
              <w:rPr/>
            </w:pPr>
            <w:r>
              <w:rPr/>
              <w:t>—</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Deferred revenues</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6,988</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2,676</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accrued expenses</w:t>
            </w:r>
          </w:p>
        </w:tc>
        <w:tc>
          <w:tcPr>
            <w:tcW w:w="12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9,118</w:t>
            </w:r>
          </w:p>
        </w:tc>
        <w:tc>
          <w:tcPr>
            <w:tcW w:w="1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8,208</w:t>
            </w:r>
          </w:p>
        </w:tc>
        <w:tc>
          <w:tcPr>
            <w:tcW w:w="10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41" w:type="dxa"/>
            <w:tcBorders/>
            <w:shd w:fill="auto" w:val="clear"/>
            <w:vAlign w:val="center"/>
          </w:tcPr>
          <w:p>
            <w:pPr>
              <w:pStyle w:val="TableContents"/>
              <w:spacing w:before="0" w:after="0"/>
              <w:ind w:left="0" w:right="0" w:firstLine="30"/>
              <w:jc w:val="left"/>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78,925</w:t>
            </w:r>
          </w:p>
        </w:tc>
        <w:tc>
          <w:tcPr>
            <w:tcW w:w="10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57,400</w:t>
            </w:r>
          </w:p>
        </w:tc>
        <w:tc>
          <w:tcPr>
            <w:tcW w:w="10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62</w:t>
      </w:r>
      <w:r>
        <w:br w:type="page"/>
      </w:r>
    </w:p>
    <w:p>
      <w:pPr>
        <w:pStyle w:val="TextBody"/>
        <w:spacing w:lineRule="auto" w:line="288" w:before="0" w:after="0"/>
        <w:rPr/>
      </w:pPr>
      <w:hyperlink w:anchor="s149FCBE28F3900CCBC1E0F13F39FAE0B">
        <w:bookmarkStart w:id="63" w:name="s5E029DEBA4E1506761C40F13B7D47352"/>
        <w:bookmarkEnd w:id="6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9: LONG-TERM DEBT AND CAPITAL LEASE OBLIGATIONS</w:t>
      </w:r>
    </w:p>
    <w:p>
      <w:pPr>
        <w:pStyle w:val="TextBody"/>
        <w:spacing w:lineRule="auto" w:line="288" w:before="0" w:after="0"/>
        <w:jc w:val="left"/>
        <w:rPr>
          <w:sz w:val="17"/>
        </w:rPr>
      </w:pPr>
      <w:r>
        <w:rPr>
          <w:rFonts w:ascii="inherit" w:hAnsi="inherit"/>
          <w:sz w:val="17"/>
        </w:rPr>
        <w:t xml:space="preserve">The table below presents our long-term debt instruments and balances under capital lease obligations outstanding at </w:t>
      </w:r>
      <w:r>
        <w:rPr>
          <w:rFonts w:ascii="Times New Roman" w:hAnsi="Times New Roman"/>
          <w:strike w:val="false"/>
          <w:dstrike w:val="false"/>
          <w:color w:val="000000"/>
          <w:sz w:val="17"/>
          <w:u w:val="none"/>
          <w:effect w:val="none"/>
        </w:rPr>
        <w:t>September 30, 2012</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2011</w:t>
      </w:r>
      <w:r>
        <w:rPr>
          <w:rFonts w:ascii="inherit" w:hAnsi="inherit"/>
          <w:sz w:val="17"/>
        </w:rPr>
        <w:t>:</w:t>
      </w:r>
    </w:p>
    <w:tbl>
      <w:tblPr>
        <w:tblW w:w="10205" w:type="dxa"/>
        <w:jc w:val="left"/>
        <w:tblInd w:w="0" w:type="dxa"/>
        <w:tblCellMar>
          <w:top w:w="0" w:type="dxa"/>
          <w:left w:w="0" w:type="dxa"/>
          <w:bottom w:w="0" w:type="dxa"/>
          <w:right w:w="0" w:type="dxa"/>
        </w:tblCellMar>
      </w:tblPr>
      <w:tblGrid>
        <w:gridCol w:w="5355"/>
        <w:gridCol w:w="168"/>
        <w:gridCol w:w="1249"/>
        <w:gridCol w:w="93"/>
        <w:gridCol w:w="140"/>
        <w:gridCol w:w="178"/>
        <w:gridCol w:w="1127"/>
        <w:gridCol w:w="97"/>
        <w:gridCol w:w="140"/>
        <w:gridCol w:w="168"/>
        <w:gridCol w:w="1167"/>
        <w:gridCol w:w="323"/>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5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55" w:type="dxa"/>
            <w:tcBorders/>
            <w:shd w:fill="auto" w:val="clear"/>
            <w:vAlign w:val="center"/>
          </w:tcPr>
          <w:p>
            <w:pPr>
              <w:pStyle w:val="TableContents"/>
              <w:spacing w:before="0" w:after="0"/>
              <w:ind w:left="0" w:right="0" w:firstLine="30"/>
              <w:jc w:val="left"/>
              <w:rPr/>
            </w:pPr>
            <w:r>
              <w:rPr/>
              <w:t> </w:t>
            </w:r>
          </w:p>
        </w:tc>
        <w:tc>
          <w:tcPr>
            <w:tcW w:w="48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355" w:type="dxa"/>
            <w:tcBorders/>
            <w:shd w:fill="auto" w:val="clear"/>
            <w:vAlign w:val="center"/>
          </w:tcPr>
          <w:p>
            <w:pPr>
              <w:pStyle w:val="TableContents"/>
              <w:spacing w:before="0" w:after="0"/>
              <w:ind w:left="0" w:right="0" w:firstLine="30"/>
              <w:rPr/>
            </w:pPr>
            <w:r>
              <w:rPr/>
              <w:t> </w:t>
            </w:r>
          </w:p>
        </w:tc>
        <w:tc>
          <w:tcPr>
            <w:tcW w:w="3052"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165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355" w:type="dxa"/>
            <w:tcBorders/>
            <w:shd w:fill="auto" w:val="clear"/>
            <w:vAlign w:val="center"/>
          </w:tcPr>
          <w:p>
            <w:pPr>
              <w:pStyle w:val="TableContents"/>
              <w:spacing w:before="0" w:after="0"/>
              <w:ind w:left="0" w:right="0" w:firstLine="30"/>
              <w:jc w:val="left"/>
              <w:rPr/>
            </w:pPr>
            <w:r>
              <w:rPr/>
              <w:t> </w:t>
            </w:r>
          </w:p>
        </w:tc>
        <w:tc>
          <w:tcPr>
            <w:tcW w:w="151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40" w:type="dxa"/>
            <w:tcBorders/>
            <w:shd w:fill="auto" w:val="clear"/>
            <w:vAlign w:val="center"/>
          </w:tcPr>
          <w:p>
            <w:pPr>
              <w:pStyle w:val="TableContents"/>
              <w:spacing w:before="0" w:after="0"/>
              <w:ind w:left="0" w:right="0" w:firstLine="30"/>
              <w:rPr/>
            </w:pPr>
            <w:r>
              <w:rPr/>
              <w:t> </w:t>
            </w:r>
          </w:p>
        </w:tc>
        <w:tc>
          <w:tcPr>
            <w:tcW w:w="14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c>
          <w:tcPr>
            <w:tcW w:w="140" w:type="dxa"/>
            <w:tcBorders/>
            <w:shd w:fill="auto" w:val="clear"/>
            <w:vAlign w:val="center"/>
          </w:tcPr>
          <w:p>
            <w:pPr>
              <w:pStyle w:val="TableContents"/>
              <w:spacing w:before="0" w:after="0"/>
              <w:ind w:left="0" w:right="0" w:firstLine="30"/>
              <w:rPr/>
            </w:pPr>
            <w:r>
              <w:rPr/>
              <w:t> </w:t>
            </w:r>
          </w:p>
        </w:tc>
        <w:tc>
          <w:tcPr>
            <w:tcW w:w="16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r>
      <w:tr>
        <w:trPr/>
        <w:tc>
          <w:tcPr>
            <w:tcW w:w="5355" w:type="dxa"/>
            <w:tcBorders/>
            <w:shd w:fill="auto" w:val="clear"/>
            <w:vAlign w:val="center"/>
          </w:tcPr>
          <w:p>
            <w:pPr>
              <w:pStyle w:val="TableContents"/>
              <w:spacing w:before="0" w:after="0"/>
              <w:ind w:left="0" w:right="0" w:firstLine="30"/>
              <w:rPr/>
            </w:pPr>
            <w:r>
              <w:rPr/>
              <w:t> </w:t>
            </w:r>
          </w:p>
        </w:tc>
        <w:tc>
          <w:tcPr>
            <w:tcW w:w="4850" w:type="dxa"/>
            <w:gridSpan w:val="11"/>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35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Recourse to EZCORP:</w:t>
            </w:r>
          </w:p>
        </w:tc>
        <w:tc>
          <w:tcPr>
            <w:tcW w:w="1510"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402"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658" w:type="dxa"/>
            <w:gridSpan w:val="3"/>
            <w:tcBorders/>
            <w:shd w:fill="CCEEFF" w:val="clear"/>
            <w:vAlign w:val="center"/>
          </w:tcPr>
          <w:p>
            <w:pPr>
              <w:pStyle w:val="TableContents"/>
              <w:spacing w:before="0" w:after="0"/>
              <w:ind w:left="0" w:right="0" w:firstLine="180"/>
              <w:rPr/>
            </w:pPr>
            <w:r>
              <w:rPr/>
              <w:t> </w:t>
            </w:r>
          </w:p>
        </w:tc>
      </w:tr>
      <w:tr>
        <w:trPr/>
        <w:tc>
          <w:tcPr>
            <w:tcW w:w="5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Domestic line of credit up to $175,000 due 2015</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shd w:fill="auto" w:val="clear"/>
            <w:vAlign w:val="center"/>
          </w:tcPr>
          <w:p>
            <w:pPr>
              <w:pStyle w:val="TableContents"/>
              <w:spacing w:before="0" w:after="0"/>
              <w:jc w:val="right"/>
              <w:rPr>
                <w:rFonts w:ascii="inherit" w:hAnsi="inherit"/>
                <w:sz w:val="17"/>
              </w:rPr>
            </w:pPr>
            <w:r>
              <w:rPr>
                <w:rFonts w:ascii="inherit" w:hAnsi="inherit"/>
                <w:sz w:val="17"/>
              </w:rPr>
              <w:t>130,000</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7" w:type="dxa"/>
            <w:tcBorders/>
            <w:shd w:fill="auto" w:val="clear"/>
            <w:vAlign w:val="center"/>
          </w:tcPr>
          <w:p>
            <w:pPr>
              <w:pStyle w:val="TableContents"/>
              <w:spacing w:before="0" w:after="0"/>
              <w:jc w:val="right"/>
              <w:rPr/>
            </w:pPr>
            <w:r>
              <w:rPr/>
              <w:t>—</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7" w:type="dxa"/>
            <w:tcBorders/>
            <w:shd w:fill="auto" w:val="clear"/>
            <w:vAlign w:val="center"/>
          </w:tcPr>
          <w:p>
            <w:pPr>
              <w:pStyle w:val="TableContents"/>
              <w:spacing w:before="0" w:after="0"/>
              <w:jc w:val="right"/>
              <w:rPr>
                <w:rFonts w:ascii="inherit" w:hAnsi="inherit"/>
                <w:sz w:val="17"/>
              </w:rPr>
            </w:pPr>
            <w:r>
              <w:rPr>
                <w:rFonts w:ascii="inherit" w:hAnsi="inherit"/>
                <w:sz w:val="17"/>
              </w:rPr>
              <w:t>17,500</w:t>
            </w:r>
          </w:p>
        </w:tc>
        <w:tc>
          <w:tcPr>
            <w:tcW w:w="32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4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1,589</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5" w:type="dxa"/>
            <w:gridSpan w:val="2"/>
            <w:tcBorders/>
            <w:shd w:fill="CCEEFF" w:val="clear"/>
            <w:vAlign w:val="center"/>
          </w:tcPr>
          <w:p>
            <w:pPr>
              <w:pStyle w:val="TableContents"/>
              <w:spacing w:before="0" w:after="0"/>
              <w:jc w:val="right"/>
              <w:rPr/>
            </w:pPr>
            <w:r>
              <w:rPr/>
              <w:t>—</w:t>
            </w:r>
          </w:p>
        </w:tc>
        <w:tc>
          <w:tcPr>
            <w:tcW w:w="3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Nonrecourse to EZCORP:</w:t>
            </w:r>
          </w:p>
        </w:tc>
        <w:tc>
          <w:tcPr>
            <w:tcW w:w="151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402"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658" w:type="dxa"/>
            <w:gridSpan w:val="3"/>
            <w:tcBorders/>
            <w:shd w:fill="auto" w:val="clear"/>
            <w:vAlign w:val="center"/>
          </w:tcPr>
          <w:p>
            <w:pPr>
              <w:pStyle w:val="TableContents"/>
              <w:spacing w:before="0" w:after="0"/>
              <w:ind w:left="0" w:right="0" w:firstLine="180"/>
              <w:rPr/>
            </w:pPr>
            <w:r>
              <w:rPr/>
              <w:t> </w:t>
            </w:r>
          </w:p>
        </w:tc>
      </w:tr>
      <w:tr>
        <w:trPr/>
        <w:tc>
          <w:tcPr>
            <w:tcW w:w="5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$3,900 due 2014</w:t>
            </w:r>
          </w:p>
        </w:tc>
        <w:tc>
          <w:tcPr>
            <w:tcW w:w="14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2,629</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5" w:type="dxa"/>
            <w:gridSpan w:val="2"/>
            <w:tcBorders/>
            <w:shd w:fill="CCEEFF" w:val="clear"/>
            <w:vAlign w:val="center"/>
          </w:tcPr>
          <w:p>
            <w:pPr>
              <w:pStyle w:val="TableContents"/>
              <w:spacing w:before="0" w:after="0"/>
              <w:jc w:val="right"/>
              <w:rPr/>
            </w:pPr>
            <w:r>
              <w:rPr/>
              <w:t>—</w:t>
            </w:r>
          </w:p>
        </w:tc>
        <w:tc>
          <w:tcPr>
            <w:tcW w:w="32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$19,500 due 2015</w:t>
            </w:r>
          </w:p>
        </w:tc>
        <w:tc>
          <w:tcPr>
            <w:tcW w:w="14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16,073</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pPr>
            <w:r>
              <w:rPr/>
              <w:t>—</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5" w:type="dxa"/>
            <w:gridSpan w:val="2"/>
            <w:tcBorders/>
            <w:shd w:fill="auto" w:val="clear"/>
            <w:vAlign w:val="center"/>
          </w:tcPr>
          <w:p>
            <w:pPr>
              <w:pStyle w:val="TableContents"/>
              <w:spacing w:before="0" w:after="0"/>
              <w:jc w:val="right"/>
              <w:rPr/>
            </w:pPr>
            <w:r>
              <w:rPr/>
              <w:t>—</w:t>
            </w:r>
          </w:p>
        </w:tc>
        <w:tc>
          <w:tcPr>
            <w:tcW w:w="32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$23,300 due 2017</w:t>
            </w:r>
          </w:p>
        </w:tc>
        <w:tc>
          <w:tcPr>
            <w:tcW w:w="14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11,263</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5" w:type="dxa"/>
            <w:gridSpan w:val="2"/>
            <w:tcBorders/>
            <w:shd w:fill="CCEEFF" w:val="clear"/>
            <w:vAlign w:val="center"/>
          </w:tcPr>
          <w:p>
            <w:pPr>
              <w:pStyle w:val="TableContents"/>
              <w:spacing w:before="0" w:after="0"/>
              <w:jc w:val="right"/>
              <w:rPr/>
            </w:pPr>
            <w:r>
              <w:rPr/>
              <w:t>—</w:t>
            </w:r>
          </w:p>
        </w:tc>
        <w:tc>
          <w:tcPr>
            <w:tcW w:w="32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Securitization borrowing facility up to $116,700 due 2017</w:t>
            </w:r>
          </w:p>
        </w:tc>
        <w:tc>
          <w:tcPr>
            <w:tcW w:w="14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32,679</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pPr>
            <w:r>
              <w:rPr/>
              <w:t>—</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5" w:type="dxa"/>
            <w:gridSpan w:val="2"/>
            <w:tcBorders/>
            <w:shd w:fill="auto" w:val="clear"/>
            <w:vAlign w:val="center"/>
          </w:tcPr>
          <w:p>
            <w:pPr>
              <w:pStyle w:val="TableContents"/>
              <w:spacing w:before="0" w:after="0"/>
              <w:jc w:val="right"/>
              <w:rPr/>
            </w:pPr>
            <w:r>
              <w:rPr/>
              <w:t>—</w:t>
            </w:r>
          </w:p>
        </w:tc>
        <w:tc>
          <w:tcPr>
            <w:tcW w:w="32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2013</w:t>
            </w:r>
          </w:p>
        </w:tc>
        <w:tc>
          <w:tcPr>
            <w:tcW w:w="14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1,766</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5" w:type="dxa"/>
            <w:gridSpan w:val="2"/>
            <w:tcBorders/>
            <w:shd w:fill="CCEEFF" w:val="clear"/>
            <w:vAlign w:val="center"/>
          </w:tcPr>
          <w:p>
            <w:pPr>
              <w:pStyle w:val="TableContents"/>
              <w:spacing w:before="0" w:after="0"/>
              <w:jc w:val="right"/>
              <w:rPr/>
            </w:pPr>
            <w:r>
              <w:rPr/>
              <w:t>—</w:t>
            </w:r>
          </w:p>
        </w:tc>
        <w:tc>
          <w:tcPr>
            <w:tcW w:w="32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15% unsecured notes due 2013</w:t>
            </w:r>
          </w:p>
        </w:tc>
        <w:tc>
          <w:tcPr>
            <w:tcW w:w="14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14,262</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1,334</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5" w:type="dxa"/>
            <w:gridSpan w:val="2"/>
            <w:tcBorders/>
            <w:shd w:fill="auto" w:val="clear"/>
            <w:vAlign w:val="center"/>
          </w:tcPr>
          <w:p>
            <w:pPr>
              <w:pStyle w:val="TableContents"/>
              <w:spacing w:before="0" w:after="0"/>
              <w:jc w:val="right"/>
              <w:rPr/>
            </w:pPr>
            <w:r>
              <w:rPr/>
              <w:t>—</w:t>
            </w:r>
          </w:p>
        </w:tc>
        <w:tc>
          <w:tcPr>
            <w:tcW w:w="32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16% unsecured notes due 2013</w:t>
            </w:r>
          </w:p>
        </w:tc>
        <w:tc>
          <w:tcPr>
            <w:tcW w:w="14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5,248</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5" w:type="dxa"/>
            <w:gridSpan w:val="2"/>
            <w:tcBorders/>
            <w:shd w:fill="CCEEFF" w:val="clear"/>
            <w:vAlign w:val="center"/>
          </w:tcPr>
          <w:p>
            <w:pPr>
              <w:pStyle w:val="TableContents"/>
              <w:spacing w:before="0" w:after="0"/>
              <w:jc w:val="right"/>
              <w:rPr/>
            </w:pPr>
            <w:r>
              <w:rPr/>
              <w:t>—</w:t>
            </w:r>
          </w:p>
        </w:tc>
        <w:tc>
          <w:tcPr>
            <w:tcW w:w="32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2014</w:t>
            </w:r>
          </w:p>
        </w:tc>
        <w:tc>
          <w:tcPr>
            <w:tcW w:w="14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963</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pPr>
            <w:r>
              <w:rPr/>
              <w:t>—</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5" w:type="dxa"/>
            <w:gridSpan w:val="2"/>
            <w:tcBorders/>
            <w:shd w:fill="auto" w:val="clear"/>
            <w:vAlign w:val="center"/>
          </w:tcPr>
          <w:p>
            <w:pPr>
              <w:pStyle w:val="TableContents"/>
              <w:spacing w:before="0" w:after="0"/>
              <w:jc w:val="right"/>
              <w:rPr/>
            </w:pPr>
            <w:r>
              <w:rPr/>
              <w:t>—</w:t>
            </w:r>
          </w:p>
        </w:tc>
        <w:tc>
          <w:tcPr>
            <w:tcW w:w="32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2015</w:t>
            </w:r>
          </w:p>
        </w:tc>
        <w:tc>
          <w:tcPr>
            <w:tcW w:w="14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5" w:type="dxa"/>
            <w:gridSpan w:val="2"/>
            <w:tcBorders/>
            <w:shd w:fill="CCEEFF" w:val="clear"/>
            <w:vAlign w:val="center"/>
          </w:tcPr>
          <w:p>
            <w:pPr>
              <w:pStyle w:val="TableContents"/>
              <w:spacing w:before="0" w:after="0"/>
              <w:jc w:val="right"/>
              <w:rPr/>
            </w:pPr>
            <w:r>
              <w:rPr/>
              <w:t>—</w:t>
            </w:r>
          </w:p>
        </w:tc>
        <w:tc>
          <w:tcPr>
            <w:tcW w:w="32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15% secured notes due 2015</w:t>
            </w:r>
          </w:p>
        </w:tc>
        <w:tc>
          <w:tcPr>
            <w:tcW w:w="14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4,488</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597</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335" w:type="dxa"/>
            <w:gridSpan w:val="2"/>
            <w:tcBorders/>
            <w:shd w:fill="auto" w:val="clear"/>
            <w:vAlign w:val="center"/>
          </w:tcPr>
          <w:p>
            <w:pPr>
              <w:pStyle w:val="TableContents"/>
              <w:spacing w:before="0" w:after="0"/>
              <w:jc w:val="right"/>
              <w:rPr/>
            </w:pPr>
            <w:r>
              <w:rPr/>
              <w:t>—</w:t>
            </w:r>
          </w:p>
        </w:tc>
        <w:tc>
          <w:tcPr>
            <w:tcW w:w="32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2016</w:t>
            </w:r>
          </w:p>
        </w:tc>
        <w:tc>
          <w:tcPr>
            <w:tcW w:w="14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123</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0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23"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obligations</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shd w:fill="auto" w:val="clear"/>
            <w:vAlign w:val="center"/>
          </w:tcPr>
          <w:p>
            <w:pPr>
              <w:pStyle w:val="TableContents"/>
              <w:spacing w:before="0" w:after="0"/>
              <w:jc w:val="right"/>
              <w:rPr>
                <w:rFonts w:ascii="inherit" w:hAnsi="inherit"/>
                <w:sz w:val="17"/>
              </w:rPr>
            </w:pPr>
            <w:r>
              <w:rPr>
                <w:rFonts w:ascii="inherit" w:hAnsi="inherit"/>
                <w:sz w:val="17"/>
              </w:rPr>
              <w:t>221,510</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7" w:type="dxa"/>
            <w:tcBorders/>
            <w:shd w:fill="auto" w:val="clear"/>
            <w:vAlign w:val="center"/>
          </w:tcPr>
          <w:p>
            <w:pPr>
              <w:pStyle w:val="TableContents"/>
              <w:spacing w:before="0" w:after="0"/>
              <w:jc w:val="right"/>
              <w:rPr>
                <w:rFonts w:ascii="inherit" w:hAnsi="inherit"/>
                <w:sz w:val="17"/>
              </w:rPr>
            </w:pPr>
            <w:r>
              <w:rPr>
                <w:rFonts w:ascii="inherit" w:hAnsi="inherit"/>
                <w:sz w:val="17"/>
              </w:rPr>
              <w:t>2,238</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7" w:type="dxa"/>
            <w:tcBorders/>
            <w:shd w:fill="auto" w:val="clear"/>
            <w:vAlign w:val="center"/>
          </w:tcPr>
          <w:p>
            <w:pPr>
              <w:pStyle w:val="TableContents"/>
              <w:spacing w:before="0" w:after="0"/>
              <w:jc w:val="right"/>
              <w:rPr>
                <w:rFonts w:ascii="inherit" w:hAnsi="inherit"/>
                <w:sz w:val="17"/>
              </w:rPr>
            </w:pPr>
            <w:r>
              <w:rPr>
                <w:rFonts w:ascii="inherit" w:hAnsi="inherit"/>
                <w:sz w:val="17"/>
              </w:rPr>
              <w:t>17,500</w:t>
            </w:r>
          </w:p>
        </w:tc>
        <w:tc>
          <w:tcPr>
            <w:tcW w:w="32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current portion</w:t>
            </w:r>
          </w:p>
        </w:tc>
        <w:tc>
          <w:tcPr>
            <w:tcW w:w="1510"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21,679</w:t>
            </w:r>
          </w:p>
        </w:tc>
        <w:tc>
          <w:tcPr>
            <w:tcW w:w="140" w:type="dxa"/>
            <w:tcBorders/>
            <w:shd w:fill="CCEEFF" w:val="clear"/>
            <w:vAlign w:val="center"/>
          </w:tcPr>
          <w:p>
            <w:pPr>
              <w:pStyle w:val="TableContents"/>
              <w:spacing w:before="0" w:after="0"/>
              <w:ind w:left="0" w:right="0" w:firstLine="30"/>
              <w:rPr/>
            </w:pPr>
            <w:r>
              <w:rPr/>
              <w:t> </w:t>
            </w:r>
          </w:p>
        </w:tc>
        <w:tc>
          <w:tcPr>
            <w:tcW w:w="130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33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2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5"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Total long-term and capital lease obligations</w:t>
            </w:r>
          </w:p>
        </w:tc>
        <w:tc>
          <w:tcPr>
            <w:tcW w:w="1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199,831</w:t>
            </w:r>
          </w:p>
        </w:tc>
        <w:tc>
          <w:tcPr>
            <w:tcW w:w="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2,238</w:t>
            </w:r>
          </w:p>
        </w:tc>
        <w:tc>
          <w:tcPr>
            <w:tcW w:w="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17,500</w:t>
            </w:r>
          </w:p>
        </w:tc>
        <w:tc>
          <w:tcPr>
            <w:tcW w:w="3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On May 10, 2011, we entered into a new senior secured credit agreement with a syndicate of </w:t>
      </w:r>
      <w:r>
        <w:rPr>
          <w:rFonts w:ascii="inherit" w:hAnsi="inherit"/>
          <w:strike w:val="false"/>
          <w:dstrike w:val="false"/>
          <w:color w:val="000000"/>
          <w:sz w:val="17"/>
          <w:u w:val="none"/>
          <w:effect w:val="none"/>
        </w:rPr>
        <w:t>five</w:t>
      </w:r>
      <w:r>
        <w:rPr>
          <w:sz w:val="17"/>
        </w:rPr>
        <w:t xml:space="preserve"> </w:t>
      </w:r>
      <w:r>
        <w:rPr>
          <w:rFonts w:ascii="inherit" w:hAnsi="inherit"/>
          <w:sz w:val="17"/>
        </w:rPr>
        <w:t xml:space="preserve">banks, replacing our previous credit agreement. Among other things, the new credit agreement provides for a </w:t>
      </w:r>
      <w:r>
        <w:rPr>
          <w:rFonts w:ascii="inherit" w:hAnsi="inherit"/>
          <w:strike w:val="false"/>
          <w:dstrike w:val="false"/>
          <w:color w:val="000000"/>
          <w:sz w:val="17"/>
          <w:u w:val="none"/>
          <w:effect w:val="none"/>
        </w:rPr>
        <w:t>four</w:t>
      </w:r>
      <w:r>
        <w:rPr>
          <w:sz w:val="17"/>
        </w:rPr>
        <w:t xml:space="preserve"> </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our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outstanding debt. The new credit facility increases our available credit and provides greater flexibility to make investments and acquisitions both domestically and internationally.</w:t>
      </w:r>
    </w:p>
    <w:p>
      <w:pPr>
        <w:pStyle w:val="TextBody"/>
        <w:spacing w:lineRule="auto" w:line="288" w:before="0" w:after="0"/>
        <w:jc w:val="left"/>
        <w:rPr>
          <w:sz w:val="17"/>
        </w:rPr>
      </w:pPr>
      <w:r>
        <w:rPr>
          <w:rFonts w:ascii="inherit" w:hAnsi="inherit"/>
          <w:sz w:val="17"/>
        </w:rPr>
        <w:t xml:space="preserve">Pursuant to the credit agreement, we may choose to pay interest to the lenders for outstanding borrowings at </w:t>
      </w:r>
      <w:r>
        <w:rPr>
          <w:rFonts w:ascii="inherit" w:hAnsi="inherit"/>
          <w:strike w:val="false"/>
          <w:dstrike w:val="false"/>
          <w:color w:val="000000"/>
          <w:sz w:val="17"/>
          <w:u w:val="none"/>
          <w:effect w:val="none"/>
        </w:rPr>
        <w:t>LIBOR plus 200 to 275 basis points or the bank's base rate plus 100 to 175 basis points</w:t>
      </w:r>
      <w:r>
        <w:rPr>
          <w:rFonts w:ascii="inherit" w:hAnsi="inherit"/>
          <w:sz w:val="17"/>
        </w:rPr>
        <w:t xml:space="preserve">, depending on our leverage ratio computed at the end of each calendar quarter. On the unused amount of the credit facility, we pay a </w:t>
      </w:r>
      <w:r>
        <w:rPr>
          <w:rFonts w:ascii="inherit" w:hAnsi="inherit"/>
          <w:strike w:val="false"/>
          <w:dstrike w:val="false"/>
          <w:color w:val="000000"/>
          <w:sz w:val="17"/>
          <w:u w:val="none"/>
          <w:effect w:val="none"/>
        </w:rPr>
        <w:t>commitment fee of 37.5 to 50 basis points depending on our leverage ratio calculated at the end of each quarter</w:t>
      </w:r>
      <w:r>
        <w:rPr>
          <w:rFonts w:ascii="inherit" w:hAnsi="inherit"/>
          <w:sz w:val="17"/>
        </w:rPr>
        <w:t xml:space="preserve">. Terms of the credit agreement require, among other things, that we meet certain financial covenants. At </w:t>
      </w:r>
      <w:r>
        <w:rPr>
          <w:rFonts w:ascii="inherit" w:hAnsi="inherit"/>
          <w:strike w:val="false"/>
          <w:dstrike w:val="false"/>
          <w:color w:val="000000"/>
          <w:sz w:val="17"/>
          <w:u w:val="none"/>
          <w:effect w:val="none"/>
        </w:rPr>
        <w:t>September 30, 2012</w:t>
      </w:r>
      <w:r>
        <w:rPr>
          <w:rFonts w:ascii="inherit" w:hAnsi="inherit"/>
          <w:sz w:val="17"/>
        </w:rPr>
        <w:t>, we were in compliance with all covenants. We expect the recorded value of our debt to approximate its fair value, as it is all variable rate debt and carries no pre-payment penalty, and would be considered a Level 3 estimate within the fair value hierarchy.</w:t>
      </w:r>
    </w:p>
    <w:p>
      <w:pPr>
        <w:pStyle w:val="TextBody"/>
        <w:spacing w:lineRule="auto" w:line="288" w:before="0" w:after="0"/>
        <w:jc w:val="left"/>
        <w:rPr>
          <w:rFonts w:ascii="inherit" w:hAnsi="inherit"/>
          <w:sz w:val="17"/>
        </w:rPr>
      </w:pPr>
      <w:r>
        <w:rPr>
          <w:rFonts w:ascii="inherit" w:hAnsi="inherit"/>
          <w:sz w:val="17"/>
        </w:rPr>
        <w:t>Deferred financing costs related to our credit agreement are included in intangible assets, net on the balance sheet and are being amortized to interest expense over the term of the agreement.</w:t>
      </w:r>
    </w:p>
    <w:p>
      <w:pPr>
        <w:pStyle w:val="TextBody"/>
        <w:spacing w:lineRule="auto" w:line="288" w:before="0" w:after="0"/>
        <w:jc w:val="left"/>
        <w:rPr>
          <w:sz w:val="17"/>
        </w:rPr>
      </w:pPr>
      <w:r>
        <w:rPr>
          <w:rFonts w:ascii="inherit" w:hAnsi="inherit"/>
          <w:sz w:val="17"/>
        </w:rPr>
        <w:t xml:space="preserve">On January 30, 2012, we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ownership interest in Crediamigo, a specialty consumer finance company headquartered in Mexico City. Non-recourse debt amounts in the table above represent Crediamigo's third party debt. All lines of credit are guaranteed by the Crediamigo loan portfolio. Interest on lines of credit due 2014 and 2015 is charged at the Mexican Interbank Equilibrium ("TIIE") plus a margin varying from </w:t>
      </w:r>
      <w:r>
        <w:rPr>
          <w:rFonts w:ascii="inherit" w:hAnsi="inherit"/>
          <w:strike w:val="false"/>
          <w:dstrike w:val="false"/>
          <w:color w:val="000000"/>
          <w:sz w:val="17"/>
          <w:u w:val="none"/>
          <w:effect w:val="none"/>
        </w:rPr>
        <w:t>3%</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w:t>
      </w:r>
      <w:r>
        <w:rPr>
          <w:rFonts w:ascii="inherit" w:hAnsi="inherit"/>
          <w:sz w:val="17"/>
        </w:rPr>
        <w:t xml:space="preserve">. The line of credit due 2014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with remaining principal due at maturity. The line of credit due 2015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$0.8 million</w:t>
      </w:r>
      <w:r>
        <w:rPr>
          <w:rFonts w:ascii="inherit" w:hAnsi="inherit"/>
          <w:sz w:val="17"/>
        </w:rPr>
        <w:t xml:space="preserve">. Beginning September 30, 2012, the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secured notes require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with remaining principal due at maturity. The debt premium on Crediamigo's debt was recorded at acquisition and is being amortized as a reduction of interest expense over the life of the debt. We expect the recorded value of our debt to approximate its fair value and would be considered Level 3 estimates within the fair value hierarchy.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63</w:t>
      </w:r>
      <w:r>
        <w:br w:type="page"/>
      </w:r>
    </w:p>
    <w:p>
      <w:pPr>
        <w:pStyle w:val="TextBody"/>
        <w:spacing w:lineRule="auto" w:line="288" w:before="0" w:after="0"/>
        <w:rPr/>
      </w:pPr>
      <w:hyperlink w:anchor="s149FCBE28F3900CCBC1E0F13F39FAE0B">
        <w:bookmarkStart w:id="64" w:name="s5E029DEBA4E1506761C40F13B7D473521"/>
        <w:bookmarkEnd w:id="6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On June 29, 2012 Crediamigo renegotiated their revolving line of credit originally due 2016. The interest rate was decreased from </w:t>
      </w: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14.5%</w:t>
      </w:r>
      <w:r>
        <w:rPr>
          <w:sz w:val="17"/>
        </w:rPr>
        <w:t xml:space="preserve"> </w:t>
      </w:r>
      <w:r>
        <w:rPr>
          <w:rFonts w:ascii="inherit" w:hAnsi="inherit"/>
          <w:sz w:val="17"/>
        </w:rPr>
        <w:t xml:space="preserve">and the term was extended </w:t>
      </w:r>
      <w:r>
        <w:rPr>
          <w:rFonts w:ascii="inherit" w:hAnsi="inherit"/>
          <w:strike w:val="false"/>
          <w:dstrike w:val="false"/>
          <w:color w:val="000000"/>
          <w:sz w:val="17"/>
          <w:u w:val="none"/>
          <w:effect w:val="none"/>
        </w:rPr>
        <w:t>6 months</w:t>
      </w:r>
      <w:r>
        <w:rPr>
          <w:rFonts w:ascii="inherit" w:hAnsi="inherit"/>
          <w:sz w:val="17"/>
        </w:rPr>
        <w:t xml:space="preserve">, now being due at the end of April 2017. The maximum borrowing capacity was also raised from </w:t>
      </w:r>
      <w:r>
        <w:rPr>
          <w:rFonts w:ascii="inherit" w:hAnsi="inherit"/>
          <w:strike w:val="false"/>
          <w:dstrike w:val="false"/>
          <w:color w:val="000000"/>
          <w:sz w:val="17"/>
          <w:u w:val="none"/>
          <w:effect w:val="none"/>
        </w:rPr>
        <w:t>$14.6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$22.0 million</w:t>
      </w:r>
      <w:r>
        <w:rPr>
          <w:rFonts w:ascii="inherit" w:hAnsi="inherit"/>
          <w:sz w:val="17"/>
        </w:rPr>
        <w:t xml:space="preserve">. Due to the substantial improvement in the renegotiated terms, the remaining unamortized premium of </w:t>
      </w:r>
      <w:r>
        <w:rPr>
          <w:rFonts w:ascii="inherit" w:hAnsi="inherit"/>
          <w:strike w:val="false"/>
          <w:dstrike w:val="false"/>
          <w:color w:val="000000"/>
          <w:sz w:val="17"/>
          <w:u w:val="none"/>
          <w:effect w:val="none"/>
        </w:rPr>
        <w:t>$2.8 million</w:t>
      </w:r>
      <w:r>
        <w:rPr>
          <w:rFonts w:ascii="inherit" w:hAnsi="inherit"/>
          <w:sz w:val="17"/>
        </w:rPr>
        <w:t>, valued at acquisition, was accelerated and recognized as a reduction to interest expense in our third fiscal quarter.</w:t>
      </w:r>
    </w:p>
    <w:p>
      <w:pPr>
        <w:pStyle w:val="TextBody"/>
        <w:spacing w:lineRule="auto" w:line="288" w:before="0" w:after="0"/>
        <w:jc w:val="left"/>
        <w:rPr>
          <w:sz w:val="17"/>
        </w:rPr>
      </w:pPr>
      <w:r>
        <w:rPr>
          <w:rFonts w:ascii="inherit" w:hAnsi="inherit"/>
          <w:sz w:val="17"/>
        </w:rPr>
        <w:t xml:space="preserve">In September 2012, Crediamigo renegotiated their revolving line of credit due 2015. Effective October 1, 2012 the interest rate was decreased from </w:t>
      </w:r>
      <w:r>
        <w:rPr>
          <w:rFonts w:ascii="inherit" w:hAnsi="inherit"/>
          <w:strike w:val="false"/>
          <w:dstrike w:val="false"/>
          <w:color w:val="000000"/>
          <w:sz w:val="17"/>
          <w:u w:val="none"/>
          <w:effect w:val="none"/>
        </w:rPr>
        <w:t>18%</w:t>
      </w:r>
      <w:r>
        <w:rPr>
          <w:sz w:val="17"/>
        </w:rPr>
        <w:t xml:space="preserve"> </w:t>
      </w:r>
      <w:r>
        <w:rPr>
          <w:rFonts w:ascii="inherit" w:hAnsi="inherit"/>
          <w:sz w:val="17"/>
        </w:rPr>
        <w:t xml:space="preserve">to TIIE plus a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margin, total of </w:t>
      </w:r>
      <w:r>
        <w:rPr>
          <w:rFonts w:ascii="inherit" w:hAnsi="inherit"/>
          <w:strike w:val="false"/>
          <w:dstrike w:val="false"/>
          <w:color w:val="000000"/>
          <w:sz w:val="17"/>
          <w:u w:val="none"/>
          <w:effect w:val="none"/>
        </w:rPr>
        <w:t>11%</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Due to the substantial improvement in the renegotiated terms, the remaining unamortized premium of </w:t>
      </w:r>
      <w:r>
        <w:rPr>
          <w:rFonts w:ascii="inherit" w:hAnsi="inherit"/>
          <w:strike w:val="false"/>
          <w:dstrike w:val="false"/>
          <w:color w:val="000000"/>
          <w:sz w:val="17"/>
          <w:u w:val="none"/>
          <w:effect w:val="none"/>
        </w:rPr>
        <w:t>$4.4 million</w:t>
      </w:r>
      <w:r>
        <w:rPr>
          <w:rFonts w:ascii="inherit" w:hAnsi="inherit"/>
          <w:sz w:val="17"/>
        </w:rPr>
        <w:t xml:space="preserve">, valued at acquisition, was accelerated and recognized as a reduction to interest expense in our fourth fiscal quarter. </w:t>
      </w:r>
    </w:p>
    <w:p>
      <w:pPr>
        <w:pStyle w:val="TextBody"/>
        <w:spacing w:lineRule="auto" w:line="288" w:before="0" w:after="0"/>
        <w:jc w:val="left"/>
        <w:rPr>
          <w:sz w:val="17"/>
        </w:rPr>
      </w:pPr>
      <w:r>
        <w:rPr>
          <w:rFonts w:ascii="inherit" w:hAnsi="inherit"/>
          <w:sz w:val="17"/>
        </w:rPr>
        <w:t xml:space="preserve">On July 10, 2012, Crediamigo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Crediamigo.The securitization agreement calls for a </w:t>
      </w:r>
      <w:r>
        <w:rPr>
          <w:rFonts w:ascii="inherit" w:hAnsi="inherit"/>
          <w:strike w:val="false"/>
          <w:dstrike w:val="false"/>
          <w:color w:val="000000"/>
          <w:sz w:val="17"/>
          <w:u w:val="none"/>
          <w:effect w:val="none"/>
        </w:rPr>
        <w:t>two</w:t>
      </w:r>
      <w:r>
        <w:rPr>
          <w:rFonts w:ascii="inherit" w:hAnsi="inherit"/>
          <w:sz w:val="17"/>
        </w:rPr>
        <w:t xml:space="preserve">-year revolving period in which the trust will use principal collections of the consumer loan portfolio to acquire additional collection rights up to </w:t>
      </w:r>
      <w:r>
        <w:rPr>
          <w:rFonts w:ascii="inherit" w:hAnsi="inherit"/>
          <w:strike w:val="false"/>
          <w:dstrike w:val="false"/>
          <w:color w:val="000000"/>
          <w:sz w:val="17"/>
          <w:u w:val="none"/>
          <w:effect w:val="none"/>
        </w:rPr>
        <w:t>$116.7 million</w:t>
      </w:r>
      <w:r>
        <w:rPr>
          <w:sz w:val="17"/>
        </w:rPr>
        <w:t xml:space="preserve"> </w:t>
      </w:r>
      <w:r>
        <w:rPr>
          <w:rFonts w:ascii="inherit" w:hAnsi="inherit"/>
          <w:sz w:val="17"/>
        </w:rPr>
        <w:t>in eligible loans from Crediamigo. Upon the termination of the revolving period, the collection received by the trust will be used to repay the debt. Crediamigo will continue to service the underlying loans in the trust.</w:t>
      </w:r>
    </w:p>
    <w:p>
      <w:pPr>
        <w:pStyle w:val="TextBody"/>
        <w:spacing w:lineRule="auto" w:line="288" w:before="0" w:after="0"/>
        <w:jc w:val="left"/>
        <w:rPr>
          <w:rFonts w:ascii="inherit" w:hAnsi="inherit"/>
          <w:sz w:val="17"/>
        </w:rPr>
      </w:pPr>
      <w:r>
        <w:rPr>
          <w:rFonts w:ascii="inherit" w:hAnsi="inherit"/>
          <w:sz w:val="17"/>
        </w:rPr>
        <w:t>Crediamigo is the primary beneficiary of the securitization trust because Crediamigo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pStyle w:val="TextBody"/>
        <w:spacing w:lineRule="auto" w:line="288" w:before="0" w:after="0"/>
        <w:jc w:val="left"/>
        <w:rPr>
          <w:sz w:val="17"/>
        </w:rPr>
      </w:pPr>
      <w:r>
        <w:rPr>
          <w:rFonts w:ascii="inherit" w:hAnsi="inherit"/>
          <w:sz w:val="17"/>
        </w:rPr>
        <w:t xml:space="preserve">As of </w:t>
      </w:r>
      <w:r>
        <w:rPr>
          <w:rFonts w:ascii="inherit" w:hAnsi="inherit"/>
          <w:strike w:val="false"/>
          <w:dstrike w:val="false"/>
          <w:color w:val="000000"/>
          <w:sz w:val="17"/>
          <w:u w:val="none"/>
          <w:effect w:val="none"/>
        </w:rPr>
        <w:t>September 30, 2012</w:t>
      </w:r>
      <w:r>
        <w:rPr>
          <w:rFonts w:ascii="inherit" w:hAnsi="inherit"/>
          <w:sz w:val="17"/>
        </w:rPr>
        <w:t xml:space="preserve">, borrowings under the securitization borrowing facility amounted to $32.7 million. Interest is charged at TIIE plus a </w:t>
      </w:r>
      <w:r>
        <w:rPr>
          <w:rFonts w:ascii="inherit" w:hAnsi="inherit"/>
          <w:strike w:val="false"/>
          <w:dstrike w:val="false"/>
          <w:color w:val="000000"/>
          <w:sz w:val="17"/>
          <w:u w:val="none"/>
          <w:effect w:val="none"/>
        </w:rPr>
        <w:t>2.5%</w:t>
      </w:r>
      <w:r>
        <w:rPr>
          <w:sz w:val="17"/>
        </w:rPr>
        <w:t xml:space="preserve"> </w:t>
      </w:r>
      <w:r>
        <w:rPr>
          <w:rFonts w:ascii="inherit" w:hAnsi="inherit"/>
          <w:sz w:val="17"/>
        </w:rPr>
        <w:t xml:space="preserve">margin, or a total of </w:t>
      </w:r>
      <w:r>
        <w:rPr>
          <w:rFonts w:ascii="inherit" w:hAnsi="inherit"/>
          <w:strike w:val="false"/>
          <w:dstrike w:val="false"/>
          <w:color w:val="000000"/>
          <w:sz w:val="17"/>
          <w:u w:val="none"/>
          <w:effect w:val="none"/>
        </w:rPr>
        <w:t>7.3%</w:t>
      </w:r>
      <w:r>
        <w:rPr>
          <w:sz w:val="17"/>
        </w:rPr>
        <w:t xml:space="preserve"> </w:t>
      </w:r>
      <w:r>
        <w:rPr>
          <w:rFonts w:ascii="inherit" w:hAnsi="inherit"/>
          <w:sz w:val="17"/>
        </w:rPr>
        <w:t xml:space="preserve">as of </w:t>
      </w:r>
      <w:r>
        <w:rPr>
          <w:rFonts w:ascii="inherit" w:hAnsi="inherit"/>
          <w:strike w:val="false"/>
          <w:dstrike w:val="false"/>
          <w:color w:val="000000"/>
          <w:sz w:val="17"/>
          <w:u w:val="none"/>
          <w:effect w:val="none"/>
        </w:rPr>
        <w:t>September 30, 2012</w:t>
      </w:r>
      <w:r>
        <w:rPr>
          <w:rFonts w:ascii="inherit" w:hAnsi="inherit"/>
          <w:sz w:val="17"/>
        </w:rPr>
        <w:t xml:space="preserve">, and required monthly payments of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begin on July 2014. The debt issued by the trust will be paid solely from the collections of the consumer loans transferred to the trust, and therefore there is no recourse to Crediamigo or EZCORP, Inc.</w:t>
      </w:r>
    </w:p>
    <w:p>
      <w:pPr>
        <w:pStyle w:val="TextBody"/>
        <w:spacing w:lineRule="auto" w:line="288" w:before="0" w:after="0"/>
        <w:jc w:val="left"/>
        <w:rPr>
          <w:rFonts w:ascii="inherit" w:hAnsi="inherit"/>
          <w:b/>
          <w:sz w:val="17"/>
        </w:rPr>
      </w:pPr>
      <w:bookmarkStart w:id="65" w:name="s0739E5495F77B729B99F0F13B7088A20"/>
      <w:bookmarkEnd w:id="65"/>
      <w:r>
        <w:rPr>
          <w:rFonts w:ascii="inherit" w:hAnsi="inherit"/>
          <w:b/>
          <w:sz w:val="17"/>
        </w:rPr>
        <w:t>NOTE 10: COMMON STOCK, OPTIONS AND STOCK COMPENSATION</w:t>
      </w:r>
    </w:p>
    <w:p>
      <w:pPr>
        <w:pStyle w:val="TextBody"/>
        <w:spacing w:lineRule="auto" w:line="288" w:before="0" w:after="0"/>
        <w:jc w:val="left"/>
        <w:rPr>
          <w:sz w:val="17"/>
        </w:rPr>
      </w:pPr>
      <w:r>
        <w:rPr>
          <w:rFonts w:ascii="inherit" w:hAnsi="inherit"/>
          <w:sz w:val="17"/>
        </w:rPr>
        <w:t xml:space="preserve">Our capital stock consists of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vote and each share of Class A Common Stock has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voting privileges. All Class A Common Stock is publicly held. Holders of Class B Common Stock may, individually or as a class, convert some or all of their shares into Class A Common Stock on a </w:t>
      </w:r>
      <w:r>
        <w:rPr>
          <w:rFonts w:ascii="inherit" w:hAnsi="inherit"/>
          <w:strike w:val="false"/>
          <w:dstrike w:val="false"/>
          <w:color w:val="000000"/>
          <w:sz w:val="17"/>
          <w:u w:val="none"/>
          <w:effect w:val="none"/>
        </w:rPr>
        <w:t>one</w:t>
      </w:r>
      <w:r>
        <w:rPr>
          <w:rFonts w:ascii="inherit" w:hAnsi="inherit"/>
          <w:sz w:val="17"/>
        </w:rPr>
        <w:t>-to-one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pStyle w:val="TextBody"/>
        <w:spacing w:lineRule="auto" w:line="288" w:before="0" w:after="0"/>
        <w:jc w:val="left"/>
        <w:rPr>
          <w:rFonts w:ascii="inherit" w:hAnsi="inherit"/>
          <w:sz w:val="17"/>
        </w:rPr>
      </w:pPr>
      <w:r>
        <w:rPr>
          <w:rFonts w:ascii="inherit" w:hAnsi="inherit"/>
          <w:sz w:val="17"/>
        </w:rPr>
        <w:t>The following table presents information on shares of our Class A Common Stock issued as acquisition consideration. All of these shares were registered on a "shelf" Registration Statement on Form S-4 that was declared effective in January 2011.</w:t>
      </w:r>
    </w:p>
    <w:tbl>
      <w:tblPr>
        <w:tblW w:w="10205" w:type="dxa"/>
        <w:jc w:val="left"/>
        <w:tblInd w:w="0" w:type="dxa"/>
        <w:tblCellMar>
          <w:top w:w="0" w:type="dxa"/>
          <w:left w:w="0" w:type="dxa"/>
          <w:bottom w:w="0" w:type="dxa"/>
          <w:right w:w="0" w:type="dxa"/>
        </w:tblCellMar>
      </w:tblPr>
      <w:tblGrid>
        <w:gridCol w:w="6080"/>
        <w:gridCol w:w="1177"/>
        <w:gridCol w:w="104"/>
        <w:gridCol w:w="135"/>
        <w:gridCol w:w="1177"/>
        <w:gridCol w:w="104"/>
        <w:gridCol w:w="135"/>
        <w:gridCol w:w="1177"/>
        <w:gridCol w:w="116"/>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08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80" w:type="dxa"/>
            <w:tcBorders/>
            <w:shd w:fill="auto" w:val="clear"/>
            <w:vAlign w:val="center"/>
          </w:tcPr>
          <w:p>
            <w:pPr>
              <w:pStyle w:val="TableContents"/>
              <w:spacing w:before="0" w:after="0"/>
              <w:ind w:left="0" w:right="0" w:firstLine="30"/>
              <w:jc w:val="left"/>
              <w:rPr/>
            </w:pPr>
            <w:r>
              <w:rPr/>
              <w:t> </w:t>
            </w:r>
          </w:p>
        </w:tc>
        <w:tc>
          <w:tcPr>
            <w:tcW w:w="4125"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80" w:type="dxa"/>
            <w:tcBorders/>
            <w:shd w:fill="auto" w:val="clear"/>
            <w:vAlign w:val="center"/>
          </w:tcPr>
          <w:p>
            <w:pPr>
              <w:pStyle w:val="TableContents"/>
              <w:spacing w:before="0" w:after="0"/>
              <w:ind w:left="0" w:right="0" w:firstLine="30"/>
              <w:jc w:val="left"/>
              <w:rPr/>
            </w:pPr>
            <w:r>
              <w:rPr/>
              <w:t> </w:t>
            </w:r>
          </w:p>
        </w:tc>
        <w:tc>
          <w:tcPr>
            <w:tcW w:w="128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5" w:type="dxa"/>
            <w:tcBorders/>
            <w:shd w:fill="auto"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5" w:type="dxa"/>
            <w:tcBorders/>
            <w:shd w:fill="auto" w:val="clear"/>
            <w:vAlign w:val="center"/>
          </w:tcPr>
          <w:p>
            <w:pPr>
              <w:pStyle w:val="TableContents"/>
              <w:spacing w:before="0" w:after="0"/>
              <w:ind w:left="0" w:right="0" w:firstLine="30"/>
              <w:rPr/>
            </w:pPr>
            <w:r>
              <w:rPr/>
              <w:t> </w:t>
            </w:r>
          </w:p>
        </w:tc>
        <w:tc>
          <w:tcPr>
            <w:tcW w:w="1293"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6080" w:type="dxa"/>
            <w:tcBorders/>
            <w:shd w:fill="auto" w:val="clear"/>
            <w:vAlign w:val="center"/>
          </w:tcPr>
          <w:p>
            <w:pPr>
              <w:pStyle w:val="TableContents"/>
              <w:spacing w:before="0" w:after="0"/>
              <w:ind w:left="0" w:right="0" w:firstLine="30"/>
              <w:rPr/>
            </w:pPr>
            <w:r>
              <w:rPr/>
              <w:t> </w:t>
            </w:r>
          </w:p>
        </w:tc>
        <w:tc>
          <w:tcPr>
            <w:tcW w:w="4125" w:type="dxa"/>
            <w:gridSpan w:val="8"/>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Shares issued due to acquisitions</w:t>
            </w:r>
          </w:p>
        </w:tc>
        <w:tc>
          <w:tcPr>
            <w:tcW w:w="1177" w:type="dxa"/>
            <w:tcBorders/>
            <w:shd w:fill="CCEEFF" w:val="clear"/>
            <w:vAlign w:val="center"/>
          </w:tcPr>
          <w:p>
            <w:pPr>
              <w:pStyle w:val="TableContents"/>
              <w:spacing w:before="0" w:after="0"/>
              <w:jc w:val="right"/>
              <w:rPr>
                <w:rFonts w:ascii="inherit" w:hAnsi="inherit"/>
                <w:sz w:val="17"/>
              </w:rPr>
            </w:pPr>
            <w:r>
              <w:rPr>
                <w:rFonts w:ascii="inherit" w:hAnsi="inherit"/>
                <w:sz w:val="17"/>
              </w:rPr>
              <w:t>635</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177" w:type="dxa"/>
            <w:tcBorders/>
            <w:shd w:fill="CCEEFF" w:val="clear"/>
            <w:vAlign w:val="center"/>
          </w:tcPr>
          <w:p>
            <w:pPr>
              <w:pStyle w:val="TableContents"/>
              <w:spacing w:before="0" w:after="0"/>
              <w:jc w:val="right"/>
              <w:rPr>
                <w:rFonts w:ascii="inherit" w:hAnsi="inherit"/>
                <w:sz w:val="17"/>
              </w:rPr>
            </w:pPr>
            <w:r>
              <w:rPr>
                <w:rFonts w:ascii="inherit" w:hAnsi="inherit"/>
                <w:sz w:val="17"/>
              </w:rPr>
              <w:t>209</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177" w:type="dxa"/>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We account for stock compensation in accordance with the fair value recognition and measurement provisions of FASB ASC 718-10-25 (Compensation-Stock Compensation). Compensation cost recognized includes compensation cost for all unvested stock compensation payments, based on the closing market price of our stock on the date of grant. We amortize the fair value of grants to compensation expense on a ratable basis over the vesting period for both cliff vesting and pro-rata vesting grants. We have not granted any stock options since fiscal 2007.</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64</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Our net income includes the following compensation costs related to our stock compensation arrangements:</w:t>
      </w:r>
    </w:p>
    <w:tbl>
      <w:tblPr>
        <w:tblW w:w="10205" w:type="dxa"/>
        <w:jc w:val="left"/>
        <w:tblInd w:w="0" w:type="dxa"/>
        <w:tblCellMar>
          <w:top w:w="0" w:type="dxa"/>
          <w:left w:w="0" w:type="dxa"/>
          <w:bottom w:w="0" w:type="dxa"/>
          <w:right w:w="0" w:type="dxa"/>
        </w:tblCellMar>
      </w:tblPr>
      <w:tblGrid>
        <w:gridCol w:w="5525"/>
        <w:gridCol w:w="167"/>
        <w:gridCol w:w="1101"/>
        <w:gridCol w:w="155"/>
        <w:gridCol w:w="140"/>
        <w:gridCol w:w="167"/>
        <w:gridCol w:w="1101"/>
        <w:gridCol w:w="155"/>
        <w:gridCol w:w="140"/>
        <w:gridCol w:w="167"/>
        <w:gridCol w:w="1101"/>
        <w:gridCol w:w="28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2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25" w:type="dxa"/>
            <w:tcBorders/>
            <w:shd w:fill="auto" w:val="clear"/>
            <w:vAlign w:val="center"/>
          </w:tcPr>
          <w:p>
            <w:pPr>
              <w:pStyle w:val="TableContents"/>
              <w:spacing w:before="0" w:after="0"/>
              <w:ind w:left="0" w:right="0" w:firstLine="30"/>
              <w:jc w:val="left"/>
              <w:rPr/>
            </w:pPr>
            <w:r>
              <w:rPr/>
              <w:t> </w:t>
            </w:r>
          </w:p>
        </w:tc>
        <w:tc>
          <w:tcPr>
            <w:tcW w:w="468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525" w:type="dxa"/>
            <w:tcBorders/>
            <w:shd w:fill="auto" w:val="clear"/>
            <w:vAlign w:val="center"/>
          </w:tcPr>
          <w:p>
            <w:pPr>
              <w:pStyle w:val="TableContents"/>
              <w:spacing w:before="0" w:after="0"/>
              <w:ind w:left="0" w:right="0" w:firstLine="30"/>
              <w:jc w:val="left"/>
              <w:rPr/>
            </w:pPr>
            <w:r>
              <w:rPr/>
              <w:t> </w:t>
            </w:r>
          </w:p>
        </w:tc>
        <w:tc>
          <w:tcPr>
            <w:tcW w:w="14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14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0" w:type="dxa"/>
            <w:tcBorders/>
            <w:shd w:fill="auto" w:val="clear"/>
            <w:vAlign w:val="center"/>
          </w:tcPr>
          <w:p>
            <w:pPr>
              <w:pStyle w:val="TableContents"/>
              <w:spacing w:before="0" w:after="0"/>
              <w:ind w:left="0" w:right="0" w:firstLine="30"/>
              <w:rPr/>
            </w:pPr>
            <w:r>
              <w:rPr/>
              <w:t> </w:t>
            </w:r>
          </w:p>
        </w:tc>
        <w:tc>
          <w:tcPr>
            <w:tcW w:w="15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525" w:type="dxa"/>
            <w:tcBorders/>
            <w:shd w:fill="auto" w:val="clear"/>
            <w:vAlign w:val="center"/>
          </w:tcPr>
          <w:p>
            <w:pPr>
              <w:pStyle w:val="TableContents"/>
              <w:spacing w:before="0" w:after="0"/>
              <w:ind w:left="0" w:right="0" w:firstLine="30"/>
              <w:jc w:val="left"/>
              <w:rPr/>
            </w:pPr>
            <w:r>
              <w:rPr/>
              <w:t> </w:t>
            </w:r>
          </w:p>
        </w:tc>
        <w:tc>
          <w:tcPr>
            <w:tcW w:w="468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compensation costs</w:t>
            </w:r>
          </w:p>
        </w:tc>
        <w:tc>
          <w:tcPr>
            <w:tcW w:w="1423"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423"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554" w:type="dxa"/>
            <w:gridSpan w:val="3"/>
            <w:tcBorders/>
            <w:shd w:fill="CCEEFF" w:val="clear"/>
            <w:vAlign w:val="center"/>
          </w:tcPr>
          <w:p>
            <w:pPr>
              <w:pStyle w:val="TableContents"/>
              <w:spacing w:before="0" w:after="0"/>
              <w:ind w:left="0" w:right="0" w:firstLine="180"/>
              <w:jc w:val="left"/>
              <w:rPr/>
            </w:pPr>
            <w:r>
              <w:rPr/>
              <w:t> </w:t>
            </w:r>
          </w:p>
        </w:tc>
      </w:tr>
      <w:tr>
        <w:trPr/>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 options</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286"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stock</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6,714</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13,208</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4,508</w:t>
            </w:r>
          </w:p>
        </w:tc>
        <w:tc>
          <w:tcPr>
            <w:tcW w:w="286"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gross compensation costs</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6,714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13,208</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4,512</w:t>
            </w:r>
          </w:p>
        </w:tc>
        <w:tc>
          <w:tcPr>
            <w:tcW w:w="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benefits</w:t>
            </w:r>
          </w:p>
        </w:tc>
        <w:tc>
          <w:tcPr>
            <w:tcW w:w="1423"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423"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554" w:type="dxa"/>
            <w:gridSpan w:val="3"/>
            <w:tcBorders/>
            <w:shd w:fill="CCEEFF" w:val="clear"/>
            <w:vAlign w:val="center"/>
          </w:tcPr>
          <w:p>
            <w:pPr>
              <w:pStyle w:val="TableContents"/>
              <w:spacing w:before="0" w:after="0"/>
              <w:ind w:left="0" w:right="0" w:firstLine="180"/>
              <w:jc w:val="left"/>
              <w:rPr/>
            </w:pPr>
            <w:r>
              <w:rPr/>
              <w:t> </w:t>
            </w:r>
          </w:p>
        </w:tc>
      </w:tr>
      <w:tr>
        <w:trPr/>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 options</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286"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stock</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(2,164</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(4,508</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(1,517</w:t>
            </w:r>
          </w:p>
        </w:tc>
        <w:tc>
          <w:tcPr>
            <w:tcW w:w="286" w:type="dxa"/>
            <w:tcBorders>
              <w:bottom w:val="single" w:sz="2" w:space="0" w:color="000000"/>
            </w:tcBorders>
            <w:shd w:fill="CCEEFF"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income tax benefits</w:t>
            </w:r>
          </w:p>
        </w:tc>
        <w:tc>
          <w:tcPr>
            <w:tcW w:w="12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(2,203</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(4,509</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(1,573</w:t>
            </w:r>
          </w:p>
        </w:tc>
        <w:tc>
          <w:tcPr>
            <w:tcW w:w="28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compensation expense</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4,511</w:t>
            </w:r>
          </w:p>
        </w:tc>
        <w:tc>
          <w:tcPr>
            <w:tcW w:w="15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8,699</w:t>
            </w:r>
          </w:p>
        </w:tc>
        <w:tc>
          <w:tcPr>
            <w:tcW w:w="15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2,939</w:t>
            </w:r>
          </w:p>
        </w:tc>
        <w:tc>
          <w:tcPr>
            <w:tcW w:w="28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All options and restricted stock relate to our Class A Common Stock.</w:t>
      </w:r>
    </w:p>
    <w:p>
      <w:pPr>
        <w:pStyle w:val="TextBody"/>
        <w:spacing w:lineRule="auto" w:line="288" w:before="0" w:after="0"/>
        <w:jc w:val="left"/>
        <w:rPr>
          <w:sz w:val="17"/>
        </w:rPr>
      </w:pPr>
      <w:r>
        <w:rPr>
          <w:rFonts w:ascii="inherit" w:hAnsi="inherit"/>
          <w:sz w:val="17"/>
        </w:rPr>
        <w:t xml:space="preserve">Our non-employee directors are eligible for grants of restricted stock awards and non-qualified stock options. No options have been granted to the non-employee directors since fiscal 2007. The restricted stock awards that have been granted to the non-employee directors in fiscal 2012, 2011 and 2010 vest in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two</w:t>
      </w:r>
      <w:r>
        <w:rPr>
          <w:sz w:val="17"/>
        </w:rPr>
        <w:t xml:space="preserve"> </w:t>
      </w:r>
      <w:r>
        <w:rPr>
          <w:rFonts w:ascii="inherit" w:hAnsi="inherit"/>
          <w:sz w:val="17"/>
        </w:rPr>
        <w:t>years from grant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on the first anniversary of the date of grant and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on the second anniversary). Restricted stock awards, non-qualified options and incentive stock options have been granted to our officers and employees under our 1998, 2003, 2006 and 2010 Incentive Plans. A portion of the restricted stock awards granted in fiscal 2012 and fiscal 2011 contain both performance and graded vesting provisions. Most options have a contractual life of </w:t>
      </w:r>
      <w:r>
        <w:rPr>
          <w:rFonts w:ascii="inherit" w:hAnsi="inherit"/>
          <w:strike w:val="false"/>
          <w:dstrike w:val="false"/>
          <w:color w:val="000000"/>
          <w:sz w:val="17"/>
          <w:u w:val="none"/>
          <w:effect w:val="none"/>
        </w:rPr>
        <w:t>ten</w:t>
      </w:r>
      <w:r>
        <w:rPr>
          <w:sz w:val="17"/>
        </w:rPr>
        <w:t xml:space="preserve"> </w:t>
      </w:r>
      <w:r>
        <w:rPr>
          <w:rFonts w:ascii="inherit" w:hAnsi="inherit"/>
          <w:sz w:val="17"/>
        </w:rPr>
        <w:t xml:space="preserve">years and provide for pro-rata vesting over </w:t>
      </w:r>
      <w:r>
        <w:rPr>
          <w:rFonts w:ascii="inherit" w:hAnsi="inherit"/>
          <w:strike w:val="false"/>
          <w:dstrike w:val="false"/>
          <w:color w:val="000000"/>
          <w:sz w:val="17"/>
          <w:u w:val="none"/>
          <w:effect w:val="none"/>
        </w:rPr>
        <w:t>five years</w:t>
      </w:r>
      <w:r>
        <w:rPr>
          <w:rFonts w:ascii="inherit" w:hAnsi="inherit"/>
          <w:sz w:val="17"/>
        </w:rPr>
        <w:t xml:space="preserve">, but some provide for cliff vesting. Outstanding options have been granted with strike prices ranging from </w:t>
      </w:r>
      <w:r>
        <w:rPr>
          <w:rFonts w:ascii="inherit" w:hAnsi="inherit"/>
          <w:strike w:val="false"/>
          <w:dstrike w:val="false"/>
          <w:color w:val="000000"/>
          <w:sz w:val="17"/>
          <w:u w:val="none"/>
          <w:effect w:val="none"/>
        </w:rPr>
        <w:t>$2.09</w:t>
      </w:r>
      <w:r>
        <w:rPr>
          <w:sz w:val="17"/>
        </w:rPr>
        <w:t xml:space="preserve"> </w:t>
      </w:r>
      <w:r>
        <w:rPr>
          <w:rFonts w:ascii="inherit" w:hAnsi="inherit"/>
          <w:sz w:val="17"/>
        </w:rPr>
        <w:t xml:space="preserve">per share to </w:t>
      </w:r>
      <w:r>
        <w:rPr>
          <w:rFonts w:ascii="inherit" w:hAnsi="inherit"/>
          <w:strike w:val="false"/>
          <w:dstrike w:val="false"/>
          <w:color w:val="000000"/>
          <w:sz w:val="17"/>
          <w:u w:val="none"/>
          <w:effect w:val="none"/>
        </w:rPr>
        <w:t>$2.95</w:t>
      </w:r>
      <w:r>
        <w:rPr>
          <w:sz w:val="17"/>
        </w:rPr>
        <w:t xml:space="preserve"> </w:t>
      </w:r>
      <w:r>
        <w:rPr>
          <w:rFonts w:ascii="inherit" w:hAnsi="inherit"/>
          <w:sz w:val="17"/>
        </w:rPr>
        <w:t xml:space="preserve">per share. These were granted at or above the market price at the time of grant, and had </w:t>
      </w:r>
      <w:r>
        <w:rPr>
          <w:rFonts w:ascii="inherit" w:hAnsi="inherit"/>
          <w:strike w:val="false"/>
          <w:dstrike w:val="false"/>
          <w:color w:val="000000"/>
          <w:sz w:val="17"/>
          <w:u w:val="none"/>
          <w:effect w:val="none"/>
        </w:rPr>
        <w:t>no</w:t>
      </w:r>
      <w:r>
        <w:rPr>
          <w:sz w:val="17"/>
        </w:rPr>
        <w:t xml:space="preserve"> </w:t>
      </w:r>
      <w:r>
        <w:rPr>
          <w:rFonts w:ascii="inherit" w:hAnsi="inherit"/>
          <w:sz w:val="17"/>
        </w:rPr>
        <w:t>intrinsic value on the grant date.</w:t>
      </w:r>
    </w:p>
    <w:p>
      <w:pPr>
        <w:pStyle w:val="TextBody"/>
        <w:spacing w:lineRule="auto" w:line="288" w:before="0" w:after="0"/>
        <w:jc w:val="left"/>
        <w:rPr>
          <w:sz w:val="17"/>
        </w:rPr>
      </w:pPr>
      <w:r>
        <w:rPr>
          <w:rFonts w:ascii="inherit" w:hAnsi="inherit"/>
          <w:sz w:val="17"/>
        </w:rPr>
        <w:t xml:space="preserve">On May 1, 2010 our Board of Directors approved the adoption of the EZCORP, Inc. 2010 Long-Term Incentive Plan (the “2010 Plan”). The 2010 Plan permits grants of options, restricted stock awards and stock appreciation rights covering up to </w:t>
      </w:r>
      <w:r>
        <w:rPr>
          <w:rFonts w:ascii="inherit" w:hAnsi="inherit"/>
          <w:strike w:val="false"/>
          <w:dstrike w:val="false"/>
          <w:color w:val="000000"/>
          <w:sz w:val="17"/>
          <w:u w:val="none"/>
          <w:effect w:val="none"/>
        </w:rPr>
        <w:t>1,575,750</w:t>
      </w:r>
      <w:r>
        <w:rPr>
          <w:sz w:val="17"/>
        </w:rPr>
        <w:t xml:space="preserve"> </w:t>
      </w:r>
      <w:r>
        <w:rPr>
          <w:rFonts w:ascii="inherit" w:hAnsi="inherit"/>
          <w:sz w:val="17"/>
        </w:rPr>
        <w:t xml:space="preserve">shares of our Class A Common Stock, in addition to </w:t>
      </w:r>
      <w:r>
        <w:rPr>
          <w:rFonts w:ascii="inherit" w:hAnsi="inherit"/>
          <w:strike w:val="false"/>
          <w:dstrike w:val="false"/>
          <w:color w:val="000000"/>
          <w:sz w:val="17"/>
          <w:u w:val="none"/>
          <w:effect w:val="none"/>
        </w:rPr>
        <w:t>106,000</w:t>
      </w:r>
      <w:r>
        <w:rPr>
          <w:sz w:val="17"/>
        </w:rPr>
        <w:t xml:space="preserve"> </w:t>
      </w:r>
      <w:r>
        <w:rPr>
          <w:rFonts w:ascii="inherit" w:hAnsi="inherit"/>
          <w:sz w:val="17"/>
        </w:rPr>
        <w:t xml:space="preserve">shares that remained available for issuance under the previous plan. Awards that expire or are canceled without delivery of shares under the 2010 Incentive Plan generally become available for issuance in new grants. We generally issue newly issued shares to satisfy stock option exercises and restricted stock awards, but used </w:t>
      </w:r>
      <w:r>
        <w:rPr>
          <w:rFonts w:ascii="inherit" w:hAnsi="inherit"/>
          <w:strike w:val="false"/>
          <w:dstrike w:val="false"/>
          <w:color w:val="000000"/>
          <w:sz w:val="17"/>
          <w:u w:val="none"/>
          <w:effect w:val="none"/>
        </w:rPr>
        <w:t>10,000</w:t>
      </w:r>
      <w:r>
        <w:rPr>
          <w:sz w:val="17"/>
        </w:rPr>
        <w:t xml:space="preserve"> </w:t>
      </w:r>
      <w:r>
        <w:rPr>
          <w:rFonts w:ascii="inherit" w:hAnsi="inherit"/>
          <w:sz w:val="17"/>
        </w:rPr>
        <w:t xml:space="preserve">treasury shares to satisfy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option exercise in fiscal 2009. We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longer hold any treasury shares. At </w:t>
      </w:r>
      <w:r>
        <w:rPr>
          <w:rFonts w:ascii="inherit" w:hAnsi="inherit"/>
          <w:strike w:val="false"/>
          <w:dstrike w:val="false"/>
          <w:color w:val="000000"/>
          <w:sz w:val="17"/>
          <w:u w:val="none"/>
          <w:effect w:val="none"/>
        </w:rPr>
        <w:t>September 30, 2012</w:t>
      </w:r>
      <w:r>
        <w:rPr>
          <w:rFonts w:ascii="inherit" w:hAnsi="inherit"/>
          <w:sz w:val="17"/>
        </w:rPr>
        <w:t xml:space="preserve">, </w:t>
      </w:r>
      <w:r>
        <w:rPr>
          <w:rFonts w:ascii="inherit" w:hAnsi="inherit"/>
          <w:strike w:val="false"/>
          <w:dstrike w:val="false"/>
          <w:color w:val="000000"/>
          <w:sz w:val="17"/>
          <w:u w:val="none"/>
          <w:effect w:val="none"/>
        </w:rPr>
        <w:t>650,361</w:t>
      </w:r>
      <w:r>
        <w:rPr>
          <w:sz w:val="17"/>
        </w:rPr>
        <w:t xml:space="preserve"> </w:t>
      </w:r>
      <w:r>
        <w:rPr>
          <w:rFonts w:ascii="inherit" w:hAnsi="inherit"/>
          <w:sz w:val="17"/>
        </w:rPr>
        <w:t xml:space="preserve">shares were available for grant under the 2010 Plan.We measure the fair value of restricted stock awards based on the closing market price of our common stock as of the grant date. </w:t>
      </w:r>
    </w:p>
    <w:p>
      <w:pPr>
        <w:pStyle w:val="TextBody"/>
        <w:spacing w:lineRule="auto" w:line="288" w:before="0" w:after="0"/>
        <w:jc w:val="left"/>
        <w:rPr>
          <w:rFonts w:ascii="inherit" w:hAnsi="inherit"/>
          <w:sz w:val="17"/>
        </w:rPr>
      </w:pPr>
      <w:r>
        <w:rPr>
          <w:rFonts w:ascii="inherit" w:hAnsi="inherit"/>
          <w:sz w:val="17"/>
        </w:rPr>
        <w:t>The following is a summary of the restricted stock award activity for the fiscal year ended September 30, 2012:</w:t>
      </w:r>
    </w:p>
    <w:tbl>
      <w:tblPr>
        <w:tblW w:w="10205" w:type="dxa"/>
        <w:jc w:val="left"/>
        <w:tblInd w:w="0" w:type="dxa"/>
        <w:tblCellMar>
          <w:top w:w="0" w:type="dxa"/>
          <w:left w:w="0" w:type="dxa"/>
          <w:bottom w:w="0" w:type="dxa"/>
          <w:right w:w="0" w:type="dxa"/>
        </w:tblCellMar>
      </w:tblPr>
      <w:tblGrid>
        <w:gridCol w:w="7027"/>
        <w:gridCol w:w="1437"/>
        <w:gridCol w:w="102"/>
        <w:gridCol w:w="138"/>
        <w:gridCol w:w="159"/>
        <w:gridCol w:w="1138"/>
        <w:gridCol w:w="204"/>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7027"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027" w:type="dxa"/>
            <w:tcBorders/>
            <w:shd w:fill="auto" w:val="clear"/>
            <w:vAlign w:val="center"/>
          </w:tcPr>
          <w:p>
            <w:pPr>
              <w:pStyle w:val="TableContents"/>
              <w:spacing w:before="0" w:after="0"/>
              <w:rPr/>
            </w:pPr>
            <w:r>
              <w:rPr/>
              <w:t> </w:t>
            </w:r>
          </w:p>
        </w:tc>
        <w:tc>
          <w:tcPr>
            <w:tcW w:w="153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138" w:type="dxa"/>
            <w:tcBorders/>
            <w:shd w:fill="auto" w:val="clear"/>
            <w:vAlign w:val="center"/>
          </w:tcPr>
          <w:p>
            <w:pPr>
              <w:pStyle w:val="TableContents"/>
              <w:spacing w:before="0" w:after="0"/>
              <w:ind w:left="0" w:right="0" w:firstLine="30"/>
              <w:rPr/>
            </w:pPr>
            <w:r>
              <w:rPr/>
              <w:t> </w:t>
            </w:r>
          </w:p>
        </w:tc>
        <w:tc>
          <w:tcPr>
            <w:tcW w:w="150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Weighted</w:t>
            </w:r>
          </w:p>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jc w:val="center"/>
              <w:rPr>
                <w:rFonts w:ascii="inherit" w:hAnsi="inherit"/>
                <w:b/>
                <w:sz w:val="13"/>
              </w:rPr>
            </w:pPr>
            <w:r>
              <w:rPr>
                <w:rFonts w:ascii="inherit" w:hAnsi="inherit"/>
                <w:b/>
                <w:sz w:val="13"/>
              </w:rPr>
              <w:t>Grant Date</w:t>
            </w:r>
          </w:p>
          <w:p>
            <w:pPr>
              <w:pStyle w:val="TableContents"/>
              <w:spacing w:before="0" w:after="0"/>
              <w:ind w:left="0" w:right="0" w:firstLine="30"/>
              <w:jc w:val="center"/>
              <w:rPr>
                <w:rFonts w:ascii="inherit" w:hAnsi="inherit"/>
                <w:b/>
                <w:sz w:val="13"/>
              </w:rPr>
            </w:pPr>
            <w:r>
              <w:rPr>
                <w:rFonts w:ascii="inherit" w:hAnsi="inherit"/>
                <w:b/>
                <w:sz w:val="13"/>
              </w:rPr>
              <w:t>Fair Value</w:t>
            </w:r>
          </w:p>
        </w:tc>
      </w:tr>
      <w:tr>
        <w:trPr/>
        <w:tc>
          <w:tcPr>
            <w:tcW w:w="70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beginning of year</w:t>
            </w:r>
          </w:p>
        </w:tc>
        <w:tc>
          <w:tcPr>
            <w:tcW w:w="1437" w:type="dxa"/>
            <w:tcBorders/>
            <w:shd w:fill="auto" w:val="clear"/>
            <w:vAlign w:val="center"/>
          </w:tcPr>
          <w:p>
            <w:pPr>
              <w:pStyle w:val="TableContents"/>
              <w:spacing w:before="0" w:after="0"/>
              <w:jc w:val="right"/>
              <w:rPr>
                <w:rFonts w:ascii="inherit" w:hAnsi="inherit"/>
                <w:sz w:val="17"/>
              </w:rPr>
            </w:pPr>
            <w:r>
              <w:rPr>
                <w:rFonts w:ascii="inherit" w:hAnsi="inherit"/>
                <w:sz w:val="17"/>
              </w:rPr>
              <w:t>1,535,000</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8" w:type="dxa"/>
            <w:tcBorders/>
            <w:shd w:fill="auto" w:val="clear"/>
            <w:vAlign w:val="center"/>
          </w:tcPr>
          <w:p>
            <w:pPr>
              <w:pStyle w:val="TableContents"/>
              <w:spacing w:before="0" w:after="0"/>
              <w:jc w:val="right"/>
              <w:rPr>
                <w:rFonts w:ascii="inherit" w:hAnsi="inherit"/>
                <w:sz w:val="17"/>
              </w:rPr>
            </w:pPr>
            <w:r>
              <w:rPr>
                <w:rFonts w:ascii="inherit" w:hAnsi="inherit"/>
                <w:sz w:val="17"/>
              </w:rPr>
              <w:t>17.49</w:t>
            </w:r>
          </w:p>
        </w:tc>
        <w:tc>
          <w:tcPr>
            <w:tcW w:w="2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0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1437" w:type="dxa"/>
            <w:tcBorders/>
            <w:shd w:fill="CCEEFF" w:val="clear"/>
            <w:vAlign w:val="center"/>
          </w:tcPr>
          <w:p>
            <w:pPr>
              <w:pStyle w:val="TableContents"/>
              <w:spacing w:before="0" w:after="0"/>
              <w:jc w:val="right"/>
              <w:rPr>
                <w:rFonts w:ascii="inherit" w:hAnsi="inherit"/>
                <w:sz w:val="17"/>
              </w:rPr>
            </w:pPr>
            <w:r>
              <w:rPr>
                <w:rFonts w:ascii="inherit" w:hAnsi="inherit"/>
                <w:sz w:val="17"/>
              </w:rPr>
              <w:t>312,352</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29.22</w:t>
            </w:r>
          </w:p>
        </w:tc>
        <w:tc>
          <w:tcPr>
            <w:tcW w:w="20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0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Released</w:t>
            </w:r>
          </w:p>
        </w:tc>
        <w:tc>
          <w:tcPr>
            <w:tcW w:w="1437" w:type="dxa"/>
            <w:tcBorders/>
            <w:shd w:fill="auto" w:val="clear"/>
            <w:vAlign w:val="center"/>
          </w:tcPr>
          <w:p>
            <w:pPr>
              <w:pStyle w:val="TableContents"/>
              <w:spacing w:before="0" w:after="0"/>
              <w:jc w:val="right"/>
              <w:rPr>
                <w:rFonts w:ascii="inherit" w:hAnsi="inherit"/>
                <w:sz w:val="17"/>
              </w:rPr>
            </w:pPr>
            <w:r>
              <w:rPr>
                <w:rFonts w:ascii="inherit" w:hAnsi="inherit"/>
                <w:sz w:val="17"/>
              </w:rPr>
              <w:t>214,556</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19.09</w:t>
            </w:r>
          </w:p>
        </w:tc>
        <w:tc>
          <w:tcPr>
            <w:tcW w:w="2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0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143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183,963</w:t>
            </w:r>
          </w:p>
        </w:tc>
        <w:tc>
          <w:tcPr>
            <w:tcW w:w="1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27.84</w:t>
            </w:r>
          </w:p>
        </w:tc>
        <w:tc>
          <w:tcPr>
            <w:tcW w:w="2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end of year</w:t>
            </w:r>
          </w:p>
        </w:tc>
        <w:tc>
          <w:tcPr>
            <w:tcW w:w="1437" w:type="dxa"/>
            <w:tcBorders/>
            <w:shd w:fill="auto" w:val="clear"/>
            <w:vAlign w:val="center"/>
          </w:tcPr>
          <w:p>
            <w:pPr>
              <w:pStyle w:val="TableContents"/>
              <w:spacing w:before="0" w:after="0"/>
              <w:jc w:val="right"/>
              <w:rPr>
                <w:rFonts w:ascii="inherit" w:hAnsi="inherit"/>
                <w:sz w:val="17"/>
              </w:rPr>
            </w:pPr>
            <w:r>
              <w:rPr>
                <w:rFonts w:ascii="inherit" w:hAnsi="inherit"/>
                <w:sz w:val="17"/>
              </w:rPr>
              <w:t>1,448,833</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8" w:type="dxa"/>
            <w:tcBorders/>
            <w:shd w:fill="auto" w:val="clear"/>
            <w:vAlign w:val="center"/>
          </w:tcPr>
          <w:p>
            <w:pPr>
              <w:pStyle w:val="TableContents"/>
              <w:spacing w:before="0" w:after="0"/>
              <w:jc w:val="right"/>
              <w:rPr>
                <w:rFonts w:ascii="inherit" w:hAnsi="inherit"/>
                <w:sz w:val="17"/>
              </w:rPr>
            </w:pPr>
            <w:r>
              <w:rPr>
                <w:rFonts w:ascii="inherit" w:hAnsi="inherit"/>
                <w:sz w:val="17"/>
              </w:rPr>
              <w:t>18.47</w:t>
            </w:r>
          </w:p>
        </w:tc>
        <w:tc>
          <w:tcPr>
            <w:tcW w:w="20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5867"/>
        <w:gridCol w:w="147"/>
        <w:gridCol w:w="1107"/>
        <w:gridCol w:w="101"/>
        <w:gridCol w:w="130"/>
        <w:gridCol w:w="147"/>
        <w:gridCol w:w="1107"/>
        <w:gridCol w:w="101"/>
        <w:gridCol w:w="130"/>
        <w:gridCol w:w="147"/>
        <w:gridCol w:w="1107"/>
        <w:gridCol w:w="114"/>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86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67" w:type="dxa"/>
            <w:tcBorders/>
            <w:shd w:fill="auto" w:val="clear"/>
            <w:vAlign w:val="center"/>
          </w:tcPr>
          <w:p>
            <w:pPr>
              <w:pStyle w:val="TableContents"/>
              <w:spacing w:before="0" w:after="0"/>
              <w:ind w:left="0" w:right="0" w:firstLine="30"/>
              <w:jc w:val="left"/>
              <w:rPr/>
            </w:pPr>
            <w:r>
              <w:rPr/>
              <w:t> </w:t>
            </w:r>
          </w:p>
        </w:tc>
        <w:tc>
          <w:tcPr>
            <w:tcW w:w="433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r>
      <w:tr>
        <w:trPr/>
        <w:tc>
          <w:tcPr>
            <w:tcW w:w="5867" w:type="dxa"/>
            <w:tcBorders/>
            <w:shd w:fill="auto" w:val="clear"/>
            <w:vAlign w:val="center"/>
          </w:tcPr>
          <w:p>
            <w:pPr>
              <w:pStyle w:val="TableContents"/>
              <w:spacing w:before="0" w:after="0"/>
              <w:ind w:left="0" w:right="0" w:firstLine="30"/>
              <w:jc w:val="left"/>
              <w:rPr/>
            </w:pPr>
            <w:r>
              <w:rPr/>
              <w:t> </w:t>
            </w:r>
          </w:p>
        </w:tc>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0" w:type="dxa"/>
            <w:tcBorders/>
            <w:shd w:fill="auto" w:val="clear"/>
            <w:vAlign w:val="center"/>
          </w:tcPr>
          <w:p>
            <w:pPr>
              <w:pStyle w:val="TableContents"/>
              <w:spacing w:before="0" w:after="0"/>
              <w:ind w:left="0" w:right="0" w:firstLine="30"/>
              <w:rPr/>
            </w:pPr>
            <w:r>
              <w:rPr/>
              <w:t> </w:t>
            </w:r>
          </w:p>
        </w:tc>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0" w:type="dxa"/>
            <w:tcBorders/>
            <w:shd w:fill="auto" w:val="clear"/>
            <w:vAlign w:val="center"/>
          </w:tcPr>
          <w:p>
            <w:pPr>
              <w:pStyle w:val="TableContents"/>
              <w:spacing w:before="0" w:after="0"/>
              <w:ind w:left="0" w:right="0" w:firstLine="30"/>
              <w:rPr/>
            </w:pPr>
            <w:r>
              <w:rPr/>
              <w:t> </w:t>
            </w:r>
          </w:p>
        </w:tc>
        <w:tc>
          <w:tcPr>
            <w:tcW w:w="1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867" w:type="dxa"/>
            <w:tcBorders/>
            <w:shd w:fill="auto" w:val="clear"/>
            <w:vAlign w:val="center"/>
          </w:tcPr>
          <w:p>
            <w:pPr>
              <w:pStyle w:val="TableContents"/>
              <w:spacing w:before="0" w:after="0"/>
              <w:ind w:left="0" w:right="0" w:firstLine="30"/>
              <w:jc w:val="left"/>
              <w:rPr/>
            </w:pPr>
            <w:r>
              <w:rPr/>
              <w:t> </w:t>
            </w:r>
          </w:p>
        </w:tc>
        <w:tc>
          <w:tcPr>
            <w:tcW w:w="4338"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 except per share amounts)</w:t>
            </w:r>
          </w:p>
        </w:tc>
      </w:tr>
      <w:tr>
        <w:trPr/>
        <w:tc>
          <w:tcPr>
            <w:tcW w:w="5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Weighted average grant-date fair value per share granted</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29.22</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20.34</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14.64</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Total grant date fair value of shares vested</w:t>
            </w:r>
          </w:p>
        </w:tc>
        <w:tc>
          <w:tcPr>
            <w:tcW w:w="12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13.5</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0.2</w:t>
            </w:r>
          </w:p>
        </w:tc>
        <w:tc>
          <w:tcPr>
            <w:tcW w:w="11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65</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the unamortized fair value of restricted stock awards to be amortized over their remaining vesting periods was approximately </w:t>
      </w:r>
      <w:r>
        <w:rPr>
          <w:rFonts w:ascii="inherit" w:hAnsi="inherit"/>
          <w:strike w:val="false"/>
          <w:dstrike w:val="false"/>
          <w:color w:val="000000"/>
          <w:sz w:val="17"/>
          <w:u w:val="none"/>
          <w:effect w:val="none"/>
        </w:rPr>
        <w:t>$18.5 million</w:t>
      </w:r>
      <w:r>
        <w:rPr>
          <w:sz w:val="17"/>
        </w:rPr>
        <w:t xml:space="preserve"> </w:t>
      </w:r>
      <w:r>
        <w:rPr>
          <w:rFonts w:ascii="inherit" w:hAnsi="inherit"/>
          <w:sz w:val="17"/>
        </w:rPr>
        <w:t xml:space="preserve">and the fair value of all options had been fully amortized to expense. The weighted average period over which these costs will be amortized is </w:t>
      </w:r>
      <w:r>
        <w:rPr>
          <w:rFonts w:ascii="inherit" w:hAnsi="inherit"/>
          <w:strike w:val="false"/>
          <w:dstrike w:val="false"/>
          <w:color w:val="000000"/>
          <w:sz w:val="17"/>
          <w:u w:val="none"/>
          <w:effect w:val="none"/>
        </w:rPr>
        <w:t>three years</w:t>
      </w:r>
      <w:r>
        <w:rPr>
          <w:sz w:val="17"/>
        </w:rPr>
        <w:t xml:space="preserve"> </w:t>
      </w:r>
      <w:r>
        <w:rPr>
          <w:rFonts w:ascii="inherit" w:hAnsi="inherit"/>
          <w:sz w:val="17"/>
        </w:rPr>
        <w:t>years.</w:t>
      </w:r>
    </w:p>
    <w:p>
      <w:pPr>
        <w:pStyle w:val="TextBody"/>
        <w:spacing w:lineRule="auto" w:line="288" w:before="0" w:after="0"/>
        <w:jc w:val="left"/>
        <w:rPr>
          <w:rFonts w:ascii="inherit" w:hAnsi="inherit"/>
          <w:sz w:val="17"/>
        </w:rPr>
      </w:pPr>
      <w:r>
        <w:rPr>
          <w:rFonts w:ascii="inherit" w:hAnsi="inherit"/>
          <w:sz w:val="17"/>
        </w:rPr>
        <w:t>The following is a summary of the option activity for the current fiscal year:</w:t>
      </w:r>
    </w:p>
    <w:tbl>
      <w:tblPr>
        <w:tblW w:w="10205" w:type="dxa"/>
        <w:jc w:val="left"/>
        <w:tblInd w:w="0" w:type="dxa"/>
        <w:tblCellMar>
          <w:top w:w="0" w:type="dxa"/>
          <w:left w:w="0" w:type="dxa"/>
          <w:bottom w:w="0" w:type="dxa"/>
          <w:right w:w="0" w:type="dxa"/>
        </w:tblCellMar>
      </w:tblPr>
      <w:tblGrid>
        <w:gridCol w:w="4103"/>
        <w:gridCol w:w="1308"/>
        <w:gridCol w:w="150"/>
        <w:gridCol w:w="135"/>
        <w:gridCol w:w="194"/>
        <w:gridCol w:w="1058"/>
        <w:gridCol w:w="98"/>
        <w:gridCol w:w="135"/>
        <w:gridCol w:w="1465"/>
        <w:gridCol w:w="135"/>
        <w:gridCol w:w="219"/>
        <w:gridCol w:w="1078"/>
        <w:gridCol w:w="127"/>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4103"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03" w:type="dxa"/>
            <w:tcBorders/>
            <w:shd w:fill="auto" w:val="clear"/>
            <w:vAlign w:val="center"/>
          </w:tcPr>
          <w:p>
            <w:pPr>
              <w:pStyle w:val="TableContents"/>
              <w:spacing w:before="0" w:after="0"/>
              <w:rPr/>
            </w:pPr>
            <w:r>
              <w:rPr/>
              <w:t> </w:t>
            </w:r>
          </w:p>
        </w:tc>
        <w:tc>
          <w:tcPr>
            <w:tcW w:w="14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135" w:type="dxa"/>
            <w:tcBorders/>
            <w:shd w:fill="auto" w:val="clear"/>
            <w:vAlign w:val="center"/>
          </w:tcPr>
          <w:p>
            <w:pPr>
              <w:pStyle w:val="TableContents"/>
              <w:spacing w:before="0" w:after="0"/>
              <w:ind w:left="0" w:right="0" w:firstLine="30"/>
              <w:rPr/>
            </w:pPr>
            <w:r>
              <w:rPr/>
              <w:t> </w:t>
            </w:r>
          </w:p>
        </w:tc>
        <w:tc>
          <w:tcPr>
            <w:tcW w:w="135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Weighted</w:t>
            </w:r>
          </w:p>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jc w:val="center"/>
              <w:rPr>
                <w:rFonts w:ascii="inherit" w:hAnsi="inherit"/>
                <w:b/>
                <w:sz w:val="13"/>
              </w:rPr>
            </w:pPr>
            <w:r>
              <w:rPr>
                <w:rFonts w:ascii="inherit" w:hAnsi="inherit"/>
                <w:b/>
                <w:sz w:val="13"/>
              </w:rPr>
              <w:t>Exercise</w:t>
            </w:r>
          </w:p>
          <w:p>
            <w:pPr>
              <w:pStyle w:val="TableContents"/>
              <w:spacing w:before="0" w:after="0"/>
              <w:ind w:left="0" w:right="0" w:firstLine="30"/>
              <w:jc w:val="center"/>
              <w:rPr>
                <w:rFonts w:ascii="inherit" w:hAnsi="inherit"/>
                <w:b/>
                <w:sz w:val="13"/>
              </w:rPr>
            </w:pPr>
            <w:r>
              <w:rPr>
                <w:rFonts w:ascii="inherit" w:hAnsi="inherit"/>
                <w:b/>
                <w:sz w:val="13"/>
              </w:rPr>
              <w:t>Price</w:t>
            </w:r>
          </w:p>
        </w:tc>
        <w:tc>
          <w:tcPr>
            <w:tcW w:w="135" w:type="dxa"/>
            <w:tcBorders/>
            <w:shd w:fill="auto" w:val="clear"/>
            <w:vAlign w:val="center"/>
          </w:tcPr>
          <w:p>
            <w:pPr>
              <w:pStyle w:val="TableContents"/>
              <w:spacing w:before="0" w:after="0"/>
              <w:ind w:left="0" w:right="0" w:firstLine="30"/>
              <w:rPr/>
            </w:pPr>
            <w:r>
              <w:rPr/>
              <w:t> </w:t>
            </w:r>
          </w:p>
        </w:tc>
        <w:tc>
          <w:tcPr>
            <w:tcW w:w="1465"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Weighted</w:t>
            </w:r>
          </w:p>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jc w:val="center"/>
              <w:rPr>
                <w:rFonts w:ascii="inherit" w:hAnsi="inherit"/>
                <w:b/>
                <w:sz w:val="13"/>
              </w:rPr>
            </w:pPr>
            <w:r>
              <w:rPr>
                <w:rFonts w:ascii="inherit" w:hAnsi="inherit"/>
                <w:b/>
                <w:sz w:val="13"/>
              </w:rPr>
              <w:t>Remaining</w:t>
            </w:r>
          </w:p>
          <w:p>
            <w:pPr>
              <w:pStyle w:val="TableContents"/>
              <w:spacing w:before="0" w:after="0"/>
              <w:jc w:val="center"/>
              <w:rPr>
                <w:rFonts w:ascii="inherit" w:hAnsi="inherit"/>
                <w:b/>
                <w:sz w:val="13"/>
              </w:rPr>
            </w:pPr>
            <w:r>
              <w:rPr>
                <w:rFonts w:ascii="inherit" w:hAnsi="inherit"/>
                <w:b/>
                <w:sz w:val="13"/>
              </w:rPr>
              <w:t>Contractual</w:t>
            </w:r>
          </w:p>
          <w:p>
            <w:pPr>
              <w:pStyle w:val="TableContents"/>
              <w:spacing w:before="0" w:after="0"/>
              <w:jc w:val="center"/>
              <w:rPr>
                <w:rFonts w:ascii="inherit" w:hAnsi="inherit"/>
                <w:b/>
                <w:sz w:val="13"/>
              </w:rPr>
            </w:pPr>
            <w:r>
              <w:rPr>
                <w:rFonts w:ascii="inherit" w:hAnsi="inherit"/>
                <w:b/>
                <w:sz w:val="13"/>
              </w:rPr>
              <w:t>Term</w:t>
            </w:r>
          </w:p>
          <w:p>
            <w:pPr>
              <w:pStyle w:val="TableContents"/>
              <w:spacing w:before="0" w:after="0"/>
              <w:ind w:left="0" w:right="0" w:firstLine="30"/>
              <w:jc w:val="center"/>
              <w:rPr>
                <w:rFonts w:ascii="inherit" w:hAnsi="inherit"/>
                <w:b/>
                <w:i/>
                <w:sz w:val="13"/>
              </w:rPr>
            </w:pPr>
            <w:r>
              <w:rPr>
                <w:rFonts w:ascii="inherit" w:hAnsi="inherit"/>
                <w:b/>
                <w:i/>
                <w:sz w:val="13"/>
              </w:rPr>
              <w:t>(in years)</w:t>
            </w:r>
          </w:p>
        </w:tc>
        <w:tc>
          <w:tcPr>
            <w:tcW w:w="135" w:type="dxa"/>
            <w:tcBorders/>
            <w:shd w:fill="auto" w:val="clear"/>
            <w:vAlign w:val="center"/>
          </w:tcPr>
          <w:p>
            <w:pPr>
              <w:pStyle w:val="TableContents"/>
              <w:spacing w:before="0" w:after="0"/>
              <w:ind w:left="0" w:right="0" w:firstLine="30"/>
              <w:rPr/>
            </w:pPr>
            <w:r>
              <w:rPr/>
              <w:t> </w:t>
            </w:r>
          </w:p>
        </w:tc>
        <w:tc>
          <w:tcPr>
            <w:tcW w:w="142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Aggregate</w:t>
            </w:r>
          </w:p>
          <w:p>
            <w:pPr>
              <w:pStyle w:val="TableContents"/>
              <w:spacing w:before="0" w:after="0"/>
              <w:jc w:val="center"/>
              <w:rPr>
                <w:rFonts w:ascii="inherit" w:hAnsi="inherit"/>
                <w:b/>
                <w:sz w:val="13"/>
              </w:rPr>
            </w:pPr>
            <w:r>
              <w:rPr>
                <w:rFonts w:ascii="inherit" w:hAnsi="inherit"/>
                <w:b/>
                <w:sz w:val="13"/>
              </w:rPr>
              <w:t>Intrinsic</w:t>
            </w:r>
          </w:p>
          <w:p>
            <w:pPr>
              <w:pStyle w:val="TableContents"/>
              <w:spacing w:before="0" w:after="0"/>
              <w:jc w:val="center"/>
              <w:rPr>
                <w:rFonts w:ascii="inherit" w:hAnsi="inherit"/>
                <w:b/>
                <w:sz w:val="13"/>
              </w:rPr>
            </w:pPr>
            <w:r>
              <w:rPr>
                <w:rFonts w:ascii="inherit" w:hAnsi="inherit"/>
                <w:b/>
                <w:sz w:val="13"/>
              </w:rPr>
              <w:t>Value</w:t>
            </w:r>
          </w:p>
          <w:p>
            <w:pPr>
              <w:pStyle w:val="TableContents"/>
              <w:spacing w:before="0" w:after="0"/>
              <w:ind w:left="0" w:right="0" w:firstLine="30"/>
              <w:jc w:val="center"/>
              <w:rPr>
                <w:rFonts w:ascii="inherit" w:hAnsi="inherit"/>
                <w:b/>
                <w:i/>
                <w:sz w:val="13"/>
              </w:rPr>
            </w:pPr>
            <w:r>
              <w:rPr>
                <w:rFonts w:ascii="inherit" w:hAnsi="inherit"/>
                <w:b/>
                <w:i/>
                <w:sz w:val="13"/>
              </w:rPr>
              <w:t>(in thousands)</w:t>
            </w:r>
          </w:p>
        </w:tc>
      </w:tr>
      <w:tr>
        <w:trPr/>
        <w:tc>
          <w:tcPr>
            <w:tcW w:w="4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September 30, 2011</w:t>
            </w:r>
          </w:p>
        </w:tc>
        <w:tc>
          <w:tcPr>
            <w:tcW w:w="130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222,398</w:t>
            </w:r>
          </w:p>
        </w:tc>
        <w:tc>
          <w:tcPr>
            <w:tcW w:w="1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9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3.12</w:t>
            </w:r>
          </w:p>
        </w:tc>
        <w:tc>
          <w:tcPr>
            <w:tcW w:w="9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65"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p>
        </w:tc>
        <w:tc>
          <w:tcPr>
            <w:tcW w:w="135" w:type="dxa"/>
            <w:tcBorders/>
            <w:shd w:fill="CCEEFF" w:val="clear"/>
            <w:vAlign w:val="center"/>
          </w:tcPr>
          <w:p>
            <w:pPr>
              <w:pStyle w:val="TableContents"/>
              <w:spacing w:before="0" w:after="0"/>
              <w:ind w:left="0" w:right="0" w:firstLine="30"/>
              <w:rPr/>
            </w:pPr>
            <w:r>
              <w:rPr/>
              <w:t> </w:t>
            </w:r>
          </w:p>
        </w:tc>
        <w:tc>
          <w:tcPr>
            <w:tcW w:w="1424" w:type="dxa"/>
            <w:gridSpan w:val="3"/>
            <w:tcBorders/>
            <w:shd w:fill="CCEEFF" w:val="clear"/>
            <w:vAlign w:val="center"/>
          </w:tcPr>
          <w:p>
            <w:pPr>
              <w:pStyle w:val="TableContents"/>
              <w:spacing w:before="0" w:after="0"/>
              <w:ind w:left="0" w:right="0" w:firstLine="180"/>
              <w:jc w:val="left"/>
              <w:rPr/>
            </w:pPr>
            <w:r>
              <w:rPr/>
              <w:t> </w:t>
            </w:r>
          </w:p>
        </w:tc>
      </w:tr>
      <w:tr>
        <w:trPr/>
        <w:tc>
          <w:tcPr>
            <w:tcW w:w="4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1308" w:type="dxa"/>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52" w:type="dxa"/>
            <w:gridSpan w:val="2"/>
            <w:tcBorders/>
            <w:shd w:fill="auto" w:val="clear"/>
            <w:vAlign w:val="center"/>
          </w:tcPr>
          <w:p>
            <w:pPr>
              <w:pStyle w:val="TableContents"/>
              <w:spacing w:before="0" w:after="0"/>
              <w:jc w:val="right"/>
              <w:rPr/>
            </w:pPr>
            <w:r>
              <w:rPr/>
              <w:t>—</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65" w:type="dxa"/>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24" w:type="dxa"/>
            <w:gridSpan w:val="3"/>
            <w:tcBorders/>
            <w:shd w:fill="auto" w:val="clear"/>
            <w:vAlign w:val="center"/>
          </w:tcPr>
          <w:p>
            <w:pPr>
              <w:pStyle w:val="TableContents"/>
              <w:spacing w:before="0" w:after="0"/>
              <w:ind w:left="0" w:right="0" w:firstLine="180"/>
              <w:jc w:val="left"/>
              <w:rPr/>
            </w:pPr>
            <w:r>
              <w:rPr/>
              <w:t> </w:t>
            </w:r>
          </w:p>
        </w:tc>
      </w:tr>
      <w:tr>
        <w:trPr/>
        <w:tc>
          <w:tcPr>
            <w:tcW w:w="4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1308" w:type="dxa"/>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52" w:type="dxa"/>
            <w:gridSpan w:val="2"/>
            <w:tcBorders/>
            <w:shd w:fill="CCEEFF" w:val="clear"/>
            <w:vAlign w:val="center"/>
          </w:tcPr>
          <w:p>
            <w:pPr>
              <w:pStyle w:val="TableContents"/>
              <w:spacing w:before="0" w:after="0"/>
              <w:jc w:val="right"/>
              <w:rPr/>
            </w:pPr>
            <w:r>
              <w:rPr/>
              <w:t>—</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65" w:type="dxa"/>
            <w:tcBorders/>
            <w:shd w:fill="CCEEFF" w:val="clear"/>
            <w:vAlign w:val="center"/>
          </w:tcPr>
          <w:p>
            <w:pPr>
              <w:pStyle w:val="TableContents"/>
              <w:spacing w:before="0" w:after="0"/>
              <w:ind w:left="0" w:right="0" w:firstLine="30"/>
              <w:jc w:val="left"/>
              <w:rPr/>
            </w:pPr>
            <w:r>
              <w:rPr/>
              <w:t> </w:t>
            </w:r>
          </w:p>
        </w:tc>
        <w:tc>
          <w:tcPr>
            <w:tcW w:w="135" w:type="dxa"/>
            <w:tcBorders/>
            <w:shd w:fill="CCEEFF" w:val="clear"/>
            <w:vAlign w:val="center"/>
          </w:tcPr>
          <w:p>
            <w:pPr>
              <w:pStyle w:val="TableContents"/>
              <w:spacing w:before="0" w:after="0"/>
              <w:ind w:left="0" w:right="0" w:firstLine="30"/>
              <w:rPr/>
            </w:pPr>
            <w:r>
              <w:rPr/>
              <w:t> </w:t>
            </w:r>
          </w:p>
        </w:tc>
        <w:tc>
          <w:tcPr>
            <w:tcW w:w="1424" w:type="dxa"/>
            <w:gridSpan w:val="3"/>
            <w:tcBorders/>
            <w:shd w:fill="CCEEFF" w:val="clear"/>
            <w:vAlign w:val="center"/>
          </w:tcPr>
          <w:p>
            <w:pPr>
              <w:pStyle w:val="TableContents"/>
              <w:spacing w:before="0" w:after="0"/>
              <w:ind w:left="0" w:right="0" w:firstLine="180"/>
              <w:jc w:val="left"/>
              <w:rPr/>
            </w:pPr>
            <w:r>
              <w:rPr/>
              <w:t> </w:t>
            </w:r>
          </w:p>
        </w:tc>
      </w:tr>
      <w:tr>
        <w:trPr/>
        <w:tc>
          <w:tcPr>
            <w:tcW w:w="4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Expired</w:t>
            </w:r>
          </w:p>
        </w:tc>
        <w:tc>
          <w:tcPr>
            <w:tcW w:w="1308" w:type="dxa"/>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52" w:type="dxa"/>
            <w:gridSpan w:val="2"/>
            <w:tcBorders/>
            <w:shd w:fill="auto" w:val="clear"/>
            <w:vAlign w:val="center"/>
          </w:tcPr>
          <w:p>
            <w:pPr>
              <w:pStyle w:val="TableContents"/>
              <w:spacing w:before="0" w:after="0"/>
              <w:jc w:val="right"/>
              <w:rPr/>
            </w:pPr>
            <w:r>
              <w:rPr/>
              <w:t>—</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65" w:type="dxa"/>
            <w:tcBorders/>
            <w:shd w:fill="auto" w:val="clear"/>
            <w:vAlign w:val="center"/>
          </w:tcPr>
          <w:p>
            <w:pPr>
              <w:pStyle w:val="TableContents"/>
              <w:spacing w:before="0" w:after="0"/>
              <w:ind w:left="0" w:right="0" w:firstLine="30"/>
              <w:jc w:val="left"/>
              <w:rPr/>
            </w:pPr>
            <w:r>
              <w:rPr/>
              <w:t> </w:t>
            </w:r>
          </w:p>
        </w:tc>
        <w:tc>
          <w:tcPr>
            <w:tcW w:w="135" w:type="dxa"/>
            <w:tcBorders/>
            <w:shd w:fill="auto" w:val="clear"/>
            <w:vAlign w:val="center"/>
          </w:tcPr>
          <w:p>
            <w:pPr>
              <w:pStyle w:val="TableContents"/>
              <w:spacing w:before="0" w:after="0"/>
              <w:ind w:left="0" w:right="0" w:firstLine="30"/>
              <w:rPr/>
            </w:pPr>
            <w:r>
              <w:rPr/>
              <w:t> </w:t>
            </w:r>
          </w:p>
        </w:tc>
        <w:tc>
          <w:tcPr>
            <w:tcW w:w="1424" w:type="dxa"/>
            <w:gridSpan w:val="3"/>
            <w:tcBorders/>
            <w:shd w:fill="auto" w:val="clear"/>
            <w:vAlign w:val="center"/>
          </w:tcPr>
          <w:p>
            <w:pPr>
              <w:pStyle w:val="TableContents"/>
              <w:spacing w:before="0" w:after="0"/>
              <w:ind w:left="0" w:right="0" w:firstLine="180"/>
              <w:jc w:val="left"/>
              <w:rPr/>
            </w:pPr>
            <w:r>
              <w:rPr/>
              <w:t> </w:t>
            </w:r>
          </w:p>
        </w:tc>
      </w:tr>
      <w:tr>
        <w:trPr/>
        <w:tc>
          <w:tcPr>
            <w:tcW w:w="4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Exercised</w:t>
            </w:r>
          </w:p>
        </w:tc>
        <w:tc>
          <w:tcPr>
            <w:tcW w:w="130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(204,298</w:t>
            </w:r>
          </w:p>
        </w:tc>
        <w:tc>
          <w:tcPr>
            <w:tcW w:w="1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2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3.18</w:t>
            </w:r>
          </w:p>
        </w:tc>
        <w:tc>
          <w:tcPr>
            <w:tcW w:w="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65" w:type="dxa"/>
            <w:tcBorders/>
            <w:shd w:fill="CCEEFF" w:val="clear"/>
            <w:vAlign w:val="center"/>
          </w:tcPr>
          <w:p>
            <w:pPr>
              <w:pStyle w:val="TableContents"/>
              <w:spacing w:before="0" w:after="0"/>
              <w:ind w:left="0" w:right="0" w:firstLine="30"/>
              <w:jc w:val="left"/>
              <w:rPr/>
            </w:pPr>
            <w:r>
              <w:rPr/>
              <w:t> </w:t>
            </w:r>
          </w:p>
        </w:tc>
        <w:tc>
          <w:tcPr>
            <w:tcW w:w="135" w:type="dxa"/>
            <w:tcBorders/>
            <w:shd w:fill="CCEEFF" w:val="clear"/>
            <w:vAlign w:val="center"/>
          </w:tcPr>
          <w:p>
            <w:pPr>
              <w:pStyle w:val="TableContents"/>
              <w:spacing w:before="0" w:after="0"/>
              <w:ind w:left="0" w:right="0" w:firstLine="30"/>
              <w:rPr/>
            </w:pPr>
            <w:r>
              <w:rPr/>
              <w:t> </w:t>
            </w:r>
          </w:p>
        </w:tc>
        <w:tc>
          <w:tcPr>
            <w:tcW w:w="1424" w:type="dxa"/>
            <w:gridSpan w:val="3"/>
            <w:tcBorders/>
            <w:shd w:fill="CCEEFF" w:val="clear"/>
            <w:vAlign w:val="center"/>
          </w:tcPr>
          <w:p>
            <w:pPr>
              <w:pStyle w:val="TableContents"/>
              <w:spacing w:before="0" w:after="0"/>
              <w:ind w:left="0" w:right="0" w:firstLine="30"/>
              <w:jc w:val="left"/>
              <w:rPr/>
            </w:pPr>
            <w:r>
              <w:rPr/>
              <w:t> </w:t>
            </w:r>
          </w:p>
        </w:tc>
      </w:tr>
      <w:tr>
        <w:trPr/>
        <w:tc>
          <w:tcPr>
            <w:tcW w:w="4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September 30, 2012</w:t>
            </w:r>
          </w:p>
        </w:tc>
        <w:tc>
          <w:tcPr>
            <w:tcW w:w="1308" w:type="dxa"/>
            <w:tcBorders/>
            <w:shd w:fill="auto" w:val="clear"/>
            <w:vAlign w:val="center"/>
          </w:tcPr>
          <w:p>
            <w:pPr>
              <w:pStyle w:val="TableContents"/>
              <w:spacing w:before="0" w:after="0"/>
              <w:jc w:val="right"/>
              <w:rPr>
                <w:rFonts w:ascii="inherit" w:hAnsi="inherit"/>
                <w:sz w:val="17"/>
              </w:rPr>
            </w:pPr>
            <w:r>
              <w:rPr>
                <w:rFonts w:ascii="inherit" w:hAnsi="inherit"/>
                <w:sz w:val="17"/>
              </w:rPr>
              <w:t>18,100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9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shd w:fill="auto" w:val="clear"/>
            <w:vAlign w:val="center"/>
          </w:tcPr>
          <w:p>
            <w:pPr>
              <w:pStyle w:val="TableContents"/>
              <w:spacing w:before="0" w:after="0"/>
              <w:jc w:val="right"/>
              <w:rPr>
                <w:rFonts w:ascii="inherit" w:hAnsi="inherit"/>
                <w:sz w:val="17"/>
              </w:rPr>
            </w:pPr>
            <w:r>
              <w:rPr>
                <w:rFonts w:ascii="inherit" w:hAnsi="inherit"/>
                <w:sz w:val="17"/>
              </w:rPr>
              <w:t>2.52</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6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1.48</w:t>
            </w:r>
          </w:p>
        </w:tc>
        <w:tc>
          <w:tcPr>
            <w:tcW w:w="135"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8" w:type="dxa"/>
            <w:tcBorders/>
            <w:shd w:fill="auto" w:val="clear"/>
            <w:vAlign w:val="center"/>
          </w:tcPr>
          <w:p>
            <w:pPr>
              <w:pStyle w:val="TableContents"/>
              <w:spacing w:before="0" w:after="0"/>
              <w:jc w:val="right"/>
              <w:rPr>
                <w:rFonts w:ascii="inherit" w:hAnsi="inherit"/>
                <w:sz w:val="17"/>
              </w:rPr>
            </w:pPr>
            <w:r>
              <w:rPr>
                <w:rFonts w:ascii="inherit" w:hAnsi="inherit"/>
                <w:sz w:val="17"/>
              </w:rPr>
              <w:t>369</w:t>
            </w:r>
          </w:p>
        </w:tc>
        <w:tc>
          <w:tcPr>
            <w:tcW w:w="1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Vested and expected to vest</w:t>
            </w:r>
          </w:p>
        </w:tc>
        <w:tc>
          <w:tcPr>
            <w:tcW w:w="1308" w:type="dxa"/>
            <w:tcBorders/>
            <w:shd w:fill="CCEEFF" w:val="clear"/>
            <w:vAlign w:val="center"/>
          </w:tcPr>
          <w:p>
            <w:pPr>
              <w:pStyle w:val="TableContents"/>
              <w:spacing w:before="0" w:after="0"/>
              <w:jc w:val="right"/>
              <w:rPr>
                <w:rFonts w:ascii="inherit" w:hAnsi="inherit"/>
                <w:sz w:val="17"/>
              </w:rPr>
            </w:pPr>
            <w:r>
              <w:rPr>
                <w:rFonts w:ascii="inherit" w:hAnsi="inherit"/>
                <w:sz w:val="17"/>
              </w:rPr>
              <w:t>18,100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shd w:fill="CCEEFF" w:val="clear"/>
            <w:vAlign w:val="center"/>
          </w:tcPr>
          <w:p>
            <w:pPr>
              <w:pStyle w:val="TableContents"/>
              <w:spacing w:before="0" w:after="0"/>
              <w:jc w:val="right"/>
              <w:rPr>
                <w:rFonts w:ascii="inherit" w:hAnsi="inherit"/>
                <w:sz w:val="17"/>
              </w:rPr>
            </w:pPr>
            <w:r>
              <w:rPr>
                <w:rFonts w:ascii="inherit" w:hAnsi="inherit"/>
                <w:sz w:val="17"/>
              </w:rPr>
              <w:t>2.52</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6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1.48</w:t>
            </w:r>
          </w:p>
        </w:tc>
        <w:tc>
          <w:tcPr>
            <w:tcW w:w="135"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8" w:type="dxa"/>
            <w:tcBorders/>
            <w:shd w:fill="CCEEFF" w:val="clear"/>
            <w:vAlign w:val="center"/>
          </w:tcPr>
          <w:p>
            <w:pPr>
              <w:pStyle w:val="TableContents"/>
              <w:spacing w:before="0" w:after="0"/>
              <w:jc w:val="right"/>
              <w:rPr>
                <w:rFonts w:ascii="inherit" w:hAnsi="inherit"/>
                <w:sz w:val="17"/>
              </w:rPr>
            </w:pPr>
            <w:r>
              <w:rPr>
                <w:rFonts w:ascii="inherit" w:hAnsi="inherit"/>
                <w:sz w:val="17"/>
              </w:rPr>
              <w:t>369</w:t>
            </w:r>
          </w:p>
        </w:tc>
        <w:tc>
          <w:tcPr>
            <w:tcW w:w="1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Vested at September 30, 2012</w:t>
            </w:r>
          </w:p>
        </w:tc>
        <w:tc>
          <w:tcPr>
            <w:tcW w:w="1308" w:type="dxa"/>
            <w:tcBorders/>
            <w:shd w:fill="auto" w:val="clear"/>
            <w:vAlign w:val="center"/>
          </w:tcPr>
          <w:p>
            <w:pPr>
              <w:pStyle w:val="TableContents"/>
              <w:spacing w:before="0" w:after="0"/>
              <w:jc w:val="right"/>
              <w:rPr>
                <w:rFonts w:ascii="inherit" w:hAnsi="inherit"/>
                <w:sz w:val="17"/>
              </w:rPr>
            </w:pPr>
            <w:r>
              <w:rPr>
                <w:rFonts w:ascii="inherit" w:hAnsi="inherit"/>
                <w:sz w:val="17"/>
              </w:rPr>
              <w:t>18,100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9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shd w:fill="auto" w:val="clear"/>
            <w:vAlign w:val="center"/>
          </w:tcPr>
          <w:p>
            <w:pPr>
              <w:pStyle w:val="TableContents"/>
              <w:spacing w:before="0" w:after="0"/>
              <w:jc w:val="right"/>
              <w:rPr>
                <w:rFonts w:ascii="inherit" w:hAnsi="inherit"/>
                <w:sz w:val="17"/>
              </w:rPr>
            </w:pPr>
            <w:r>
              <w:rPr>
                <w:rFonts w:ascii="inherit" w:hAnsi="inherit"/>
                <w:sz w:val="17"/>
              </w:rPr>
              <w:t>2.52</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6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1.48</w:t>
            </w:r>
          </w:p>
        </w:tc>
        <w:tc>
          <w:tcPr>
            <w:tcW w:w="135"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8" w:type="dxa"/>
            <w:tcBorders/>
            <w:shd w:fill="auto" w:val="clear"/>
            <w:vAlign w:val="center"/>
          </w:tcPr>
          <w:p>
            <w:pPr>
              <w:pStyle w:val="TableContents"/>
              <w:spacing w:before="0" w:after="0"/>
              <w:jc w:val="right"/>
              <w:rPr>
                <w:rFonts w:ascii="inherit" w:hAnsi="inherit"/>
                <w:sz w:val="17"/>
              </w:rPr>
            </w:pPr>
            <w:r>
              <w:rPr>
                <w:rFonts w:ascii="inherit" w:hAnsi="inherit"/>
                <w:sz w:val="17"/>
              </w:rPr>
              <w:t>369</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5651"/>
        <w:gridCol w:w="219"/>
        <w:gridCol w:w="1123"/>
        <w:gridCol w:w="100"/>
        <w:gridCol w:w="138"/>
        <w:gridCol w:w="219"/>
        <w:gridCol w:w="1057"/>
        <w:gridCol w:w="100"/>
        <w:gridCol w:w="138"/>
        <w:gridCol w:w="219"/>
        <w:gridCol w:w="1123"/>
        <w:gridCol w:w="11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65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51" w:type="dxa"/>
            <w:tcBorders/>
            <w:shd w:fill="auto" w:val="clear"/>
            <w:vAlign w:val="center"/>
          </w:tcPr>
          <w:p>
            <w:pPr>
              <w:pStyle w:val="TableContents"/>
              <w:spacing w:before="0" w:after="0"/>
              <w:ind w:left="0" w:right="0" w:firstLine="30"/>
              <w:jc w:val="left"/>
              <w:rPr/>
            </w:pPr>
            <w:r>
              <w:rPr/>
              <w:t> </w:t>
            </w:r>
          </w:p>
        </w:tc>
        <w:tc>
          <w:tcPr>
            <w:tcW w:w="455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651" w:type="dxa"/>
            <w:tcBorders/>
            <w:shd w:fill="auto" w:val="clear"/>
            <w:vAlign w:val="center"/>
          </w:tcPr>
          <w:p>
            <w:pPr>
              <w:pStyle w:val="TableContents"/>
              <w:spacing w:before="0" w:after="0"/>
              <w:ind w:left="0" w:right="0" w:firstLine="30"/>
              <w:jc w:val="left"/>
              <w:rPr/>
            </w:pPr>
            <w:r>
              <w:rPr/>
              <w:t> </w:t>
            </w:r>
          </w:p>
        </w:tc>
        <w:tc>
          <w:tcPr>
            <w:tcW w:w="14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8" w:type="dxa"/>
            <w:tcBorders/>
            <w:shd w:fill="auto" w:val="clear"/>
            <w:vAlign w:val="center"/>
          </w:tcPr>
          <w:p>
            <w:pPr>
              <w:pStyle w:val="TableContents"/>
              <w:spacing w:before="0" w:after="0"/>
              <w:ind w:left="0" w:right="0" w:firstLine="30"/>
              <w:rPr/>
            </w:pPr>
            <w:r>
              <w:rPr/>
              <w:t> </w:t>
            </w:r>
          </w:p>
        </w:tc>
        <w:tc>
          <w:tcPr>
            <w:tcW w:w="13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8" w:type="dxa"/>
            <w:tcBorders/>
            <w:shd w:fill="auto" w:val="clear"/>
            <w:vAlign w:val="center"/>
          </w:tcPr>
          <w:p>
            <w:pPr>
              <w:pStyle w:val="TableContents"/>
              <w:spacing w:before="0" w:after="0"/>
              <w:ind w:left="0" w:right="0" w:firstLine="30"/>
              <w:rPr/>
            </w:pPr>
            <w:r>
              <w:rPr/>
              <w:t> </w:t>
            </w:r>
          </w:p>
        </w:tc>
        <w:tc>
          <w:tcPr>
            <w:tcW w:w="14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651" w:type="dxa"/>
            <w:tcBorders/>
            <w:shd w:fill="auto" w:val="clear"/>
            <w:vAlign w:val="center"/>
          </w:tcPr>
          <w:p>
            <w:pPr>
              <w:pStyle w:val="TableContents"/>
              <w:spacing w:before="0" w:after="0"/>
              <w:ind w:left="0" w:right="0" w:firstLine="30"/>
              <w:jc w:val="left"/>
              <w:rPr/>
            </w:pPr>
            <w:r>
              <w:rPr/>
              <w:t> </w:t>
            </w:r>
          </w:p>
        </w:tc>
        <w:tc>
          <w:tcPr>
            <w:tcW w:w="455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 except share amounts)</w:t>
            </w:r>
          </w:p>
        </w:tc>
      </w:tr>
      <w:tr>
        <w:trPr/>
        <w:tc>
          <w:tcPr>
            <w:tcW w:w="56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Shares issued due to stock option exercises</w:t>
            </w:r>
          </w:p>
        </w:tc>
        <w:tc>
          <w:tcPr>
            <w:tcW w:w="13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204,298</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62,173</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494,202</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due to stock option exercises</w:t>
            </w:r>
          </w:p>
        </w:tc>
        <w:tc>
          <w:tcPr>
            <w:tcW w:w="2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rFonts w:ascii="inherit" w:hAnsi="inherit"/>
                <w:sz w:val="17"/>
              </w:rPr>
            </w:pPr>
            <w:r>
              <w:rPr>
                <w:rFonts w:ascii="inherit" w:hAnsi="inherit"/>
                <w:sz w:val="17"/>
              </w:rPr>
              <w:t>0.6</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0.4</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 benefit from stock option exercises</w:t>
            </w:r>
          </w:p>
        </w:tc>
        <w:tc>
          <w:tcPr>
            <w:tcW w:w="2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CCEEFF" w:val="clear"/>
            <w:vAlign w:val="center"/>
          </w:tcPr>
          <w:p>
            <w:pPr>
              <w:pStyle w:val="TableContents"/>
              <w:spacing w:before="0" w:after="0"/>
              <w:jc w:val="right"/>
              <w:rPr>
                <w:rFonts w:ascii="inherit" w:hAnsi="inherit"/>
                <w:sz w:val="17"/>
              </w:rPr>
            </w:pPr>
            <w:r>
              <w:rPr>
                <w:rFonts w:ascii="inherit" w:hAnsi="inherit"/>
                <w:sz w:val="17"/>
              </w:rPr>
              <w:t>0.2</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2.1</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Intrinsic value of stock options exercised</w:t>
            </w:r>
          </w:p>
        </w:tc>
        <w:tc>
          <w:tcPr>
            <w:tcW w:w="2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rFonts w:ascii="inherit" w:hAnsi="inherit"/>
                <w:sz w:val="17"/>
              </w:rPr>
            </w:pPr>
            <w:r>
              <w:rPr>
                <w:rFonts w:ascii="inherit" w:hAnsi="inherit"/>
                <w:sz w:val="17"/>
              </w:rPr>
              <w:t>5.7</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rFonts w:ascii="inherit" w:hAnsi="inherit"/>
                <w:sz w:val="17"/>
              </w:rPr>
            </w:pPr>
            <w:r>
              <w:rPr>
                <w:rFonts w:ascii="inherit" w:hAnsi="inherit"/>
                <w:sz w:val="17"/>
              </w:rPr>
              <w:t>7.7</w:t>
            </w:r>
          </w:p>
        </w:tc>
        <w:tc>
          <w:tcPr>
            <w:tcW w:w="118"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bookmarkStart w:id="66" w:name="sFBF224DB59696348FF880F13B892AEEC"/>
      <w:bookmarkStart w:id="67" w:name="sFBF224DB59696348FF880F13B892AEEC"/>
      <w:bookmarkEnd w:id="67"/>
    </w:p>
    <w:p>
      <w:pPr>
        <w:pStyle w:val="TextBody"/>
        <w:spacing w:lineRule="auto" w:line="288" w:before="0" w:after="0"/>
        <w:jc w:val="left"/>
        <w:rPr>
          <w:rFonts w:ascii="inherit" w:hAnsi="inherit"/>
          <w:b/>
          <w:sz w:val="17"/>
        </w:rPr>
      </w:pPr>
      <w:r>
        <w:rPr>
          <w:rFonts w:ascii="inherit" w:hAnsi="inherit"/>
          <w:b/>
          <w:sz w:val="17"/>
        </w:rPr>
        <w:t>NOTE 11: REDEEMABLE NONCONTROLLING INTEREST</w:t>
      </w:r>
    </w:p>
    <w:p>
      <w:pPr>
        <w:pStyle w:val="TextBody"/>
        <w:spacing w:lineRule="auto" w:line="288" w:before="0" w:after="0"/>
        <w:jc w:val="left"/>
        <w:rPr>
          <w:rFonts w:ascii="inherit" w:hAnsi="inherit"/>
          <w:sz w:val="17"/>
        </w:rPr>
      </w:pPr>
      <w:r>
        <w:rPr>
          <w:rFonts w:ascii="inherit" w:hAnsi="inherit"/>
          <w:sz w:val="17"/>
        </w:rPr>
        <w:t xml:space="preserve">As part of the Crediamigo and Cash Genie acquisitions (see Note 3, “Acquisitions”), we recorded redeemable noncontrolling interests. The following table provides a summary of the activities in our redeemable noncontrolling interests: </w:t>
      </w:r>
    </w:p>
    <w:tbl>
      <w:tblPr>
        <w:tblW w:w="10205" w:type="dxa"/>
        <w:jc w:val="center"/>
        <w:tblInd w:w="0" w:type="dxa"/>
        <w:tblCellMar>
          <w:top w:w="0" w:type="dxa"/>
          <w:left w:w="0" w:type="dxa"/>
          <w:bottom w:w="0" w:type="dxa"/>
          <w:right w:w="0" w:type="dxa"/>
        </w:tblCellMar>
      </w:tblPr>
      <w:tblGrid>
        <w:gridCol w:w="7723"/>
        <w:gridCol w:w="205"/>
        <w:gridCol w:w="1877"/>
        <w:gridCol w:w="400"/>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77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723" w:type="dxa"/>
            <w:tcBorders/>
            <w:shd w:fill="auto" w:val="clear"/>
            <w:vAlign w:val="center"/>
          </w:tcPr>
          <w:p>
            <w:pPr>
              <w:pStyle w:val="TableContents"/>
              <w:spacing w:before="0" w:after="0"/>
              <w:ind w:left="0" w:right="0" w:firstLine="30"/>
              <w:rPr/>
            </w:pPr>
            <w:r>
              <w:rPr/>
              <w:t> </w:t>
            </w:r>
          </w:p>
        </w:tc>
        <w:tc>
          <w:tcPr>
            <w:tcW w:w="24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Redeemable Noncontrolling Interests</w:t>
            </w:r>
          </w:p>
        </w:tc>
      </w:tr>
      <w:tr>
        <w:trPr/>
        <w:tc>
          <w:tcPr>
            <w:tcW w:w="7723" w:type="dxa"/>
            <w:tcBorders/>
            <w:shd w:fill="auto" w:val="clear"/>
            <w:vAlign w:val="center"/>
          </w:tcPr>
          <w:p>
            <w:pPr>
              <w:pStyle w:val="TableContents"/>
              <w:spacing w:before="0" w:after="0"/>
              <w:ind w:left="0" w:right="0" w:firstLine="30"/>
              <w:rPr/>
            </w:pPr>
            <w:r>
              <w:rPr/>
              <w:t> </w:t>
            </w:r>
          </w:p>
        </w:tc>
        <w:tc>
          <w:tcPr>
            <w:tcW w:w="2482"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72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Balance at September 30, 2011</w:t>
            </w:r>
          </w:p>
        </w:tc>
        <w:tc>
          <w:tcPr>
            <w:tcW w:w="20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77" w:type="dxa"/>
            <w:tcBorders/>
            <w:shd w:fill="CCEEFF" w:val="clear"/>
            <w:vAlign w:val="center"/>
          </w:tcPr>
          <w:p>
            <w:pPr>
              <w:pStyle w:val="TableContents"/>
              <w:spacing w:before="0" w:after="0"/>
              <w:jc w:val="right"/>
              <w:rPr/>
            </w:pPr>
            <w:r>
              <w:rPr/>
              <w:t>—</w:t>
            </w:r>
          </w:p>
        </w:tc>
        <w:tc>
          <w:tcPr>
            <w:tcW w:w="40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Acquisition of redeemable noncontrolling interests </w:t>
            </w:r>
          </w:p>
        </w:tc>
        <w:tc>
          <w:tcPr>
            <w:tcW w:w="2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45,857</w:t>
            </w:r>
          </w:p>
        </w:tc>
        <w:tc>
          <w:tcPr>
            <w:tcW w:w="4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interests</w:t>
            </w:r>
          </w:p>
        </w:tc>
        <w:tc>
          <w:tcPr>
            <w:tcW w:w="20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6,869</w:t>
            </w:r>
          </w:p>
        </w:tc>
        <w:tc>
          <w:tcPr>
            <w:tcW w:w="40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 attributable to noncontrolling interests</w:t>
            </w:r>
          </w:p>
        </w:tc>
        <w:tc>
          <w:tcPr>
            <w:tcW w:w="20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w:t>
            </w:r>
          </w:p>
        </w:tc>
        <w:tc>
          <w:tcPr>
            <w:tcW w:w="4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September 30, 2012</w:t>
            </w:r>
          </w:p>
        </w:tc>
        <w:tc>
          <w:tcPr>
            <w:tcW w:w="20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87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53,681</w:t>
            </w:r>
          </w:p>
        </w:tc>
        <w:tc>
          <w:tcPr>
            <w:tcW w:w="40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66</w:t>
      </w:r>
      <w:r>
        <w:br w:type="page"/>
      </w:r>
    </w:p>
    <w:p>
      <w:pPr>
        <w:pStyle w:val="TextBody"/>
        <w:spacing w:lineRule="auto" w:line="288" w:before="0" w:after="0"/>
        <w:rPr/>
      </w:pPr>
      <w:hyperlink w:anchor="s149FCBE28F3900CCBC1E0F13F39FAE0B">
        <w:bookmarkStart w:id="68" w:name="s899253B47BE08002CCE90F13B77DD8F4"/>
        <w:bookmarkEnd w:id="68"/>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12: INCOME TAXES</w:t>
      </w:r>
    </w:p>
    <w:p>
      <w:pPr>
        <w:pStyle w:val="TextBody"/>
        <w:spacing w:lineRule="auto" w:line="288" w:before="0" w:after="0"/>
        <w:jc w:val="left"/>
        <w:rPr>
          <w:rFonts w:ascii="inherit" w:hAnsi="inherit"/>
          <w:sz w:val="17"/>
        </w:rPr>
      </w:pPr>
      <w:r>
        <w:rPr>
          <w:rFonts w:ascii="inherit" w:hAnsi="inherit"/>
          <w:sz w:val="17"/>
        </w:rPr>
        <w:t>The following table shows the significant components of the income tax provision from continuing operations:</w:t>
      </w:r>
    </w:p>
    <w:tbl>
      <w:tblPr>
        <w:tblW w:w="10205" w:type="dxa"/>
        <w:jc w:val="left"/>
        <w:tblInd w:w="0" w:type="dxa"/>
        <w:tblCellMar>
          <w:top w:w="0" w:type="dxa"/>
          <w:left w:w="0" w:type="dxa"/>
          <w:bottom w:w="0" w:type="dxa"/>
          <w:right w:w="0" w:type="dxa"/>
        </w:tblCellMar>
      </w:tblPr>
      <w:tblGrid>
        <w:gridCol w:w="5311"/>
        <w:gridCol w:w="167"/>
        <w:gridCol w:w="1191"/>
        <w:gridCol w:w="156"/>
        <w:gridCol w:w="141"/>
        <w:gridCol w:w="167"/>
        <w:gridCol w:w="1191"/>
        <w:gridCol w:w="97"/>
        <w:gridCol w:w="141"/>
        <w:gridCol w:w="167"/>
        <w:gridCol w:w="1191"/>
        <w:gridCol w:w="285"/>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1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11" w:type="dxa"/>
            <w:tcBorders/>
            <w:shd w:fill="auto" w:val="clear"/>
            <w:vAlign w:val="center"/>
          </w:tcPr>
          <w:p>
            <w:pPr>
              <w:pStyle w:val="TableContents"/>
              <w:spacing w:before="0" w:after="0"/>
              <w:ind w:left="0" w:right="0" w:firstLine="30"/>
              <w:jc w:val="left"/>
              <w:rPr/>
            </w:pPr>
            <w:r>
              <w:rPr/>
              <w:t> </w:t>
            </w:r>
          </w:p>
        </w:tc>
        <w:tc>
          <w:tcPr>
            <w:tcW w:w="489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311" w:type="dxa"/>
            <w:tcBorders/>
            <w:shd w:fill="auto" w:val="clear"/>
            <w:vAlign w:val="center"/>
          </w:tcPr>
          <w:p>
            <w:pPr>
              <w:pStyle w:val="TableContents"/>
              <w:spacing w:before="0" w:after="0"/>
              <w:ind w:left="0" w:right="0" w:firstLine="30"/>
              <w:jc w:val="left"/>
              <w:rPr/>
            </w:pPr>
            <w:r>
              <w:rPr/>
              <w:t> </w:t>
            </w:r>
          </w:p>
        </w:tc>
        <w:tc>
          <w:tcPr>
            <w:tcW w:w="151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1" w:type="dxa"/>
            <w:tcBorders/>
            <w:shd w:fill="auto" w:val="clear"/>
            <w:vAlign w:val="center"/>
          </w:tcPr>
          <w:p>
            <w:pPr>
              <w:pStyle w:val="TableContents"/>
              <w:spacing w:before="0" w:after="0"/>
              <w:ind w:left="0" w:right="0" w:firstLine="30"/>
              <w:rPr/>
            </w:pPr>
            <w:r>
              <w:rPr/>
              <w:t> </w:t>
            </w:r>
          </w:p>
        </w:tc>
        <w:tc>
          <w:tcPr>
            <w:tcW w:w="14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1" w:type="dxa"/>
            <w:tcBorders/>
            <w:shd w:fill="auto" w:val="clear"/>
            <w:vAlign w:val="center"/>
          </w:tcPr>
          <w:p>
            <w:pPr>
              <w:pStyle w:val="TableContents"/>
              <w:spacing w:before="0" w:after="0"/>
              <w:ind w:left="0" w:right="0" w:firstLine="30"/>
              <w:rPr/>
            </w:pPr>
            <w:r>
              <w:rPr/>
              <w:t> </w:t>
            </w:r>
          </w:p>
        </w:tc>
        <w:tc>
          <w:tcPr>
            <w:tcW w:w="16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311" w:type="dxa"/>
            <w:tcBorders/>
            <w:shd w:fill="auto" w:val="clear"/>
            <w:vAlign w:val="center"/>
          </w:tcPr>
          <w:p>
            <w:pPr>
              <w:pStyle w:val="TableContents"/>
              <w:spacing w:before="0" w:after="0"/>
              <w:ind w:left="0" w:right="0" w:firstLine="30"/>
              <w:jc w:val="left"/>
              <w:rPr/>
            </w:pPr>
            <w:r>
              <w:rPr/>
              <w:t> </w:t>
            </w:r>
          </w:p>
        </w:tc>
        <w:tc>
          <w:tcPr>
            <w:tcW w:w="489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3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w:t>
            </w:r>
          </w:p>
        </w:tc>
        <w:tc>
          <w:tcPr>
            <w:tcW w:w="1514" w:type="dxa"/>
            <w:gridSpan w:val="3"/>
            <w:tcBorders/>
            <w:shd w:fill="CCEEFF" w:val="clear"/>
            <w:vAlign w:val="center"/>
          </w:tcPr>
          <w:p>
            <w:pPr>
              <w:pStyle w:val="TableContents"/>
              <w:spacing w:before="0" w:after="0"/>
              <w:ind w:left="0" w:right="0" w:firstLine="30"/>
              <w:jc w:val="left"/>
              <w:rPr/>
            </w:pPr>
            <w:r>
              <w:rPr/>
              <w:t> </w:t>
            </w:r>
          </w:p>
        </w:tc>
        <w:tc>
          <w:tcPr>
            <w:tcW w:w="141" w:type="dxa"/>
            <w:tcBorders/>
            <w:shd w:fill="CCEEFF" w:val="clear"/>
            <w:vAlign w:val="center"/>
          </w:tcPr>
          <w:p>
            <w:pPr>
              <w:pStyle w:val="TableContents"/>
              <w:spacing w:before="0" w:after="0"/>
              <w:ind w:left="0" w:right="0" w:firstLine="30"/>
              <w:rPr/>
            </w:pPr>
            <w:r>
              <w:rPr/>
              <w:t> </w:t>
            </w:r>
          </w:p>
        </w:tc>
        <w:tc>
          <w:tcPr>
            <w:tcW w:w="1455" w:type="dxa"/>
            <w:gridSpan w:val="3"/>
            <w:tcBorders/>
            <w:shd w:fill="CCEEFF" w:val="clear"/>
            <w:vAlign w:val="center"/>
          </w:tcPr>
          <w:p>
            <w:pPr>
              <w:pStyle w:val="TableContents"/>
              <w:spacing w:before="0" w:after="0"/>
              <w:ind w:left="0" w:right="0" w:firstLine="30"/>
              <w:jc w:val="left"/>
              <w:rPr/>
            </w:pPr>
            <w:r>
              <w:rPr/>
              <w:t> </w:t>
            </w:r>
          </w:p>
        </w:tc>
        <w:tc>
          <w:tcPr>
            <w:tcW w:w="141" w:type="dxa"/>
            <w:tcBorders/>
            <w:shd w:fill="CCEEFF" w:val="clear"/>
            <w:vAlign w:val="center"/>
          </w:tcPr>
          <w:p>
            <w:pPr>
              <w:pStyle w:val="TableContents"/>
              <w:spacing w:before="0" w:after="0"/>
              <w:ind w:left="0" w:right="0" w:firstLine="30"/>
              <w:rPr/>
            </w:pPr>
            <w:r>
              <w:rPr/>
              <w:t> </w:t>
            </w:r>
          </w:p>
        </w:tc>
        <w:tc>
          <w:tcPr>
            <w:tcW w:w="1643" w:type="dxa"/>
            <w:gridSpan w:val="3"/>
            <w:tcBorders/>
            <w:shd w:fill="CCEEFF" w:val="clear"/>
            <w:vAlign w:val="center"/>
          </w:tcPr>
          <w:p>
            <w:pPr>
              <w:pStyle w:val="TableContents"/>
              <w:spacing w:before="0" w:after="0"/>
              <w:ind w:left="0" w:right="0" w:firstLine="180"/>
              <w:jc w:val="left"/>
              <w:rPr/>
            </w:pPr>
            <w:r>
              <w:rPr/>
              <w:t> </w:t>
            </w:r>
          </w:p>
        </w:tc>
      </w:tr>
      <w:tr>
        <w:trPr/>
        <w:tc>
          <w:tcPr>
            <w:tcW w:w="53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Federal</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1" w:type="dxa"/>
            <w:tcBorders/>
            <w:shd w:fill="auto" w:val="clear"/>
            <w:vAlign w:val="center"/>
          </w:tcPr>
          <w:p>
            <w:pPr>
              <w:pStyle w:val="TableContents"/>
              <w:spacing w:before="0" w:after="0"/>
              <w:jc w:val="right"/>
              <w:rPr>
                <w:rFonts w:ascii="inherit" w:hAnsi="inherit"/>
                <w:sz w:val="17"/>
              </w:rPr>
            </w:pPr>
            <w:r>
              <w:rPr>
                <w:rFonts w:ascii="inherit" w:hAnsi="inherit"/>
                <w:sz w:val="17"/>
              </w:rPr>
              <w:t>60,343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1" w:type="dxa"/>
            <w:tcBorders/>
            <w:shd w:fill="auto" w:val="clear"/>
            <w:vAlign w:val="center"/>
          </w:tcPr>
          <w:p>
            <w:pPr>
              <w:pStyle w:val="TableContents"/>
              <w:spacing w:before="0" w:after="0"/>
              <w:jc w:val="right"/>
              <w:rPr>
                <w:rFonts w:ascii="inherit" w:hAnsi="inherit"/>
                <w:sz w:val="17"/>
              </w:rPr>
            </w:pPr>
            <w:r>
              <w:rPr>
                <w:rFonts w:ascii="inherit" w:hAnsi="inherit"/>
                <w:sz w:val="17"/>
              </w:rPr>
              <w:t>49,744</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1" w:type="dxa"/>
            <w:tcBorders/>
            <w:shd w:fill="auto" w:val="clear"/>
            <w:vAlign w:val="center"/>
          </w:tcPr>
          <w:p>
            <w:pPr>
              <w:pStyle w:val="TableContents"/>
              <w:spacing w:before="0" w:after="0"/>
              <w:jc w:val="right"/>
              <w:rPr>
                <w:rFonts w:ascii="inherit" w:hAnsi="inherit"/>
                <w:sz w:val="17"/>
              </w:rPr>
            </w:pPr>
            <w:r>
              <w:rPr>
                <w:rFonts w:ascii="inherit" w:hAnsi="inherit"/>
                <w:sz w:val="17"/>
              </w:rPr>
              <w:t>54,456</w:t>
            </w:r>
          </w:p>
        </w:tc>
        <w:tc>
          <w:tcPr>
            <w:tcW w:w="28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State and foreign</w:t>
            </w:r>
          </w:p>
        </w:tc>
        <w:tc>
          <w:tcPr>
            <w:tcW w:w="13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9,108</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3,052</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2,553</w:t>
            </w:r>
          </w:p>
        </w:tc>
        <w:tc>
          <w:tcPr>
            <w:tcW w:w="2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11" w:type="dxa"/>
            <w:tcBorders/>
            <w:shd w:fill="auto" w:val="clear"/>
            <w:vAlign w:val="center"/>
          </w:tcPr>
          <w:p>
            <w:pPr>
              <w:pStyle w:val="TableContents"/>
              <w:spacing w:before="0" w:after="0"/>
              <w:ind w:left="0" w:right="0" w:firstLine="30"/>
              <w:jc w:val="left"/>
              <w:rPr/>
            </w:pPr>
            <w:r>
              <w:rPr/>
              <w:t> </w:t>
            </w:r>
          </w:p>
        </w:tc>
        <w:tc>
          <w:tcPr>
            <w:tcW w:w="13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69,451</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52,796</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57,009</w:t>
            </w:r>
          </w:p>
        </w:tc>
        <w:tc>
          <w:tcPr>
            <w:tcW w:w="2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w:t>
            </w:r>
          </w:p>
        </w:tc>
        <w:tc>
          <w:tcPr>
            <w:tcW w:w="1514" w:type="dxa"/>
            <w:gridSpan w:val="3"/>
            <w:tcBorders/>
            <w:shd w:fill="CCEEFF" w:val="clear"/>
            <w:vAlign w:val="center"/>
          </w:tcPr>
          <w:p>
            <w:pPr>
              <w:pStyle w:val="TableContents"/>
              <w:spacing w:before="0" w:after="0"/>
              <w:ind w:left="0" w:right="0" w:firstLine="30"/>
              <w:jc w:val="left"/>
              <w:rPr/>
            </w:pPr>
            <w:r>
              <w:rPr/>
              <w:t> </w:t>
            </w:r>
          </w:p>
        </w:tc>
        <w:tc>
          <w:tcPr>
            <w:tcW w:w="141" w:type="dxa"/>
            <w:tcBorders/>
            <w:shd w:fill="CCEEFF" w:val="clear"/>
            <w:vAlign w:val="center"/>
          </w:tcPr>
          <w:p>
            <w:pPr>
              <w:pStyle w:val="TableContents"/>
              <w:spacing w:before="0" w:after="0"/>
              <w:ind w:left="0" w:right="0" w:firstLine="30"/>
              <w:rPr/>
            </w:pPr>
            <w:r>
              <w:rPr/>
              <w:t> </w:t>
            </w:r>
          </w:p>
        </w:tc>
        <w:tc>
          <w:tcPr>
            <w:tcW w:w="1455" w:type="dxa"/>
            <w:gridSpan w:val="3"/>
            <w:tcBorders/>
            <w:shd w:fill="CCEEFF" w:val="clear"/>
            <w:vAlign w:val="center"/>
          </w:tcPr>
          <w:p>
            <w:pPr>
              <w:pStyle w:val="TableContents"/>
              <w:spacing w:before="0" w:after="0"/>
              <w:ind w:left="0" w:right="0" w:firstLine="30"/>
              <w:jc w:val="left"/>
              <w:rPr/>
            </w:pPr>
            <w:r>
              <w:rPr/>
              <w:t> </w:t>
            </w:r>
          </w:p>
        </w:tc>
        <w:tc>
          <w:tcPr>
            <w:tcW w:w="141" w:type="dxa"/>
            <w:tcBorders/>
            <w:shd w:fill="CCEEFF" w:val="clear"/>
            <w:vAlign w:val="center"/>
          </w:tcPr>
          <w:p>
            <w:pPr>
              <w:pStyle w:val="TableContents"/>
              <w:spacing w:before="0" w:after="0"/>
              <w:ind w:left="0" w:right="0" w:firstLine="30"/>
              <w:rPr/>
            </w:pPr>
            <w:r>
              <w:rPr/>
              <w:t> </w:t>
            </w:r>
          </w:p>
        </w:tc>
        <w:tc>
          <w:tcPr>
            <w:tcW w:w="1643" w:type="dxa"/>
            <w:gridSpan w:val="3"/>
            <w:tcBorders/>
            <w:shd w:fill="CCEEFF" w:val="clear"/>
            <w:vAlign w:val="center"/>
          </w:tcPr>
          <w:p>
            <w:pPr>
              <w:pStyle w:val="TableContents"/>
              <w:spacing w:before="0" w:after="0"/>
              <w:ind w:left="0" w:right="0" w:firstLine="180"/>
              <w:jc w:val="left"/>
              <w:rPr/>
            </w:pPr>
            <w:r>
              <w:rPr/>
              <w:t> </w:t>
            </w:r>
          </w:p>
        </w:tc>
      </w:tr>
      <w:tr>
        <w:trPr/>
        <w:tc>
          <w:tcPr>
            <w:tcW w:w="53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Federal</w:t>
            </w:r>
          </w:p>
        </w:tc>
        <w:tc>
          <w:tcPr>
            <w:tcW w:w="13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3,337</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13,408</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(2,811</w:t>
            </w:r>
          </w:p>
        </w:tc>
        <w:tc>
          <w:tcPr>
            <w:tcW w:w="28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3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State and foreign</w:t>
            </w:r>
          </w:p>
        </w:tc>
        <w:tc>
          <w:tcPr>
            <w:tcW w:w="13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(1,536</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3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w:t>
            </w:r>
          </w:p>
        </w:tc>
        <w:tc>
          <w:tcPr>
            <w:tcW w:w="28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311" w:type="dxa"/>
            <w:tcBorders/>
            <w:shd w:fill="auto" w:val="clear"/>
            <w:vAlign w:val="center"/>
          </w:tcPr>
          <w:p>
            <w:pPr>
              <w:pStyle w:val="TableContents"/>
              <w:spacing w:before="0" w:after="0"/>
              <w:ind w:left="0" w:right="0" w:firstLine="30"/>
              <w:jc w:val="left"/>
              <w:rPr/>
            </w:pPr>
            <w:r>
              <w:rPr/>
              <w:t> </w:t>
            </w:r>
          </w:p>
        </w:tc>
        <w:tc>
          <w:tcPr>
            <w:tcW w:w="13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1,801</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13,676</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(2,867</w:t>
            </w:r>
          </w:p>
        </w:tc>
        <w:tc>
          <w:tcPr>
            <w:tcW w:w="2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311" w:type="dxa"/>
            <w:tcBorders/>
            <w:shd w:fill="CCEEFF" w:val="clear"/>
            <w:vAlign w:val="center"/>
          </w:tcPr>
          <w:p>
            <w:pPr>
              <w:pStyle w:val="TableContents"/>
              <w:spacing w:before="0" w:after="0"/>
              <w:ind w:left="0" w:right="0" w:firstLine="30"/>
              <w:jc w:val="left"/>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15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9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54,142</w:t>
            </w:r>
          </w:p>
        </w:tc>
        <w:tc>
          <w:tcPr>
            <w:tcW w:w="28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following table shows a reconciliation of income taxes calculated at the statutory rate and the provision for income taxes attributable to continuing operations:</w:t>
      </w:r>
    </w:p>
    <w:tbl>
      <w:tblPr>
        <w:tblW w:w="10205" w:type="dxa"/>
        <w:jc w:val="left"/>
        <w:tblInd w:w="0" w:type="dxa"/>
        <w:tblCellMar>
          <w:top w:w="0" w:type="dxa"/>
          <w:left w:w="0" w:type="dxa"/>
          <w:bottom w:w="0" w:type="dxa"/>
          <w:right w:w="0" w:type="dxa"/>
        </w:tblCellMar>
      </w:tblPr>
      <w:tblGrid>
        <w:gridCol w:w="5514"/>
        <w:gridCol w:w="153"/>
        <w:gridCol w:w="1123"/>
        <w:gridCol w:w="200"/>
        <w:gridCol w:w="131"/>
        <w:gridCol w:w="153"/>
        <w:gridCol w:w="1123"/>
        <w:gridCol w:w="200"/>
        <w:gridCol w:w="131"/>
        <w:gridCol w:w="153"/>
        <w:gridCol w:w="1123"/>
        <w:gridCol w:w="20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1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14" w:type="dxa"/>
            <w:tcBorders/>
            <w:shd w:fill="auto" w:val="clear"/>
            <w:vAlign w:val="center"/>
          </w:tcPr>
          <w:p>
            <w:pPr>
              <w:pStyle w:val="TableContents"/>
              <w:spacing w:before="0" w:after="0"/>
              <w:ind w:left="0" w:right="0" w:firstLine="30"/>
              <w:jc w:val="left"/>
              <w:rPr/>
            </w:pPr>
            <w:r>
              <w:rPr/>
              <w:t> </w:t>
            </w:r>
          </w:p>
        </w:tc>
        <w:tc>
          <w:tcPr>
            <w:tcW w:w="469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514" w:type="dxa"/>
            <w:tcBorders/>
            <w:shd w:fill="auto" w:val="clear"/>
            <w:vAlign w:val="center"/>
          </w:tcPr>
          <w:p>
            <w:pPr>
              <w:pStyle w:val="TableContents"/>
              <w:spacing w:before="0" w:after="0"/>
              <w:ind w:left="0" w:right="0" w:firstLine="30"/>
              <w:jc w:val="left"/>
              <w:rPr/>
            </w:pPr>
            <w:r>
              <w:rPr/>
              <w:t> </w:t>
            </w:r>
          </w:p>
        </w:tc>
        <w:tc>
          <w:tcPr>
            <w:tcW w:w="14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1" w:type="dxa"/>
            <w:tcBorders/>
            <w:shd w:fill="auto" w:val="clear"/>
            <w:vAlign w:val="center"/>
          </w:tcPr>
          <w:p>
            <w:pPr>
              <w:pStyle w:val="TableContents"/>
              <w:spacing w:before="0" w:after="0"/>
              <w:ind w:left="0" w:right="0" w:firstLine="30"/>
              <w:rPr/>
            </w:pPr>
            <w:r>
              <w:rPr/>
              <w:t> </w:t>
            </w:r>
          </w:p>
        </w:tc>
        <w:tc>
          <w:tcPr>
            <w:tcW w:w="14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1" w:type="dxa"/>
            <w:tcBorders/>
            <w:shd w:fill="auto" w:val="clear"/>
            <w:vAlign w:val="center"/>
          </w:tcPr>
          <w:p>
            <w:pPr>
              <w:pStyle w:val="TableContents"/>
              <w:spacing w:before="0" w:after="0"/>
              <w:ind w:left="0" w:right="0" w:firstLine="30"/>
              <w:rPr/>
            </w:pPr>
            <w:r>
              <w:rPr/>
              <w:t> </w:t>
            </w:r>
          </w:p>
        </w:tc>
        <w:tc>
          <w:tcPr>
            <w:tcW w:w="14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514" w:type="dxa"/>
            <w:tcBorders/>
            <w:shd w:fill="auto" w:val="clear"/>
            <w:vAlign w:val="center"/>
          </w:tcPr>
          <w:p>
            <w:pPr>
              <w:pStyle w:val="TableContents"/>
              <w:spacing w:before="0" w:after="0"/>
              <w:ind w:left="0" w:right="0" w:firstLine="30"/>
              <w:jc w:val="left"/>
              <w:rPr/>
            </w:pPr>
            <w:r>
              <w:rPr/>
              <w:t> </w:t>
            </w:r>
          </w:p>
        </w:tc>
        <w:tc>
          <w:tcPr>
            <w:tcW w:w="469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taxes at the federal statutory rate</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77,789</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65,969</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52,941</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Non-deductible expense related to incentive stock options</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(633</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pPr>
            <w:r>
              <w:rPr/>
              <w:t>—</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State income tax, net of federal benefit</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2,728</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2,172</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valuation allowance</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2,242</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1,273</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Federal tax credits</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(922</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tax credit</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(4,342</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(4,356</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(2,849</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1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Effect of permanently reinvesting foreign earnings</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(3,820</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pPr>
            <w:r>
              <w:rPr/>
              <w:t>—</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pPr>
            <w:r>
              <w:rPr/>
              <w:t>—</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2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589</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873</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738</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provision</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20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20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54,142</w:t>
            </w:r>
          </w:p>
        </w:tc>
        <w:tc>
          <w:tcPr>
            <w:tcW w:w="20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Effective tax rate</w:t>
            </w:r>
          </w:p>
        </w:tc>
        <w:tc>
          <w:tcPr>
            <w:tcW w:w="1276"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20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35.3</w:t>
            </w:r>
          </w:p>
        </w:tc>
        <w:tc>
          <w:tcPr>
            <w:tcW w:w="20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35.8</w:t>
            </w:r>
          </w:p>
        </w:tc>
        <w:tc>
          <w:tcPr>
            <w:tcW w:w="20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sz w:val="17"/>
        </w:rPr>
      </w:pPr>
      <w:r>
        <w:rPr>
          <w:rFonts w:ascii="inherit" w:hAnsi="inherit"/>
          <w:sz w:val="17"/>
        </w:rPr>
        <w:t xml:space="preserve">The Company's effective tax rates were approximately </w:t>
      </w:r>
      <w:r>
        <w:rPr>
          <w:rFonts w:ascii="Times New Roman" w:hAnsi="Times New Roman"/>
          <w:strike w:val="false"/>
          <w:dstrike w:val="false"/>
          <w:color w:val="000000"/>
          <w:sz w:val="17"/>
          <w:u w:val="none"/>
          <w:effect w:val="none"/>
        </w:rPr>
        <w:t>32%</w:t>
      </w:r>
      <w:r>
        <w:rPr>
          <w:rFonts w:ascii="inherit" w:hAnsi="inherit"/>
          <w:sz w:val="17"/>
        </w:rPr>
        <w:t xml:space="preserve">, </w:t>
      </w:r>
      <w:r>
        <w:rPr>
          <w:rFonts w:ascii="Times New Roman" w:hAnsi="Times New Roman"/>
          <w:strike w:val="false"/>
          <w:dstrike w:val="false"/>
          <w:color w:val="000000"/>
          <w:sz w:val="17"/>
          <w:u w:val="none"/>
          <w:effect w:val="none"/>
        </w:rPr>
        <w:t>35%</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36%</w:t>
      </w:r>
      <w:r>
        <w:rPr>
          <w:sz w:val="17"/>
        </w:rPr>
        <w:t xml:space="preserve"> </w:t>
      </w:r>
      <w:r>
        <w:rPr>
          <w:rFonts w:ascii="inherit" w:hAnsi="inherit"/>
          <w:sz w:val="17"/>
        </w:rPr>
        <w:t>for the fiscal years ended September 30, 2012, 2011 and 2010, respectively. The decrease in the fiscal 2012 effective tax rate is due primarily to certain undistributed foreign earnings for which no U.S. taxes are provided because such earnings are intended to be permanently reinvested outside the U.S.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67</w:t>
      </w:r>
      <w:r>
        <w:br w:type="page"/>
      </w:r>
    </w:p>
    <w:p>
      <w:pPr>
        <w:pStyle w:val="TextBody"/>
        <w:spacing w:lineRule="auto" w:line="288" w:before="0" w:after="0"/>
        <w:rPr/>
      </w:pPr>
      <w:hyperlink w:anchor="s149FCBE28F3900CCBC1E0F13F39FAE0B">
        <w:bookmarkStart w:id="69" w:name="s899253B47BE08002CCE90F13B77DD8F41"/>
        <w:bookmarkEnd w:id="69"/>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following table shows significant components of our deferred tax assets and liabilities as of September 30:</w:t>
      </w:r>
    </w:p>
    <w:tbl>
      <w:tblPr>
        <w:tblW w:w="10205" w:type="dxa"/>
        <w:jc w:val="left"/>
        <w:tblInd w:w="0" w:type="dxa"/>
        <w:tblCellMar>
          <w:top w:w="0" w:type="dxa"/>
          <w:left w:w="0" w:type="dxa"/>
          <w:bottom w:w="0" w:type="dxa"/>
          <w:right w:w="0" w:type="dxa"/>
        </w:tblCellMar>
      </w:tblPr>
      <w:tblGrid>
        <w:gridCol w:w="7150"/>
        <w:gridCol w:w="156"/>
        <w:gridCol w:w="1129"/>
        <w:gridCol w:w="148"/>
        <w:gridCol w:w="136"/>
        <w:gridCol w:w="156"/>
        <w:gridCol w:w="1129"/>
        <w:gridCol w:w="20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5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50" w:type="dxa"/>
            <w:tcBorders/>
            <w:shd w:fill="auto" w:val="clear"/>
            <w:vAlign w:val="center"/>
          </w:tcPr>
          <w:p>
            <w:pPr>
              <w:pStyle w:val="TableContents"/>
              <w:spacing w:before="0" w:after="0"/>
              <w:ind w:left="0" w:right="0" w:firstLine="30"/>
              <w:jc w:val="left"/>
              <w:rPr/>
            </w:pPr>
            <w:r>
              <w:rPr/>
              <w:t> </w:t>
            </w:r>
          </w:p>
        </w:tc>
        <w:tc>
          <w:tcPr>
            <w:tcW w:w="305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7150" w:type="dxa"/>
            <w:tcBorders/>
            <w:shd w:fill="auto" w:val="clear"/>
            <w:vAlign w:val="center"/>
          </w:tcPr>
          <w:p>
            <w:pPr>
              <w:pStyle w:val="TableContents"/>
              <w:spacing w:before="0" w:after="0"/>
              <w:ind w:left="0" w:right="0" w:firstLine="30"/>
              <w:jc w:val="left"/>
              <w:rPr/>
            </w:pPr>
            <w:r>
              <w:rPr/>
              <w:t> </w:t>
            </w:r>
          </w:p>
        </w:tc>
        <w:tc>
          <w:tcPr>
            <w:tcW w:w="14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6" w:type="dxa"/>
            <w:tcBorders/>
            <w:shd w:fill="auto" w:val="clear"/>
            <w:vAlign w:val="center"/>
          </w:tcPr>
          <w:p>
            <w:pPr>
              <w:pStyle w:val="TableContents"/>
              <w:spacing w:before="0" w:after="0"/>
              <w:ind w:left="0" w:right="0" w:firstLine="30"/>
              <w:rPr/>
            </w:pPr>
            <w:r>
              <w:rPr/>
              <w:t> </w:t>
            </w:r>
          </w:p>
        </w:tc>
        <w:tc>
          <w:tcPr>
            <w:tcW w:w="14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150" w:type="dxa"/>
            <w:tcBorders/>
            <w:shd w:fill="auto" w:val="clear"/>
            <w:vAlign w:val="center"/>
          </w:tcPr>
          <w:p>
            <w:pPr>
              <w:pStyle w:val="TableContents"/>
              <w:spacing w:before="0" w:after="0"/>
              <w:ind w:left="0" w:right="0" w:firstLine="30"/>
              <w:jc w:val="left"/>
              <w:rPr/>
            </w:pPr>
            <w:r>
              <w:rPr/>
              <w:t> </w:t>
            </w:r>
          </w:p>
        </w:tc>
        <w:tc>
          <w:tcPr>
            <w:tcW w:w="305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assets:</w:t>
            </w:r>
          </w:p>
        </w:tc>
        <w:tc>
          <w:tcPr>
            <w:tcW w:w="1433" w:type="dxa"/>
            <w:gridSpan w:val="3"/>
            <w:tcBorders/>
            <w:shd w:fill="CCEEFF" w:val="clear"/>
            <w:vAlign w:val="center"/>
          </w:tcPr>
          <w:p>
            <w:pPr>
              <w:pStyle w:val="TableContents"/>
              <w:spacing w:before="0" w:after="0"/>
              <w:ind w:left="0" w:right="0" w:firstLine="30"/>
              <w:jc w:val="left"/>
              <w:rPr/>
            </w:pPr>
            <w:r>
              <w:rPr/>
              <w:t> </w:t>
            </w:r>
          </w:p>
        </w:tc>
        <w:tc>
          <w:tcPr>
            <w:tcW w:w="136" w:type="dxa"/>
            <w:tcBorders/>
            <w:shd w:fill="CCEEFF" w:val="clear"/>
            <w:vAlign w:val="center"/>
          </w:tcPr>
          <w:p>
            <w:pPr>
              <w:pStyle w:val="TableContents"/>
              <w:spacing w:before="0" w:after="0"/>
              <w:ind w:left="0" w:right="0" w:firstLine="30"/>
              <w:rPr/>
            </w:pPr>
            <w:r>
              <w:rPr/>
              <w:t> </w:t>
            </w:r>
          </w:p>
        </w:tc>
        <w:tc>
          <w:tcPr>
            <w:tcW w:w="1486" w:type="dxa"/>
            <w:gridSpan w:val="3"/>
            <w:tcBorders/>
            <w:shd w:fill="CCEEFF" w:val="clear"/>
            <w:vAlign w:val="center"/>
          </w:tcPr>
          <w:p>
            <w:pPr>
              <w:pStyle w:val="TableContents"/>
              <w:spacing w:before="0" w:after="0"/>
              <w:ind w:left="0" w:right="0" w:firstLine="180"/>
              <w:jc w:val="left"/>
              <w:rPr/>
            </w:pPr>
            <w:r>
              <w:rPr/>
              <w:t> </w:t>
            </w:r>
          </w:p>
        </w:tc>
      </w:tr>
      <w:tr>
        <w:trPr/>
        <w:tc>
          <w:tcPr>
            <w:tcW w:w="7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Book over tax depreciation</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9" w:type="dxa"/>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9" w:type="dxa"/>
            <w:tcBorders/>
            <w:shd w:fill="auto" w:val="clear"/>
            <w:vAlign w:val="center"/>
          </w:tcPr>
          <w:p>
            <w:pPr>
              <w:pStyle w:val="TableContents"/>
              <w:spacing w:before="0" w:after="0"/>
              <w:jc w:val="right"/>
              <w:rPr>
                <w:rFonts w:ascii="inherit" w:hAnsi="inherit"/>
                <w:sz w:val="17"/>
              </w:rPr>
            </w:pPr>
            <w:r>
              <w:rPr>
                <w:rFonts w:ascii="inherit" w:hAnsi="inherit"/>
                <w:sz w:val="17"/>
              </w:rPr>
              <w:t>1,001</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 over book inventory</w:t>
            </w:r>
          </w:p>
        </w:tc>
        <w:tc>
          <w:tcPr>
            <w:tcW w:w="12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3,904</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3,457</w:t>
            </w:r>
          </w:p>
        </w:tc>
        <w:tc>
          <w:tcPr>
            <w:tcW w:w="20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14,334</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12,220</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w:t>
            </w:r>
          </w:p>
        </w:tc>
        <w:tc>
          <w:tcPr>
            <w:tcW w:w="12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3,937</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3,775</w:t>
            </w:r>
          </w:p>
        </w:tc>
        <w:tc>
          <w:tcPr>
            <w:tcW w:w="20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 compensation</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974</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pPr>
            <w:r>
              <w:rPr/>
              <w:t>—</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State and foreign net operating loss carry-forwards</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3,845</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1,425</w:t>
            </w:r>
          </w:p>
        </w:tc>
        <w:tc>
          <w:tcPr>
            <w:tcW w:w="20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deferred tax assets</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26,994</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21,878</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liabilities:</w:t>
            </w:r>
          </w:p>
        </w:tc>
        <w:tc>
          <w:tcPr>
            <w:tcW w:w="1433" w:type="dxa"/>
            <w:gridSpan w:val="3"/>
            <w:tcBorders/>
            <w:shd w:fill="CCEEFF" w:val="clear"/>
            <w:vAlign w:val="center"/>
          </w:tcPr>
          <w:p>
            <w:pPr>
              <w:pStyle w:val="TableContents"/>
              <w:spacing w:before="0" w:after="0"/>
              <w:ind w:left="0" w:right="0" w:firstLine="30"/>
              <w:jc w:val="left"/>
              <w:rPr/>
            </w:pPr>
            <w:r>
              <w:rPr/>
              <w:t> </w:t>
            </w:r>
          </w:p>
        </w:tc>
        <w:tc>
          <w:tcPr>
            <w:tcW w:w="136" w:type="dxa"/>
            <w:tcBorders/>
            <w:shd w:fill="CCEEFF" w:val="clear"/>
            <w:vAlign w:val="center"/>
          </w:tcPr>
          <w:p>
            <w:pPr>
              <w:pStyle w:val="TableContents"/>
              <w:spacing w:before="0" w:after="0"/>
              <w:ind w:left="0" w:right="0" w:firstLine="30"/>
              <w:rPr/>
            </w:pPr>
            <w:r>
              <w:rPr/>
              <w:t> </w:t>
            </w:r>
          </w:p>
        </w:tc>
        <w:tc>
          <w:tcPr>
            <w:tcW w:w="1486" w:type="dxa"/>
            <w:gridSpan w:val="3"/>
            <w:tcBorders/>
            <w:shd w:fill="CCEEFF" w:val="clear"/>
            <w:vAlign w:val="center"/>
          </w:tcPr>
          <w:p>
            <w:pPr>
              <w:pStyle w:val="TableContents"/>
              <w:spacing w:before="0" w:after="0"/>
              <w:ind w:left="0" w:right="0" w:firstLine="180"/>
              <w:jc w:val="left"/>
              <w:rPr/>
            </w:pPr>
            <w:r>
              <w:rPr/>
              <w:t> </w:t>
            </w:r>
          </w:p>
        </w:tc>
      </w:tr>
      <w:tr>
        <w:trPr/>
        <w:tc>
          <w:tcPr>
            <w:tcW w:w="7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 over book amortization</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10,833</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6,605</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income and dividends</w:t>
            </w:r>
          </w:p>
        </w:tc>
        <w:tc>
          <w:tcPr>
            <w:tcW w:w="12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3,864</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2,932</w:t>
            </w:r>
          </w:p>
        </w:tc>
        <w:tc>
          <w:tcPr>
            <w:tcW w:w="20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Tax over book depreciation</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1,912</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pPr>
            <w:r>
              <w:rPr/>
              <w:t>—</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 compensation</w:t>
            </w:r>
          </w:p>
        </w:tc>
        <w:tc>
          <w:tcPr>
            <w:tcW w:w="1285"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194</w:t>
            </w:r>
          </w:p>
        </w:tc>
        <w:tc>
          <w:tcPr>
            <w:tcW w:w="20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w:t>
            </w:r>
          </w:p>
        </w:tc>
        <w:tc>
          <w:tcPr>
            <w:tcW w:w="12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1,082</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928</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deferred tax liabilities</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17,691</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10,659</w:t>
            </w:r>
          </w:p>
        </w:tc>
        <w:tc>
          <w:tcPr>
            <w:tcW w:w="20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deferred tax asset</w:t>
            </w:r>
          </w:p>
        </w:tc>
        <w:tc>
          <w:tcPr>
            <w:tcW w:w="12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9,303</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8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11,219</w:t>
            </w:r>
          </w:p>
        </w:tc>
        <w:tc>
          <w:tcPr>
            <w:tcW w:w="20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Valuation allowance</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(2,242</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6" w:type="dxa"/>
            <w:tcBorders/>
            <w:shd w:fill="CCEEFF"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(1,425</w:t>
            </w:r>
          </w:p>
        </w:tc>
        <w:tc>
          <w:tcPr>
            <w:tcW w:w="20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deferred tax asset</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7,061</w:t>
            </w:r>
          </w:p>
        </w:tc>
        <w:tc>
          <w:tcPr>
            <w:tcW w:w="14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9,794</w:t>
            </w:r>
          </w:p>
        </w:tc>
        <w:tc>
          <w:tcPr>
            <w:tcW w:w="201"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Deferred taxes are not provided for temporary differences of approximately </w:t>
      </w:r>
      <w:r>
        <w:rPr>
          <w:rFonts w:ascii="Times New Roman" w:hAnsi="Times New Roman"/>
          <w:strike w:val="false"/>
          <w:dstrike w:val="false"/>
          <w:color w:val="000000"/>
          <w:sz w:val="17"/>
          <w:u w:val="none"/>
          <w:effect w:val="none"/>
        </w:rPr>
        <w:t>$16.8 million</w:t>
      </w:r>
      <w:r>
        <w:rPr>
          <w:sz w:val="17"/>
        </w:rPr>
        <w:t xml:space="preserve"> </w:t>
      </w:r>
      <w:r>
        <w:rPr>
          <w:rFonts w:ascii="inherit" w:hAnsi="inherit"/>
          <w:sz w:val="17"/>
        </w:rPr>
        <w:t>representing earnings of non-U.S. subsidiaries intended to be permanently reinvested outside the U.S. We estimate that, upon distribution of our share of these earnings, we would be subject to U.S. income taxes of approximately $</w:t>
      </w:r>
      <w:r>
        <w:rPr>
          <w:rFonts w:ascii="Times New Roman" w:hAnsi="Times New Roman"/>
          <w:strike w:val="false"/>
          <w:dstrike w:val="false"/>
          <w:color w:val="000000"/>
          <w:sz w:val="17"/>
          <w:u w:val="none"/>
          <w:effect w:val="none"/>
        </w:rPr>
        <w:t>0.8 million</w:t>
      </w:r>
      <w:r>
        <w:rPr>
          <w:sz w:val="17"/>
        </w:rPr>
        <w:t xml:space="preserve"> </w:t>
      </w:r>
      <w:r>
        <w:rPr>
          <w:rFonts w:ascii="inherit" w:hAnsi="inherit"/>
          <w:sz w:val="17"/>
        </w:rPr>
        <w:t xml:space="preserve">as of September 30, 2012. At September 30, 2012 and 2011, we provided deferred income taxes on all undistributed earnings from Albemarle &amp; Bond, and received dividends of approximately </w:t>
      </w:r>
      <w:r>
        <w:rPr>
          <w:rFonts w:ascii="inherit" w:hAnsi="inherit"/>
          <w:strike w:val="false"/>
          <w:dstrike w:val="false"/>
          <w:color w:val="000000"/>
          <w:sz w:val="17"/>
          <w:u w:val="none"/>
          <w:effect w:val="none"/>
        </w:rPr>
        <w:t>$3.3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$3.2 million</w:t>
      </w:r>
      <w:r>
        <w:rPr>
          <w:rFonts w:ascii="inherit" w:hAnsi="inherit"/>
          <w:sz w:val="17"/>
        </w:rPr>
        <w:t xml:space="preserve">, respectively. At September 30, 2012 and 2011, we provided deferred income taxes on all undistributed earnings from Cash Converters, and recorded dividends of approximately </w:t>
      </w:r>
      <w:r>
        <w:rPr>
          <w:rFonts w:ascii="inherit" w:hAnsi="inherit"/>
          <w:strike w:val="false"/>
          <w:dstrike w:val="false"/>
          <w:color w:val="000000"/>
          <w:sz w:val="17"/>
          <w:u w:val="none"/>
          <w:effect w:val="none"/>
        </w:rPr>
        <w:t>$4.4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$4.1 million</w:t>
      </w:r>
      <w:r>
        <w:rPr>
          <w:rFonts w:ascii="inherit" w:hAnsi="inherit"/>
          <w:sz w:val="17"/>
        </w:rPr>
        <w:t>, respectively. Any taxes paid to foreign governments on these earnings may be used in whole or in part as credits against the U.S. tax on any dividends distributed from such earnings.</w:t>
      </w:r>
    </w:p>
    <w:p>
      <w:pPr>
        <w:pStyle w:val="TextBody"/>
        <w:spacing w:lineRule="auto" w:line="288" w:before="0" w:after="0"/>
        <w:jc w:val="left"/>
        <w:rPr>
          <w:rFonts w:ascii="inherit" w:hAnsi="inherit"/>
          <w:sz w:val="17"/>
        </w:rPr>
      </w:pPr>
      <w:r>
        <w:rPr>
          <w:rFonts w:ascii="inherit" w:hAnsi="inherit"/>
          <w:sz w:val="17"/>
        </w:rPr>
        <w:t xml:space="preserve">Under FASB ASC 740-10-25 (“Accounting for Uncertainty in Income Taxes”), a tax position must be more-likely-than-not to be sustained upon examination, based on the technical merits of the position to be recognized in the financial statements. In making the determination of sustainability, we must presume the appropriate taxing authority with full knowledge of all relevant information will examine tax positions. FASB ASC 740-10-25 also prescribes how the benefit should be measured, including the consideration of any penalties and interest. It requires that the standard be applied to the balances of tax assets and liabilities as of the beginning of the period of adoption and that a corresponding adjustment be made to the opening balance of equity. </w:t>
      </w:r>
    </w:p>
    <w:p>
      <w:pPr>
        <w:pStyle w:val="TextBody"/>
        <w:spacing w:lineRule="auto" w:line="288" w:before="0" w:after="0"/>
        <w:jc w:val="left"/>
        <w:rPr>
          <w:rFonts w:ascii="inherit" w:hAnsi="inherit"/>
          <w:sz w:val="17"/>
        </w:rPr>
      </w:pPr>
      <w:r>
        <w:rPr>
          <w:rFonts w:ascii="inherit" w:hAnsi="inherit"/>
          <w:sz w:val="17"/>
        </w:rPr>
        <w:t>We recognize interest and penalties related to unrecognized tax benefits as federal income tax expense on our statement of operations.</w:t>
      </w:r>
    </w:p>
    <w:p>
      <w:pPr>
        <w:pStyle w:val="TextBody"/>
        <w:spacing w:lineRule="auto" w:line="288" w:before="0" w:after="0"/>
        <w:jc w:val="left"/>
        <w:rPr>
          <w:rFonts w:ascii="inherit" w:hAnsi="inherit"/>
          <w:sz w:val="17"/>
        </w:rPr>
      </w:pPr>
      <w:r>
        <w:rPr>
          <w:rFonts w:ascii="inherit" w:hAnsi="inherit"/>
          <w:sz w:val="17"/>
        </w:rPr>
        <w:t xml:space="preserve">We are subject to U.S., Mexico, and Canada income taxes as well as to income taxes levied by various state and local jurisdictions. With few exceptions, we are no longer subject to examinations by tax authorities for years before the tax year ended September 30, 2008. The Internal Revenue Service has completed its field audit of the Company's federal income tax return for the fiscal year ended September 30, 2010 and proposed certain adjustments. Management believes that adequate provisions have been made for any adjustments that may result from tax examinations. </w:t>
      </w:r>
    </w:p>
    <w:p>
      <w:pPr>
        <w:pStyle w:val="TextBody"/>
        <w:spacing w:lineRule="auto" w:line="288" w:before="0" w:after="0"/>
        <w:jc w:val="left"/>
        <w:rPr>
          <w:rFonts w:ascii="inherit" w:hAnsi="inherit"/>
          <w:b/>
          <w:sz w:val="17"/>
        </w:rPr>
      </w:pPr>
      <w:bookmarkStart w:id="70" w:name="sC4FD85D3998A9BC76F410F13B7E72B88"/>
      <w:bookmarkEnd w:id="70"/>
      <w:r>
        <w:rPr>
          <w:rFonts w:ascii="inherit" w:hAnsi="inherit"/>
          <w:b/>
          <w:sz w:val="17"/>
        </w:rPr>
        <w:t>NOTE 13: RELATED PARTY TRANSACTIONS</w:t>
      </w:r>
    </w:p>
    <w:p>
      <w:pPr>
        <w:pStyle w:val="TextBody"/>
        <w:spacing w:lineRule="auto" w:line="288" w:before="0" w:after="0"/>
        <w:jc w:val="left"/>
        <w:rPr>
          <w:sz w:val="17"/>
        </w:rPr>
      </w:pPr>
      <w:r>
        <w:rPr>
          <w:rFonts w:ascii="inherit" w:hAnsi="inherit"/>
          <w:sz w:val="17"/>
        </w:rPr>
        <w:t xml:space="preserve">For each of the past three fiscal years, we have entered </w:t>
      </w:r>
      <w:r>
        <w:rPr>
          <w:rFonts w:ascii="inherit" w:hAnsi="inherit"/>
          <w:strike w:val="false"/>
          <w:dstrike w:val="false"/>
          <w:color w:val="000000"/>
          <w:sz w:val="17"/>
          <w:u w:val="none"/>
          <w:effect w:val="none"/>
        </w:rPr>
        <w:t>one</w:t>
      </w:r>
      <w:r>
        <w:rPr>
          <w:rFonts w:ascii="inherit" w:hAnsi="inherit"/>
          <w:sz w:val="17"/>
        </w:rPr>
        <w:t xml:space="preserve">-year financial advisory services agreements with Madison Park, LLC, a business and financial advisory firm wholly-owned by Phillip E. Cohen, the beneficial owner of all of our outstanding Class B Common Stock, pursuant to which, Madison Park provides advisory and consulting services with respect to our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68</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business and long-term strategic plan, including acquisitions and strategic alliances, operating and strategic objectives, investor relations, relations with investment bankers and other members of the financial services industry, international business development and strategic investment opportunities, and financial matters. The annual fee for the services was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 xml:space="preserve">in fiscal 2012, </w:t>
      </w:r>
      <w:r>
        <w:rPr>
          <w:rFonts w:ascii="inherit" w:hAnsi="inherit"/>
          <w:strike w:val="false"/>
          <w:dstrike w:val="false"/>
          <w:color w:val="000000"/>
          <w:sz w:val="17"/>
          <w:u w:val="none"/>
          <w:effect w:val="none"/>
        </w:rPr>
        <w:t>$4.8 million</w:t>
      </w:r>
      <w:r>
        <w:rPr>
          <w:sz w:val="17"/>
        </w:rPr>
        <w:t xml:space="preserve"> </w:t>
      </w:r>
      <w:r>
        <w:rPr>
          <w:rFonts w:ascii="inherit" w:hAnsi="inherit"/>
          <w:sz w:val="17"/>
        </w:rPr>
        <w:t xml:space="preserve">in fiscal 2011 and </w:t>
      </w:r>
      <w:r>
        <w:rPr>
          <w:rFonts w:ascii="inherit" w:hAnsi="inherit"/>
          <w:strike w:val="false"/>
          <w:dstrike w:val="false"/>
          <w:color w:val="000000"/>
          <w:sz w:val="17"/>
          <w:u w:val="none"/>
          <w:effect w:val="none"/>
        </w:rPr>
        <w:t>$3.6 million</w:t>
      </w:r>
      <w:r>
        <w:rPr>
          <w:sz w:val="17"/>
        </w:rPr>
        <w:t xml:space="preserve"> </w:t>
      </w:r>
      <w:r>
        <w:rPr>
          <w:rFonts w:ascii="inherit" w:hAnsi="inherit"/>
          <w:sz w:val="17"/>
        </w:rPr>
        <w:t>in fiscal 2010.</w:t>
      </w:r>
    </w:p>
    <w:p>
      <w:pPr>
        <w:pStyle w:val="TextBody"/>
        <w:spacing w:lineRule="auto" w:line="288" w:before="0" w:after="0"/>
        <w:jc w:val="left"/>
        <w:rPr>
          <w:sz w:val="17"/>
        </w:rPr>
      </w:pPr>
      <w:r>
        <w:rPr>
          <w:rFonts w:ascii="inherit" w:hAnsi="inherit"/>
          <w:sz w:val="17"/>
        </w:rPr>
        <w:t xml:space="preserve">Effective October 1, 2012, we entered into a new financial advisory services agreement with Madison Park with a </w:t>
      </w:r>
      <w:r>
        <w:rPr>
          <w:rFonts w:ascii="inherit" w:hAnsi="inherit"/>
          <w:strike w:val="false"/>
          <w:dstrike w:val="false"/>
          <w:color w:val="000000"/>
          <w:sz w:val="17"/>
          <w:u w:val="none"/>
          <w:effect w:val="none"/>
        </w:rPr>
        <w:t>one</w:t>
      </w:r>
      <w:r>
        <w:rPr>
          <w:rFonts w:ascii="inherit" w:hAnsi="inherit"/>
          <w:sz w:val="17"/>
        </w:rPr>
        <w:t xml:space="preserve">-year term that expires September 30, 2013. The terms of the agreement are substantially the same as those in the fiscal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agreement described above, except the annual fee is </w:t>
      </w:r>
      <w:r>
        <w:rPr>
          <w:rFonts w:ascii="inherit" w:hAnsi="inherit"/>
          <w:strike w:val="false"/>
          <w:dstrike w:val="false"/>
          <w:color w:val="000000"/>
          <w:sz w:val="17"/>
          <w:u w:val="none"/>
          <w:effect w:val="none"/>
        </w:rPr>
        <w:t>$7.2 million</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Prior to approval of the Madison Park agreement and pursuant to our Policy for Review and Evaluation of Related Party Transactions, the Audit Committee of our Board of Directors implemented measures designed to ensure that the advisory services agreement with Madison Park was considered, analyzed, negotiated and approved objectively. Those measures included the engagement of an independent financial advisory firm to counsel and advise the committee in the course of its consideration and evaluation of the Madison Park relationship and the proposed terms of the new advisory services agreement and the receipt of a fairness opinion with respect to the fee to be paid to Madison Park.</w:t>
      </w:r>
    </w:p>
    <w:p>
      <w:pPr>
        <w:pStyle w:val="TextBody"/>
        <w:spacing w:lineRule="auto" w:line="288" w:before="0" w:after="0"/>
        <w:jc w:val="left"/>
        <w:rPr>
          <w:rFonts w:ascii="inherit" w:hAnsi="inherit"/>
          <w:sz w:val="17"/>
        </w:rPr>
      </w:pPr>
      <w:r>
        <w:rPr>
          <w:rFonts w:ascii="inherit" w:hAnsi="inherit"/>
          <w:sz w:val="17"/>
        </w:rPr>
        <w:t>After consideration and discussion of a number of factors, the information and fairness opinion provided by its independent financial advisory firm, and the relationships and the interests of Mr. Cohen, the Audit Committee concluded that the advisory services agreement was fair to, and in the best interests of, the company and its stockholders and, on that basis, approved the engagement of Madison Park pursuant to the advisory services agreement.</w:t>
      </w:r>
    </w:p>
    <w:p>
      <w:pPr>
        <w:pStyle w:val="TextBody"/>
        <w:spacing w:lineRule="auto" w:line="288" w:before="0" w:after="0"/>
        <w:jc w:val="left"/>
        <w:rPr>
          <w:rFonts w:ascii="inherit" w:hAnsi="inherit"/>
          <w:b/>
          <w:sz w:val="17"/>
        </w:rPr>
      </w:pPr>
      <w:bookmarkStart w:id="71" w:name="s757B684178FA60D63CAB0F13B8648649"/>
      <w:bookmarkEnd w:id="71"/>
      <w:r>
        <w:rPr>
          <w:rFonts w:ascii="inherit" w:hAnsi="inherit"/>
          <w:b/>
          <w:sz w:val="17"/>
        </w:rPr>
        <w:t>NOTE 14: LEASES</w:t>
      </w:r>
    </w:p>
    <w:p>
      <w:pPr>
        <w:pStyle w:val="TextBody"/>
        <w:spacing w:lineRule="auto" w:line="288" w:before="0" w:after="0"/>
        <w:jc w:val="left"/>
        <w:rPr>
          <w:rFonts w:ascii="inherit" w:hAnsi="inherit"/>
          <w:sz w:val="17"/>
        </w:rPr>
      </w:pPr>
      <w:r>
        <w:rPr>
          <w:rFonts w:ascii="inherit" w:hAnsi="inherit"/>
          <w:sz w:val="17"/>
        </w:rPr>
        <w:t>We lease various facilities and certain equipment under capital and operating leases. We also sublease some of the above facilities. Future minimum rentals due under non-cancelable leases and annual future minimum rentals expected under subleases are as follows:</w:t>
      </w:r>
    </w:p>
    <w:tbl>
      <w:tblPr>
        <w:tblW w:w="10205" w:type="dxa"/>
        <w:jc w:val="left"/>
        <w:tblInd w:w="0" w:type="dxa"/>
        <w:tblCellMar>
          <w:top w:w="0" w:type="dxa"/>
          <w:left w:w="0" w:type="dxa"/>
          <w:bottom w:w="0" w:type="dxa"/>
          <w:right w:w="0" w:type="dxa"/>
        </w:tblCellMar>
      </w:tblPr>
      <w:tblGrid>
        <w:gridCol w:w="5805"/>
        <w:gridCol w:w="174"/>
        <w:gridCol w:w="1151"/>
        <w:gridCol w:w="98"/>
        <w:gridCol w:w="146"/>
        <w:gridCol w:w="197"/>
        <w:gridCol w:w="1069"/>
        <w:gridCol w:w="104"/>
        <w:gridCol w:w="146"/>
        <w:gridCol w:w="214"/>
        <w:gridCol w:w="970"/>
        <w:gridCol w:w="13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80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05" w:type="dxa"/>
            <w:tcBorders/>
            <w:shd w:fill="auto" w:val="clear"/>
            <w:vAlign w:val="center"/>
          </w:tcPr>
          <w:p>
            <w:pPr>
              <w:pStyle w:val="TableContents"/>
              <w:spacing w:before="0" w:after="0"/>
              <w:ind w:left="0" w:right="0" w:firstLine="30"/>
              <w:jc w:val="left"/>
              <w:rPr/>
            </w:pPr>
            <w:r>
              <w:rPr/>
              <w:t> </w:t>
            </w:r>
          </w:p>
        </w:tc>
        <w:tc>
          <w:tcPr>
            <w:tcW w:w="440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05" w:type="dxa"/>
            <w:tcBorders/>
            <w:shd w:fill="auto" w:val="clear"/>
            <w:vAlign w:val="center"/>
          </w:tcPr>
          <w:p>
            <w:pPr>
              <w:pStyle w:val="TableContents"/>
              <w:spacing w:before="0" w:after="0"/>
              <w:ind w:left="0" w:right="0" w:firstLine="30"/>
              <w:rPr/>
            </w:pPr>
            <w:r>
              <w:rPr/>
              <w:t> </w:t>
            </w:r>
          </w:p>
        </w:tc>
        <w:tc>
          <w:tcPr>
            <w:tcW w:w="142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Operating Lease</w:t>
            </w:r>
          </w:p>
          <w:p>
            <w:pPr>
              <w:pStyle w:val="TableContents"/>
              <w:spacing w:before="0" w:after="0"/>
              <w:ind w:left="0" w:right="0" w:firstLine="30"/>
              <w:jc w:val="center"/>
              <w:rPr>
                <w:rFonts w:ascii="inherit" w:hAnsi="inherit"/>
                <w:b/>
                <w:sz w:val="13"/>
              </w:rPr>
            </w:pPr>
            <w:r>
              <w:rPr>
                <w:rFonts w:ascii="inherit" w:hAnsi="inherit"/>
                <w:b/>
                <w:sz w:val="13"/>
              </w:rPr>
              <w:t>Payments</w:t>
            </w:r>
          </w:p>
        </w:tc>
        <w:tc>
          <w:tcPr>
            <w:tcW w:w="146" w:type="dxa"/>
            <w:tcBorders/>
            <w:shd w:fill="auto" w:val="clear"/>
            <w:vAlign w:val="center"/>
          </w:tcPr>
          <w:p>
            <w:pPr>
              <w:pStyle w:val="TableContents"/>
              <w:spacing w:before="0" w:after="0"/>
              <w:ind w:left="0" w:right="0" w:firstLine="30"/>
              <w:rPr/>
            </w:pPr>
            <w:r>
              <w:rPr/>
              <w:t> </w:t>
            </w:r>
          </w:p>
        </w:tc>
        <w:tc>
          <w:tcPr>
            <w:tcW w:w="137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Capital Lease Payments</w:t>
            </w:r>
          </w:p>
        </w:tc>
        <w:tc>
          <w:tcPr>
            <w:tcW w:w="14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1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Sublease</w:t>
            </w:r>
          </w:p>
          <w:p>
            <w:pPr>
              <w:pStyle w:val="TableContents"/>
              <w:spacing w:before="0" w:after="0"/>
              <w:ind w:left="0" w:right="0" w:firstLine="30"/>
              <w:jc w:val="center"/>
              <w:rPr>
                <w:rFonts w:ascii="inherit" w:hAnsi="inherit"/>
                <w:b/>
                <w:sz w:val="13"/>
              </w:rPr>
            </w:pPr>
            <w:r>
              <w:rPr>
                <w:rFonts w:ascii="inherit" w:hAnsi="inherit"/>
                <w:b/>
                <w:sz w:val="13"/>
              </w:rPr>
              <w:t>Revenue</w:t>
            </w:r>
          </w:p>
        </w:tc>
      </w:tr>
      <w:tr>
        <w:trPr/>
        <w:tc>
          <w:tcPr>
            <w:tcW w:w="5805" w:type="dxa"/>
            <w:tcBorders/>
            <w:shd w:fill="auto" w:val="clear"/>
            <w:vAlign w:val="center"/>
          </w:tcPr>
          <w:p>
            <w:pPr>
              <w:pStyle w:val="TableContents"/>
              <w:spacing w:before="0" w:after="0"/>
              <w:ind w:left="0" w:right="0" w:firstLine="30"/>
              <w:jc w:val="left"/>
              <w:rPr/>
            </w:pPr>
            <w:r>
              <w:rPr/>
              <w:t> </w:t>
            </w:r>
          </w:p>
        </w:tc>
        <w:tc>
          <w:tcPr>
            <w:tcW w:w="440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2013</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53,661</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9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shd w:fill="CCEEFF" w:val="clear"/>
            <w:vAlign w:val="center"/>
          </w:tcPr>
          <w:p>
            <w:pPr>
              <w:pStyle w:val="TableContents"/>
              <w:spacing w:before="0" w:after="0"/>
              <w:jc w:val="right"/>
              <w:rPr>
                <w:rFonts w:ascii="inherit" w:hAnsi="inherit"/>
                <w:sz w:val="17"/>
              </w:rPr>
            </w:pPr>
            <w:r>
              <w:rPr>
                <w:rFonts w:ascii="inherit" w:hAnsi="inherit"/>
                <w:sz w:val="17"/>
              </w:rPr>
              <w:t>613</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21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0" w:type="dxa"/>
            <w:tcBorders/>
            <w:shd w:fill="CCEEFF" w:val="clear"/>
            <w:vAlign w:val="center"/>
          </w:tcPr>
          <w:p>
            <w:pPr>
              <w:pStyle w:val="TableContents"/>
              <w:spacing w:before="0" w:after="0"/>
              <w:jc w:val="right"/>
              <w:rPr>
                <w:rFonts w:ascii="inherit" w:hAnsi="inherit"/>
                <w:sz w:val="17"/>
              </w:rPr>
            </w:pPr>
            <w:r>
              <w:rPr>
                <w:rFonts w:ascii="inherit" w:hAnsi="inherit"/>
                <w:sz w:val="17"/>
              </w:rPr>
              <w:t>92</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2014</w:t>
            </w:r>
          </w:p>
        </w:tc>
        <w:tc>
          <w:tcPr>
            <w:tcW w:w="13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45,991</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2015</w:t>
            </w:r>
          </w:p>
        </w:tc>
        <w:tc>
          <w:tcPr>
            <w:tcW w:w="13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37,418</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392</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2016</w:t>
            </w:r>
          </w:p>
        </w:tc>
        <w:tc>
          <w:tcPr>
            <w:tcW w:w="13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28,089</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66" w:type="dxa"/>
            <w:gridSpan w:val="2"/>
            <w:tcBorders/>
            <w:shd w:fill="auto" w:val="clear"/>
            <w:vAlign w:val="center"/>
          </w:tcPr>
          <w:p>
            <w:pPr>
              <w:pStyle w:val="TableContents"/>
              <w:spacing w:before="0" w:after="0"/>
              <w:jc w:val="right"/>
              <w:rPr/>
            </w:pPr>
            <w:r>
              <w:rPr/>
              <w:t>—</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2017</w:t>
            </w:r>
          </w:p>
        </w:tc>
        <w:tc>
          <w:tcPr>
            <w:tcW w:w="13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17,075</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66" w:type="dxa"/>
            <w:gridSpan w:val="2"/>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Thereafter</w:t>
            </w:r>
          </w:p>
        </w:tc>
        <w:tc>
          <w:tcPr>
            <w:tcW w:w="13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37,346</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6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pPr>
            <w:r>
              <w:rPr/>
              <w:t> </w:t>
            </w:r>
          </w:p>
        </w:tc>
        <w:tc>
          <w:tcPr>
            <w:tcW w:w="1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219,580</w:t>
            </w:r>
          </w:p>
        </w:tc>
        <w:tc>
          <w:tcPr>
            <w:tcW w:w="9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1,618</w:t>
            </w:r>
          </w:p>
        </w:tc>
        <w:tc>
          <w:tcPr>
            <w:tcW w:w="10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2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w:t>
            </w:r>
          </w:p>
        </w:tc>
        <w:tc>
          <w:tcPr>
            <w:tcW w:w="1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Future minimum capital lease payments total $</w:t>
      </w:r>
      <w:r>
        <w:rPr>
          <w:rFonts w:ascii="inherit" w:hAnsi="inherit"/>
          <w:strike w:val="false"/>
          <w:dstrike w:val="false"/>
          <w:color w:val="000000"/>
          <w:sz w:val="17"/>
          <w:u w:val="none"/>
          <w:effect w:val="none"/>
        </w:rPr>
        <w:t>1.6 million</w:t>
      </w:r>
      <w:r>
        <w:rPr>
          <w:rFonts w:ascii="inherit" w:hAnsi="inherit"/>
          <w:sz w:val="17"/>
        </w:rPr>
        <w:t xml:space="preserve">, of which </w:t>
      </w:r>
      <w:r>
        <w:rPr>
          <w:rFonts w:ascii="inherit" w:hAnsi="inherit"/>
          <w:strike w:val="false"/>
          <w:dstrike w:val="false"/>
          <w:color w:val="000000"/>
          <w:sz w:val="17"/>
          <w:u w:val="none"/>
          <w:effect w:val="none"/>
        </w:rPr>
        <w:t>$0.2 million</w:t>
      </w:r>
      <w:r>
        <w:rPr>
          <w:sz w:val="17"/>
        </w:rPr>
        <w:t xml:space="preserve"> </w:t>
      </w:r>
      <w:r>
        <w:rPr>
          <w:rFonts w:ascii="inherit" w:hAnsi="inherit"/>
          <w:sz w:val="17"/>
        </w:rPr>
        <w:t>represents interest. The present value of net minimum lease payments as of September 30, 2012 was $</w:t>
      </w:r>
      <w:r>
        <w:rPr>
          <w:rFonts w:ascii="inherit" w:hAnsi="inherit"/>
          <w:strike w:val="false"/>
          <w:dstrike w:val="false"/>
          <w:color w:val="000000"/>
          <w:sz w:val="17"/>
          <w:u w:val="none"/>
          <w:effect w:val="none"/>
        </w:rPr>
        <w:t>1.8 million</w:t>
      </w:r>
      <w:r>
        <w:rPr>
          <w:rFonts w:ascii="inherit" w:hAnsi="inherit"/>
          <w:sz w:val="17"/>
        </w:rPr>
        <w:t>.</w:t>
      </w:r>
    </w:p>
    <w:p>
      <w:pPr>
        <w:pStyle w:val="TextBody"/>
        <w:spacing w:lineRule="auto" w:line="288" w:before="0" w:after="0"/>
        <w:jc w:val="left"/>
        <w:rPr>
          <w:sz w:val="17"/>
        </w:rPr>
      </w:pPr>
      <w:r>
        <w:rPr>
          <w:rFonts w:ascii="inherit" w:hAnsi="inherit"/>
          <w:sz w:val="17"/>
        </w:rPr>
        <w:t xml:space="preserve">After an initial lease term of generally </w:t>
      </w:r>
      <w:r>
        <w:rPr>
          <w:rFonts w:ascii="inherit" w:hAnsi="inherit"/>
          <w:strike w:val="false"/>
          <w:dstrike w:val="false"/>
          <w:color w:val="000000"/>
          <w:sz w:val="17"/>
          <w:u w:val="none"/>
          <w:effect w:val="none"/>
        </w:rPr>
        <w:t>three to ten years</w:t>
      </w:r>
      <w:r>
        <w:rPr>
          <w:rFonts w:ascii="inherit" w:hAnsi="inherit"/>
          <w:sz w:val="17"/>
        </w:rPr>
        <w:t xml:space="preserve">, our lease agreements typically allow renewals in </w:t>
      </w:r>
      <w:r>
        <w:rPr>
          <w:rFonts w:ascii="inherit" w:hAnsi="inherit"/>
          <w:strike w:val="false"/>
          <w:dstrike w:val="false"/>
          <w:color w:val="000000"/>
          <w:sz w:val="17"/>
          <w:u w:val="none"/>
          <w:effect w:val="none"/>
        </w:rPr>
        <w:t>three to five-year increments</w:t>
      </w:r>
      <w:r>
        <w:rPr>
          <w:rFonts w:ascii="inherit" w:hAnsi="inherit"/>
          <w:sz w:val="17"/>
        </w:rPr>
        <w:t>.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w:t>
      </w:r>
    </w:p>
    <w:tbl>
      <w:tblPr>
        <w:tblW w:w="10205" w:type="dxa"/>
        <w:jc w:val="left"/>
        <w:tblInd w:w="0" w:type="dxa"/>
        <w:tblCellMar>
          <w:top w:w="0" w:type="dxa"/>
          <w:left w:w="0" w:type="dxa"/>
          <w:bottom w:w="0" w:type="dxa"/>
          <w:right w:w="0" w:type="dxa"/>
        </w:tblCellMar>
      </w:tblPr>
      <w:tblGrid>
        <w:gridCol w:w="5981"/>
        <w:gridCol w:w="125"/>
        <w:gridCol w:w="1081"/>
        <w:gridCol w:w="121"/>
        <w:gridCol w:w="116"/>
        <w:gridCol w:w="125"/>
        <w:gridCol w:w="1081"/>
        <w:gridCol w:w="121"/>
        <w:gridCol w:w="116"/>
        <w:gridCol w:w="125"/>
        <w:gridCol w:w="1081"/>
        <w:gridCol w:w="132"/>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9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81" w:type="dxa"/>
            <w:tcBorders/>
            <w:shd w:fill="auto" w:val="clear"/>
            <w:vAlign w:val="center"/>
          </w:tcPr>
          <w:p>
            <w:pPr>
              <w:pStyle w:val="TableContents"/>
              <w:spacing w:before="0" w:after="0"/>
              <w:ind w:left="0" w:right="0" w:firstLine="30"/>
              <w:jc w:val="left"/>
              <w:rPr/>
            </w:pPr>
            <w:r>
              <w:rPr/>
              <w:t> </w:t>
            </w:r>
          </w:p>
        </w:tc>
        <w:tc>
          <w:tcPr>
            <w:tcW w:w="422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981" w:type="dxa"/>
            <w:tcBorders/>
            <w:shd w:fill="auto" w:val="clear"/>
            <w:vAlign w:val="center"/>
          </w:tcPr>
          <w:p>
            <w:pPr>
              <w:pStyle w:val="TableContents"/>
              <w:spacing w:before="0" w:after="0"/>
              <w:ind w:left="0" w:right="0" w:firstLine="30"/>
              <w:jc w:val="left"/>
              <w:rPr/>
            </w:pPr>
            <w:r>
              <w:rPr/>
              <w:t> </w:t>
            </w:r>
          </w:p>
        </w:tc>
        <w:tc>
          <w:tcPr>
            <w:tcW w:w="13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6" w:type="dxa"/>
            <w:tcBorders/>
            <w:shd w:fill="auto" w:val="clear"/>
            <w:vAlign w:val="center"/>
          </w:tcPr>
          <w:p>
            <w:pPr>
              <w:pStyle w:val="TableContents"/>
              <w:spacing w:before="0" w:after="0"/>
              <w:ind w:left="0" w:right="0" w:firstLine="30"/>
              <w:rPr/>
            </w:pPr>
            <w:r>
              <w:rPr/>
              <w:t> </w:t>
            </w:r>
          </w:p>
        </w:tc>
        <w:tc>
          <w:tcPr>
            <w:tcW w:w="13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16" w:type="dxa"/>
            <w:tcBorders/>
            <w:shd w:fill="auto" w:val="clear"/>
            <w:vAlign w:val="center"/>
          </w:tcPr>
          <w:p>
            <w:pPr>
              <w:pStyle w:val="TableContents"/>
              <w:spacing w:before="0" w:after="0"/>
              <w:ind w:left="0" w:right="0" w:firstLine="30"/>
              <w:rPr/>
            </w:pPr>
            <w:r>
              <w:rPr/>
              <w:t> </w:t>
            </w:r>
          </w:p>
        </w:tc>
        <w:tc>
          <w:tcPr>
            <w:tcW w:w="13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981" w:type="dxa"/>
            <w:tcBorders/>
            <w:shd w:fill="auto" w:val="clear"/>
            <w:vAlign w:val="center"/>
          </w:tcPr>
          <w:p>
            <w:pPr>
              <w:pStyle w:val="TableContents"/>
              <w:spacing w:before="0" w:after="0"/>
              <w:ind w:left="0" w:right="0" w:firstLine="30"/>
              <w:jc w:val="left"/>
              <w:rPr/>
            </w:pPr>
            <w:r>
              <w:rPr/>
              <w:t> </w:t>
            </w:r>
          </w:p>
        </w:tc>
        <w:tc>
          <w:tcPr>
            <w:tcW w:w="422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98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Gross rent expense from continuing operations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shd w:fill="CCEEFF" w:val="clear"/>
            <w:vAlign w:val="center"/>
          </w:tcPr>
          <w:p>
            <w:pPr>
              <w:pStyle w:val="TableContents"/>
              <w:spacing w:before="0" w:after="0"/>
              <w:jc w:val="right"/>
              <w:rPr>
                <w:rFonts w:ascii="inherit" w:hAnsi="inherit"/>
                <w:sz w:val="17"/>
              </w:rPr>
            </w:pPr>
            <w:r>
              <w:rPr>
                <w:rFonts w:ascii="inherit" w:hAnsi="inherit"/>
                <w:sz w:val="17"/>
              </w:rPr>
              <w:t>53,484</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shd w:fill="CCEEFF" w:val="clear"/>
            <w:vAlign w:val="center"/>
          </w:tcPr>
          <w:p>
            <w:pPr>
              <w:pStyle w:val="TableContents"/>
              <w:spacing w:before="0" w:after="0"/>
              <w:jc w:val="right"/>
              <w:rPr>
                <w:rFonts w:ascii="inherit" w:hAnsi="inherit"/>
                <w:sz w:val="17"/>
              </w:rPr>
            </w:pPr>
            <w:r>
              <w:rPr>
                <w:rFonts w:ascii="inherit" w:hAnsi="inherit"/>
                <w:sz w:val="17"/>
              </w:rPr>
              <w:t>44,618</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shd w:fill="CCEEFF" w:val="clear"/>
            <w:vAlign w:val="center"/>
          </w:tcPr>
          <w:p>
            <w:pPr>
              <w:pStyle w:val="TableContents"/>
              <w:spacing w:before="0" w:after="0"/>
              <w:jc w:val="right"/>
              <w:rPr>
                <w:rFonts w:ascii="inherit" w:hAnsi="inherit"/>
                <w:sz w:val="17"/>
              </w:rPr>
            </w:pPr>
            <w:r>
              <w:rPr>
                <w:rFonts w:ascii="inherit" w:hAnsi="inherit"/>
                <w:sz w:val="17"/>
              </w:rPr>
              <w:t>38,382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8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Sublease rent revenue from continuing operations</w:t>
            </w:r>
          </w:p>
        </w:tc>
        <w:tc>
          <w:tcPr>
            <w:tcW w:w="12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(181</w:t>
            </w:r>
          </w:p>
        </w:tc>
        <w:tc>
          <w:tcPr>
            <w:tcW w:w="12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2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w:t>
            </w:r>
          </w:p>
        </w:tc>
        <w:tc>
          <w:tcPr>
            <w:tcW w:w="12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2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(132</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98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rent expense from continuing operations</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53,303</w:t>
            </w:r>
          </w:p>
        </w:tc>
        <w:tc>
          <w:tcPr>
            <w:tcW w:w="12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44,477</w:t>
            </w:r>
          </w:p>
        </w:tc>
        <w:tc>
          <w:tcPr>
            <w:tcW w:w="1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38,250</w:t>
            </w:r>
          </w:p>
        </w:tc>
        <w:tc>
          <w:tcPr>
            <w:tcW w:w="13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69</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Prior to fiscal 2008,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xml:space="preserve">, is included in “Deferred gains and other long-term liabilities” in our consolidated balance sheet. The short-term portion, included in “Accounts payable and other accrued expenses” was </w:t>
      </w:r>
      <w:r>
        <w:rPr>
          <w:rFonts w:ascii="inherit" w:hAnsi="inherit"/>
          <w:strike w:val="false"/>
          <w:dstrike w:val="false"/>
          <w:color w:val="000000"/>
          <w:sz w:val="17"/>
          <w:u w:val="none"/>
          <w:effect w:val="none"/>
        </w:rPr>
        <w:t>$0.4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2012</w:t>
      </w:r>
      <w:r>
        <w:rPr>
          <w:rFonts w:ascii="inherit" w:hAnsi="inherit"/>
          <w:sz w:val="17"/>
        </w:rPr>
        <w:t>. Future rentals on these sale-leasebacks are included in the above schedule of future minimum rentals. Terms of these leases are consistent with the terms on our other lease agreements.</w:t>
      </w:r>
    </w:p>
    <w:p>
      <w:pPr>
        <w:pStyle w:val="TextBody"/>
        <w:spacing w:lineRule="auto" w:line="288" w:before="0" w:after="0"/>
        <w:jc w:val="left"/>
        <w:rPr>
          <w:rFonts w:ascii="inherit" w:hAnsi="inherit"/>
          <w:b/>
          <w:sz w:val="17"/>
        </w:rPr>
      </w:pPr>
      <w:bookmarkStart w:id="72" w:name="s5FDA135787FF05E6BEDC0F13B9432C99"/>
      <w:bookmarkEnd w:id="72"/>
      <w:r>
        <w:rPr>
          <w:rFonts w:ascii="inherit" w:hAnsi="inherit"/>
          <w:b/>
          <w:sz w:val="17"/>
        </w:rPr>
        <w:t>NOTE 15: EMPLOYMENT AGREEMENTS</w:t>
      </w:r>
    </w:p>
    <w:p>
      <w:pPr>
        <w:pStyle w:val="TextBody"/>
        <w:spacing w:lineRule="auto" w:line="288" w:before="0" w:after="0"/>
        <w:jc w:val="left"/>
        <w:rPr>
          <w:sz w:val="17"/>
        </w:rPr>
      </w:pPr>
      <w:r>
        <w:rPr>
          <w:rFonts w:ascii="inherit" w:hAnsi="inherit"/>
          <w:sz w:val="17"/>
        </w:rPr>
        <w:t xml:space="preserve">Effective January 1, 2009, we entered into an Employment and Compensation Agreement with Joseph L. Rotunda, who was our Chief Executive Officer at the time. That agreement expired on October 8, 2010, and Mr. Rotunda retired from his positions as Chief Executive Officer and a member of the Board of Directors on October 31, 2010. The agreement provided Mr. Rotunda with certain severance and termination benefits if he served the full term of the agreement (through October 8, 2010). These benefits included (1) a cash payment in an amount equal to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year’s base salary plus his most recent annual incentive bonus award (total of approximately </w:t>
      </w:r>
      <w:r>
        <w:rPr>
          <w:rFonts w:ascii="inherit" w:hAnsi="inherit"/>
          <w:strike w:val="false"/>
          <w:dstrike w:val="false"/>
          <w:color w:val="000000"/>
          <w:sz w:val="17"/>
          <w:u w:val="none"/>
          <w:effect w:val="none"/>
        </w:rPr>
        <w:t>$3.4 million</w:t>
      </w:r>
      <w:r>
        <w:rPr>
          <w:rFonts w:ascii="inherit" w:hAnsi="inherit"/>
          <w:sz w:val="17"/>
        </w:rPr>
        <w:t xml:space="preserve">, payable on January 7, 2011) and (2) a </w:t>
      </w:r>
      <w:r>
        <w:rPr>
          <w:rFonts w:ascii="inherit" w:hAnsi="inherit"/>
          <w:strike w:val="false"/>
          <w:dstrike w:val="false"/>
          <w:color w:val="000000"/>
          <w:sz w:val="17"/>
          <w:u w:val="none"/>
          <w:effect w:val="none"/>
        </w:rPr>
        <w:t>five</w:t>
      </w:r>
      <w:r>
        <w:rPr>
          <w:rFonts w:ascii="inherit" w:hAnsi="inherit"/>
          <w:sz w:val="17"/>
        </w:rPr>
        <w:t xml:space="preserve">-year consulting agreement that provides for the following: an annual consulting fee of </w:t>
      </w:r>
      <w:r>
        <w:rPr>
          <w:rFonts w:ascii="inherit" w:hAnsi="inherit"/>
          <w:strike w:val="false"/>
          <w:dstrike w:val="false"/>
          <w:color w:val="000000"/>
          <w:sz w:val="17"/>
          <w:u w:val="none"/>
          <w:effect w:val="none"/>
        </w:rPr>
        <w:t>$500,000</w:t>
      </w:r>
      <w:r>
        <w:rPr>
          <w:rFonts w:ascii="inherit" w:hAnsi="inherit"/>
          <w:sz w:val="17"/>
        </w:rPr>
        <w:t xml:space="preserve">; an annual incentive bonus with a target amount equal to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of the annual fee and a maximum amount equal to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the annual fee; and reimbursement of reasonable business expenses. The company has also agreed to continue the healthcare benefits for Mr. Rotunda during the term of the consulting agreement. If the consulting agreement is terminated by reason of Mr. Rotunda’s death or disability, he will be entitled to </w:t>
      </w:r>
      <w:r>
        <w:rPr>
          <w:rFonts w:ascii="inherit" w:hAnsi="inherit"/>
          <w:strike w:val="false"/>
          <w:dstrike w:val="false"/>
          <w:color w:val="000000"/>
          <w:sz w:val="17"/>
          <w:u w:val="none"/>
          <w:effect w:val="none"/>
        </w:rPr>
        <w:t>payment of an amount equal to one year’s annual consulting fee plus one year of incentive bonus</w:t>
      </w:r>
      <w:r>
        <w:rPr>
          <w:sz w:val="17"/>
        </w:rPr>
        <w:t xml:space="preserve"> </w:t>
      </w:r>
      <w:r>
        <w:rPr>
          <w:rFonts w:ascii="inherit" w:hAnsi="inherit"/>
          <w:sz w:val="17"/>
        </w:rPr>
        <w:t xml:space="preserve">(calculated at the target amount) and continuation of healthcare benefits for Mr. Rotunda and/or his spouse (as applicable) for one year. In addition, if the company terminates the consulting agreement (other than due to a material breach by Mr. Rotunda) or Mr. Rotunda terminates the consulting agreement because of a material breach by the company, then the company will pay Mr. Rotunda an amount of cash equal to all annual consulting fees that would have been payable to Mr. Rotunda had the agreement continued until the expiration of the </w:t>
      </w:r>
      <w:r>
        <w:rPr>
          <w:rFonts w:ascii="inherit" w:hAnsi="inherit"/>
          <w:strike w:val="false"/>
          <w:dstrike w:val="false"/>
          <w:color w:val="000000"/>
          <w:sz w:val="17"/>
          <w:u w:val="none"/>
          <w:effect w:val="none"/>
        </w:rPr>
        <w:t>five</w:t>
      </w:r>
      <w:r>
        <w:rPr>
          <w:rFonts w:ascii="inherit" w:hAnsi="inherit"/>
          <w:sz w:val="17"/>
        </w:rPr>
        <w:t xml:space="preserve">-year term, plus an additional </w:t>
      </w:r>
      <w:r>
        <w:rPr>
          <w:rFonts w:ascii="inherit" w:hAnsi="inherit"/>
          <w:strike w:val="false"/>
          <w:dstrike w:val="false"/>
          <w:color w:val="000000"/>
          <w:sz w:val="17"/>
          <w:u w:val="none"/>
          <w:effect w:val="none"/>
        </w:rPr>
        <w:t>$500,000</w:t>
      </w:r>
      <w:r>
        <w:rPr>
          <w:sz w:val="17"/>
        </w:rPr>
        <w:t xml:space="preserve"> </w:t>
      </w:r>
      <w:r>
        <w:rPr>
          <w:rFonts w:ascii="inherit" w:hAnsi="inherit"/>
          <w:sz w:val="17"/>
        </w:rPr>
        <w:t xml:space="preserve">in lieu of subsequent annual incentive bonuses, and shall continue to provide the healthcare benefits for Mr. Rotunda until the expiration of the </w:t>
      </w:r>
      <w:r>
        <w:rPr>
          <w:rFonts w:ascii="inherit" w:hAnsi="inherit"/>
          <w:strike w:val="false"/>
          <w:dstrike w:val="false"/>
          <w:color w:val="000000"/>
          <w:sz w:val="17"/>
          <w:u w:val="none"/>
          <w:effect w:val="none"/>
        </w:rPr>
        <w:t>five</w:t>
      </w:r>
      <w:r>
        <w:rPr>
          <w:rFonts w:ascii="inherit" w:hAnsi="inherit"/>
          <w:sz w:val="17"/>
        </w:rPr>
        <w:t>-year term.</w:t>
      </w:r>
    </w:p>
    <w:p>
      <w:pPr>
        <w:pStyle w:val="TextBody"/>
        <w:spacing w:lineRule="auto" w:line="288" w:before="0" w:after="0"/>
        <w:jc w:val="left"/>
        <w:rPr>
          <w:sz w:val="17"/>
        </w:rPr>
      </w:pPr>
      <w:r>
        <w:rPr>
          <w:rFonts w:ascii="inherit" w:hAnsi="inherit"/>
          <w:sz w:val="17"/>
        </w:rPr>
        <w:t xml:space="preserve">On October 8, 2010, the Board of Directors, acting pursuant to the terms of the applicable restricted stock award agreement and with the recommendation of the Compensation Committee, determined that Mr. Rotunda had satisfied the specified conditions for the accelerated vesting of all his unvested restricted stock (having served the full term of his employment agreement and successfully implemented a transition plan to a new Chief Executive Officer) and approved the vesting of the remaining </w:t>
      </w:r>
      <w:r>
        <w:rPr>
          <w:rFonts w:ascii="inherit" w:hAnsi="inherit"/>
          <w:strike w:val="false"/>
          <w:dstrike w:val="false"/>
          <w:color w:val="000000"/>
          <w:sz w:val="17"/>
          <w:u w:val="none"/>
          <w:effect w:val="none"/>
        </w:rPr>
        <w:t>756,000</w:t>
      </w:r>
      <w:r>
        <w:rPr>
          <w:sz w:val="17"/>
        </w:rPr>
        <w:t xml:space="preserve"> </w:t>
      </w:r>
      <w:r>
        <w:rPr>
          <w:rFonts w:ascii="inherit" w:hAnsi="inherit"/>
          <w:sz w:val="17"/>
        </w:rPr>
        <w:t>unvested shares on October 31, 2010, the effective date of Mr. Rotunda’s retirement.</w:t>
      </w:r>
    </w:p>
    <w:p>
      <w:pPr>
        <w:pStyle w:val="TextBody"/>
        <w:spacing w:lineRule="auto" w:line="288" w:before="0" w:after="0"/>
        <w:jc w:val="left"/>
        <w:rPr>
          <w:sz w:val="17"/>
        </w:rPr>
      </w:pPr>
      <w:r>
        <w:rPr>
          <w:rFonts w:ascii="inherit" w:hAnsi="inherit"/>
          <w:sz w:val="17"/>
        </w:rPr>
        <w:t xml:space="preserve">On August 3, 2009, we entered into an employment agreement with Paul E. Rothamel, who became President in February 2010 and Chief Executive Officer on November 1, 2010. The agreement provides for certain benefits (principally, a payment equal to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year of then-current base salary) if (a) Mr. Rothamel terminates his employment for good reason (including a change in control), (b) we terminate Mr. Rothamel’s employment without cause, or (c) Mr. Rothamel dies or becomes totally and permanently disabled during his active employment. Mr. Rothamel is subject to confidentiality obligations and, for a period of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years following the termination of his employment, is prohibited from competing with us, soliciting our customers or soliciting our employees. The agreement had an initial term of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years, which expired on August 3, 2011, but under its terms, has been renewed for an additional </w:t>
      </w:r>
      <w:r>
        <w:rPr>
          <w:rFonts w:ascii="inherit" w:hAnsi="inherit"/>
          <w:strike w:val="false"/>
          <w:dstrike w:val="false"/>
          <w:color w:val="000000"/>
          <w:sz w:val="17"/>
          <w:u w:val="none"/>
          <w:effect w:val="none"/>
        </w:rPr>
        <w:t>one</w:t>
      </w:r>
      <w:r>
        <w:rPr>
          <w:rFonts w:ascii="inherit" w:hAnsi="inherit"/>
          <w:sz w:val="17"/>
        </w:rPr>
        <w:t xml:space="preserve">-year term and will </w:t>
      </w:r>
      <w:r>
        <w:rPr>
          <w:rFonts w:ascii="inherit" w:hAnsi="inherit"/>
          <w:strike w:val="false"/>
          <w:dstrike w:val="false"/>
          <w:color w:val="000000"/>
          <w:sz w:val="17"/>
          <w:u w:val="none"/>
          <w:effect w:val="none"/>
        </w:rPr>
        <w:t>continue to be renewed for successive one-year terms unless either party gives 90-days’ notice to terminate</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The company provides the following additional severance or change-in-control benefits to its executive officers:</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sz w:val="17"/>
              </w:rPr>
            </w:pPr>
            <w:r>
              <w:rPr>
                <w:rFonts w:ascii="inherit" w:hAnsi="inherit"/>
                <w:sz w:val="17"/>
              </w:rPr>
              <w:t xml:space="preserve">The terms of employment for certain of our executive officers provide that the executive officer will receive salary continuation for </w:t>
            </w:r>
            <w:r>
              <w:rPr>
                <w:rFonts w:ascii="inherit" w:hAnsi="inherit"/>
                <w:strike w:val="false"/>
                <w:dstrike w:val="false"/>
                <w:color w:val="000000"/>
                <w:sz w:val="17"/>
                <w:u w:val="none"/>
                <w:effect w:val="none"/>
              </w:rPr>
              <w:t>one year</w:t>
            </w:r>
            <w:r>
              <w:rPr>
                <w:sz w:val="17"/>
              </w:rPr>
              <w:t xml:space="preserve"> </w:t>
            </w:r>
            <w:r>
              <w:rPr>
                <w:rFonts w:ascii="inherit" w:hAnsi="inherit"/>
                <w:sz w:val="17"/>
              </w:rPr>
              <w:t>if his or her employment is terminated by the company without cause.</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Sterling B. Brinkley, Chairman of the Board, received a restricted stock award on October 2, 2006 that provides for accelerated vesting of some or all of the unvested shares under certain circumstances, including death or disability, failure to be re-elected to his current position or termination of employment without cause.</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Generally, restricted stock awards, including those granted to the executive officers, provide for accelerated vesting of some or all of the unvested shares in the event of the holder’s death or disability.</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70</w:t>
      </w:r>
      <w:r>
        <w:br w:type="page"/>
      </w:r>
    </w:p>
    <w:p>
      <w:pPr>
        <w:pStyle w:val="TextBody"/>
        <w:spacing w:lineRule="auto" w:line="288" w:before="0" w:after="0"/>
        <w:rPr/>
      </w:pPr>
      <w:hyperlink w:anchor="s149FCBE28F3900CCBC1E0F13F39FAE0B">
        <w:bookmarkStart w:id="73" w:name="sAB0B8CE2F41F06252EB00F13B84FDD75"/>
        <w:bookmarkEnd w:id="7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16: RETIREMENT PLANS</w:t>
      </w:r>
    </w:p>
    <w:p>
      <w:pPr>
        <w:pStyle w:val="TextBody"/>
        <w:spacing w:lineRule="auto" w:line="288" w:before="0" w:after="0"/>
        <w:jc w:val="left"/>
        <w:rPr>
          <w:sz w:val="17"/>
        </w:rPr>
      </w:pPr>
      <w:r>
        <w:rPr>
          <w:rFonts w:ascii="inherit" w:hAnsi="inherit"/>
          <w:sz w:val="17"/>
        </w:rPr>
        <w:t xml:space="preserve">We sponsor a 401(k) retirement savings plan under which eligible employees may contribute a portion of pre-tax earnings. In our sole discretion, we may match employee contributions in the form of either cash or our Class A Common Stock. A participant vests in the matching contributions pro rata over their first </w:t>
      </w:r>
      <w:r>
        <w:rPr>
          <w:rFonts w:ascii="inherit" w:hAnsi="inherit"/>
          <w:strike w:val="false"/>
          <w:dstrike w:val="false"/>
          <w:color w:val="000000"/>
          <w:sz w:val="17"/>
          <w:u w:val="none"/>
          <w:effect w:val="none"/>
        </w:rPr>
        <w:t>four</w:t>
      </w:r>
      <w:r>
        <w:rPr>
          <w:sz w:val="17"/>
        </w:rPr>
        <w:t xml:space="preserve"> </w:t>
      </w:r>
      <w:r>
        <w:rPr>
          <w:rFonts w:ascii="inherit" w:hAnsi="inherit"/>
          <w:sz w:val="17"/>
        </w:rPr>
        <w:t xml:space="preserve">years of service and is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vested in all matching contributions after </w:t>
      </w:r>
      <w:r>
        <w:rPr>
          <w:rFonts w:ascii="inherit" w:hAnsi="inherit"/>
          <w:strike w:val="false"/>
          <w:dstrike w:val="false"/>
          <w:color w:val="000000"/>
          <w:sz w:val="17"/>
          <w:u w:val="none"/>
          <w:effect w:val="none"/>
        </w:rPr>
        <w:t>four</w:t>
      </w:r>
      <w:r>
        <w:rPr>
          <w:sz w:val="17"/>
        </w:rPr>
        <w:t xml:space="preserve"> </w:t>
      </w:r>
      <w:r>
        <w:rPr>
          <w:rFonts w:ascii="inherit" w:hAnsi="inherit"/>
          <w:sz w:val="17"/>
        </w:rPr>
        <w:t>years of service.</w:t>
      </w:r>
    </w:p>
    <w:p>
      <w:pPr>
        <w:pStyle w:val="TextBody"/>
        <w:spacing w:lineRule="auto" w:line="288" w:before="0" w:after="0"/>
        <w:jc w:val="left"/>
        <w:rPr>
          <w:rFonts w:ascii="inherit" w:hAnsi="inherit"/>
          <w:sz w:val="17"/>
        </w:rPr>
      </w:pPr>
      <w:r>
        <w:rPr>
          <w:rFonts w:ascii="inherit" w:hAnsi="inherit"/>
          <w:sz w:val="17"/>
        </w:rPr>
        <w:t>The following table presents matching contribution information to our 401(k) Plan:</w:t>
      </w:r>
    </w:p>
    <w:tbl>
      <w:tblPr>
        <w:tblW w:w="10205" w:type="dxa"/>
        <w:jc w:val="left"/>
        <w:tblInd w:w="0" w:type="dxa"/>
        <w:tblCellMar>
          <w:top w:w="0" w:type="dxa"/>
          <w:left w:w="0" w:type="dxa"/>
          <w:bottom w:w="0" w:type="dxa"/>
          <w:right w:w="0" w:type="dxa"/>
        </w:tblCellMar>
      </w:tblPr>
      <w:tblGrid>
        <w:gridCol w:w="6010"/>
        <w:gridCol w:w="153"/>
        <w:gridCol w:w="1048"/>
        <w:gridCol w:w="102"/>
        <w:gridCol w:w="135"/>
        <w:gridCol w:w="153"/>
        <w:gridCol w:w="1048"/>
        <w:gridCol w:w="102"/>
        <w:gridCol w:w="135"/>
        <w:gridCol w:w="153"/>
        <w:gridCol w:w="1048"/>
        <w:gridCol w:w="11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01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10" w:type="dxa"/>
            <w:tcBorders/>
            <w:shd w:fill="auto" w:val="clear"/>
            <w:vAlign w:val="center"/>
          </w:tcPr>
          <w:p>
            <w:pPr>
              <w:pStyle w:val="TableContents"/>
              <w:spacing w:before="0" w:after="0"/>
              <w:ind w:left="0" w:right="0" w:firstLine="30"/>
              <w:jc w:val="left"/>
              <w:rPr/>
            </w:pPr>
            <w:r>
              <w:rPr/>
              <w:t> </w:t>
            </w:r>
          </w:p>
        </w:tc>
        <w:tc>
          <w:tcPr>
            <w:tcW w:w="419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10" w:type="dxa"/>
            <w:tcBorders/>
            <w:shd w:fill="auto" w:val="clear"/>
            <w:vAlign w:val="center"/>
          </w:tcPr>
          <w:p>
            <w:pPr>
              <w:pStyle w:val="TableContents"/>
              <w:spacing w:before="0" w:after="0"/>
              <w:ind w:left="0" w:right="0" w:firstLine="30"/>
              <w:jc w:val="left"/>
              <w:rPr/>
            </w:pPr>
            <w:r>
              <w:rPr/>
              <w:t> </w:t>
            </w:r>
          </w:p>
        </w:tc>
        <w:tc>
          <w:tcPr>
            <w:tcW w:w="130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5" w:type="dxa"/>
            <w:tcBorders/>
            <w:shd w:fill="auto" w:val="clear"/>
            <w:vAlign w:val="center"/>
          </w:tcPr>
          <w:p>
            <w:pPr>
              <w:pStyle w:val="TableContents"/>
              <w:spacing w:before="0" w:after="0"/>
              <w:ind w:left="0" w:right="0" w:firstLine="30"/>
              <w:rPr/>
            </w:pPr>
            <w:r>
              <w:rPr/>
              <w:t> </w:t>
            </w:r>
          </w:p>
        </w:tc>
        <w:tc>
          <w:tcPr>
            <w:tcW w:w="13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5" w:type="dxa"/>
            <w:tcBorders/>
            <w:shd w:fill="auto" w:val="clear"/>
            <w:vAlign w:val="center"/>
          </w:tcPr>
          <w:p>
            <w:pPr>
              <w:pStyle w:val="TableContents"/>
              <w:spacing w:before="0" w:after="0"/>
              <w:ind w:left="0" w:right="0" w:firstLine="30"/>
              <w:rPr/>
            </w:pPr>
            <w:r>
              <w:rPr/>
              <w:t> </w:t>
            </w:r>
          </w:p>
        </w:tc>
        <w:tc>
          <w:tcPr>
            <w:tcW w:w="13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6010" w:type="dxa"/>
            <w:tcBorders/>
            <w:shd w:fill="auto" w:val="clear"/>
            <w:vAlign w:val="center"/>
          </w:tcPr>
          <w:p>
            <w:pPr>
              <w:pStyle w:val="TableContents"/>
              <w:spacing w:before="0" w:after="0"/>
              <w:ind w:left="0" w:right="0" w:firstLine="30"/>
              <w:jc w:val="left"/>
              <w:rPr/>
            </w:pPr>
            <w:r>
              <w:rPr/>
              <w:t> </w:t>
            </w:r>
          </w:p>
        </w:tc>
        <w:tc>
          <w:tcPr>
            <w:tcW w:w="419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Matching contributions to EZCORP 401(k) Plan</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CCEEFF" w:val="clear"/>
            <w:vAlign w:val="center"/>
          </w:tcPr>
          <w:p>
            <w:pPr>
              <w:pStyle w:val="TableContents"/>
              <w:spacing w:before="0" w:after="0"/>
              <w:jc w:val="right"/>
              <w:rPr>
                <w:rFonts w:ascii="inherit" w:hAnsi="inherit"/>
                <w:sz w:val="17"/>
              </w:rPr>
            </w:pPr>
            <w:r>
              <w:rPr>
                <w:rFonts w:ascii="inherit" w:hAnsi="inherit"/>
                <w:sz w:val="17"/>
              </w:rPr>
              <w:t>459</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CCEEFF" w:val="clear"/>
            <w:vAlign w:val="center"/>
          </w:tcPr>
          <w:p>
            <w:pPr>
              <w:pStyle w:val="TableContents"/>
              <w:spacing w:before="0" w:after="0"/>
              <w:jc w:val="right"/>
              <w:rPr>
                <w:rFonts w:ascii="inherit" w:hAnsi="inherit"/>
                <w:sz w:val="17"/>
              </w:rPr>
            </w:pPr>
            <w:r>
              <w:rPr>
                <w:rFonts w:ascii="inherit" w:hAnsi="inherit"/>
                <w:sz w:val="17"/>
              </w:rPr>
              <w:t>377</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CCEEFF" w:val="clear"/>
            <w:vAlign w:val="center"/>
          </w:tcPr>
          <w:p>
            <w:pPr>
              <w:pStyle w:val="TableContents"/>
              <w:spacing w:before="0" w:after="0"/>
              <w:jc w:val="right"/>
              <w:rPr>
                <w:rFonts w:ascii="inherit" w:hAnsi="inherit"/>
                <w:sz w:val="17"/>
              </w:rPr>
            </w:pPr>
            <w:r>
              <w:rPr>
                <w:rFonts w:ascii="inherit" w:hAnsi="inherit"/>
                <w:sz w:val="17"/>
              </w:rPr>
              <w:t>260</w:t>
            </w:r>
          </w:p>
        </w:tc>
        <w:tc>
          <w:tcPr>
            <w:tcW w:w="11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We also provide a non-qualified Supplemental Executive Retirement Plan for selected executives. Funds in the Supplemental Executive Retirement Plan vest over </w:t>
      </w:r>
      <w:r>
        <w:rPr>
          <w:rFonts w:ascii="inherit" w:hAnsi="inherit"/>
          <w:strike w:val="false"/>
          <w:dstrike w:val="false"/>
          <w:color w:val="000000"/>
          <w:sz w:val="17"/>
          <w:u w:val="none"/>
          <w:effect w:val="none"/>
        </w:rPr>
        <w:t>three</w:t>
      </w:r>
      <w:r>
        <w:rPr>
          <w:sz w:val="17"/>
        </w:rPr>
        <w:t xml:space="preserve"> </w:t>
      </w:r>
      <w:r>
        <w:rPr>
          <w:rFonts w:ascii="inherit" w:hAnsi="inherit"/>
          <w:sz w:val="17"/>
        </w:rPr>
        <w:t xml:space="preserve">years from the grant date, with </w:t>
      </w:r>
      <w:r>
        <w:rPr>
          <w:rFonts w:ascii="inherit" w:hAnsi="inherit"/>
          <w:strike w:val="false"/>
          <w:dstrike w:val="false"/>
          <w:color w:val="000000"/>
          <w:sz w:val="17"/>
          <w:u w:val="none"/>
          <w:effect w:val="none"/>
        </w:rPr>
        <w:t>one-third vesting each year</w:t>
      </w:r>
      <w:r>
        <w:rPr>
          <w:rFonts w:ascii="inherit" w:hAnsi="inherit"/>
          <w:sz w:val="17"/>
        </w:rPr>
        <w:t xml:space="preserve">. All of a participant’s Supplemental Executive Retirement Plan funds from all grants vest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in the event of the participant’s death or disability or the termination of the plan due to a change in control. In addition, the Supplemental Executive Retirement Plan funds are </w:t>
      </w:r>
      <w:r>
        <w:rPr>
          <w:rFonts w:ascii="inherit" w:hAnsi="inherit"/>
          <w:strike w:val="false"/>
          <w:dstrike w:val="false"/>
          <w:color w:val="000000"/>
          <w:sz w:val="17"/>
          <w:u w:val="none"/>
          <w:effect w:val="none"/>
        </w:rPr>
        <w:t>100%</w:t>
      </w:r>
      <w:r>
        <w:rPr>
          <w:sz w:val="17"/>
        </w:rPr>
        <w:t xml:space="preserve"> </w:t>
      </w:r>
      <w:r>
        <w:rPr>
          <w:rFonts w:ascii="inherit" w:hAnsi="inherit"/>
          <w:sz w:val="17"/>
        </w:rPr>
        <w:t>vested when a participant attains his or her normal retirement age (</w:t>
      </w:r>
      <w:r>
        <w:rPr>
          <w:rFonts w:ascii="inherit" w:hAnsi="inherit"/>
          <w:strike w:val="false"/>
          <w:dstrike w:val="false"/>
          <w:color w:val="000000"/>
          <w:sz w:val="17"/>
          <w:u w:val="none"/>
          <w:effect w:val="none"/>
        </w:rPr>
        <w:t>60 years old and five years of active service</w:t>
      </w:r>
      <w:r>
        <w:rPr>
          <w:rFonts w:ascii="inherit" w:hAnsi="inherit"/>
          <w:sz w:val="17"/>
        </w:rPr>
        <w:t>) while actively employed by us. Expense of contributions to the Supplemental Executive Retirement Plan is recognized based on the vesting schedule.</w:t>
      </w:r>
    </w:p>
    <w:p>
      <w:pPr>
        <w:pStyle w:val="TextBody"/>
        <w:spacing w:lineRule="auto" w:line="288" w:before="0" w:after="0"/>
        <w:jc w:val="left"/>
        <w:rPr>
          <w:rFonts w:ascii="inherit" w:hAnsi="inherit"/>
          <w:sz w:val="17"/>
        </w:rPr>
      </w:pPr>
      <w:r>
        <w:rPr>
          <w:rFonts w:ascii="inherit" w:hAnsi="inherit"/>
          <w:sz w:val="17"/>
        </w:rPr>
        <w:t>The following table provides contribution and amortized expense amounts related to the Supplemental Executive Retirement Plan:</w:t>
      </w:r>
    </w:p>
    <w:tbl>
      <w:tblPr>
        <w:tblW w:w="10205" w:type="dxa"/>
        <w:jc w:val="left"/>
        <w:tblInd w:w="0" w:type="dxa"/>
        <w:tblCellMar>
          <w:top w:w="0" w:type="dxa"/>
          <w:left w:w="0" w:type="dxa"/>
          <w:bottom w:w="0" w:type="dxa"/>
          <w:right w:w="0" w:type="dxa"/>
        </w:tblCellMar>
      </w:tblPr>
      <w:tblGrid>
        <w:gridCol w:w="6024"/>
        <w:gridCol w:w="153"/>
        <w:gridCol w:w="1045"/>
        <w:gridCol w:w="102"/>
        <w:gridCol w:w="134"/>
        <w:gridCol w:w="153"/>
        <w:gridCol w:w="1045"/>
        <w:gridCol w:w="102"/>
        <w:gridCol w:w="134"/>
        <w:gridCol w:w="153"/>
        <w:gridCol w:w="1045"/>
        <w:gridCol w:w="115"/>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02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24" w:type="dxa"/>
            <w:tcBorders/>
            <w:shd w:fill="auto" w:val="clear"/>
            <w:vAlign w:val="center"/>
          </w:tcPr>
          <w:p>
            <w:pPr>
              <w:pStyle w:val="TableContents"/>
              <w:spacing w:before="0" w:after="0"/>
              <w:ind w:left="0" w:right="0" w:firstLine="30"/>
              <w:jc w:val="left"/>
              <w:rPr/>
            </w:pPr>
            <w:r>
              <w:rPr/>
              <w:t> </w:t>
            </w:r>
          </w:p>
        </w:tc>
        <w:tc>
          <w:tcPr>
            <w:tcW w:w="418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24" w:type="dxa"/>
            <w:tcBorders/>
            <w:shd w:fill="auto" w:val="clear"/>
            <w:vAlign w:val="center"/>
          </w:tcPr>
          <w:p>
            <w:pPr>
              <w:pStyle w:val="TableContents"/>
              <w:spacing w:before="0" w:after="0"/>
              <w:ind w:left="0" w:right="0" w:firstLine="30"/>
              <w:jc w:val="left"/>
              <w:rPr/>
            </w:pPr>
            <w:r>
              <w:rPr/>
              <w:t> </w:t>
            </w:r>
          </w:p>
        </w:tc>
        <w:tc>
          <w:tcPr>
            <w:tcW w:w="13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4" w:type="dxa"/>
            <w:tcBorders/>
            <w:shd w:fill="auto" w:val="clear"/>
            <w:vAlign w:val="center"/>
          </w:tcPr>
          <w:p>
            <w:pPr>
              <w:pStyle w:val="TableContents"/>
              <w:spacing w:before="0" w:after="0"/>
              <w:ind w:left="0" w:right="0" w:firstLine="30"/>
              <w:rPr/>
            </w:pPr>
            <w:r>
              <w:rPr/>
              <w:t> </w:t>
            </w:r>
          </w:p>
        </w:tc>
        <w:tc>
          <w:tcPr>
            <w:tcW w:w="13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4" w:type="dxa"/>
            <w:tcBorders/>
            <w:shd w:fill="auto" w:val="clear"/>
            <w:vAlign w:val="center"/>
          </w:tcPr>
          <w:p>
            <w:pPr>
              <w:pStyle w:val="TableContents"/>
              <w:spacing w:before="0" w:after="0"/>
              <w:ind w:left="0" w:right="0" w:firstLine="30"/>
              <w:rPr/>
            </w:pPr>
            <w:r>
              <w:rPr/>
              <w:t> </w:t>
            </w:r>
          </w:p>
        </w:tc>
        <w:tc>
          <w:tcPr>
            <w:tcW w:w="13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6024" w:type="dxa"/>
            <w:tcBorders/>
            <w:shd w:fill="auto" w:val="clear"/>
            <w:vAlign w:val="center"/>
          </w:tcPr>
          <w:p>
            <w:pPr>
              <w:pStyle w:val="TableContents"/>
              <w:spacing w:before="0" w:after="0"/>
              <w:ind w:left="0" w:right="0" w:firstLine="30"/>
              <w:jc w:val="left"/>
              <w:rPr/>
            </w:pPr>
            <w:r>
              <w:rPr/>
              <w:t> </w:t>
            </w:r>
          </w:p>
        </w:tc>
        <w:tc>
          <w:tcPr>
            <w:tcW w:w="418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Contributions to the Supplemental Executive Retirement Plan</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CCEEFF" w:val="clear"/>
            <w:vAlign w:val="center"/>
          </w:tcPr>
          <w:p>
            <w:pPr>
              <w:pStyle w:val="TableContents"/>
              <w:spacing w:before="0" w:after="0"/>
              <w:jc w:val="right"/>
              <w:rPr>
                <w:rFonts w:ascii="inherit" w:hAnsi="inherit"/>
                <w:sz w:val="17"/>
              </w:rPr>
            </w:pPr>
            <w:r>
              <w:rPr>
                <w:rFonts w:ascii="inherit" w:hAnsi="inherit"/>
                <w:sz w:val="17"/>
              </w:rPr>
              <w:t>938</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CCEEFF" w:val="clear"/>
            <w:vAlign w:val="center"/>
          </w:tcPr>
          <w:p>
            <w:pPr>
              <w:pStyle w:val="TableContents"/>
              <w:spacing w:before="0" w:after="0"/>
              <w:jc w:val="right"/>
              <w:rPr>
                <w:rFonts w:ascii="inherit" w:hAnsi="inherit"/>
                <w:sz w:val="17"/>
              </w:rPr>
            </w:pPr>
            <w:r>
              <w:rPr>
                <w:rFonts w:ascii="inherit" w:hAnsi="inherit"/>
                <w:sz w:val="17"/>
              </w:rPr>
              <w:t>701</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CCEEFF" w:val="clear"/>
            <w:vAlign w:val="center"/>
          </w:tcPr>
          <w:p>
            <w:pPr>
              <w:pStyle w:val="TableContents"/>
              <w:spacing w:before="0" w:after="0"/>
              <w:jc w:val="right"/>
              <w:rPr>
                <w:rFonts w:ascii="inherit" w:hAnsi="inherit"/>
                <w:sz w:val="17"/>
              </w:rPr>
            </w:pPr>
            <w:r>
              <w:rPr>
                <w:rFonts w:ascii="inherit" w:hAnsi="inherit"/>
                <w:sz w:val="17"/>
              </w:rPr>
              <w:t>746</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Amortized expense due to Supplemental Executive Retirement Plan</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807</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526</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562</w:t>
            </w:r>
          </w:p>
        </w:tc>
        <w:tc>
          <w:tcPr>
            <w:tcW w:w="11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74" w:name="sA6845602C2B1B7DA64560F13B87565A9"/>
      <w:bookmarkEnd w:id="74"/>
      <w:r>
        <w:rPr>
          <w:rFonts w:ascii="inherit" w:hAnsi="inherit"/>
          <w:b/>
          <w:sz w:val="17"/>
        </w:rPr>
        <w:t>NOTE 17: CONTINGENCIES</w:t>
      </w:r>
    </w:p>
    <w:p>
      <w:pPr>
        <w:pStyle w:val="TextBody"/>
        <w:spacing w:lineRule="auto" w:line="288" w:before="0" w:after="0"/>
        <w:jc w:val="left"/>
        <w:rPr>
          <w:rFonts w:ascii="inherit" w:hAnsi="inherit"/>
          <w:sz w:val="17"/>
        </w:rPr>
      </w:pPr>
      <w:r>
        <w:rPr>
          <w:rFonts w:ascii="inherit" w:hAnsi="inherit"/>
          <w:sz w:val="17"/>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71</w:t>
      </w:r>
      <w:r>
        <w:br w:type="page"/>
      </w:r>
    </w:p>
    <w:p>
      <w:pPr>
        <w:pStyle w:val="TextBody"/>
        <w:spacing w:lineRule="auto" w:line="288" w:before="0" w:after="0"/>
        <w:rPr/>
      </w:pPr>
      <w:hyperlink w:anchor="s149FCBE28F3900CCBC1E0F13F39FAE0B">
        <w:bookmarkStart w:id="75" w:name="sC8BACFD211AD144EDFC80F13B7B7C593"/>
        <w:bookmarkEnd w:id="75"/>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18: QUARTERLY INFORMATION (UNAUDITED)</w:t>
      </w:r>
    </w:p>
    <w:tbl>
      <w:tblPr>
        <w:tblW w:w="10205" w:type="dxa"/>
        <w:jc w:val="left"/>
        <w:tblInd w:w="0" w:type="dxa"/>
        <w:tblCellMar>
          <w:top w:w="0" w:type="dxa"/>
          <w:left w:w="0" w:type="dxa"/>
          <w:bottom w:w="0" w:type="dxa"/>
          <w:right w:w="0" w:type="dxa"/>
        </w:tblCellMar>
      </w:tblPr>
      <w:tblGrid>
        <w:gridCol w:w="4361"/>
        <w:gridCol w:w="141"/>
        <w:gridCol w:w="1038"/>
        <w:gridCol w:w="132"/>
        <w:gridCol w:w="122"/>
        <w:gridCol w:w="141"/>
        <w:gridCol w:w="1185"/>
        <w:gridCol w:w="132"/>
        <w:gridCol w:w="122"/>
        <w:gridCol w:w="141"/>
        <w:gridCol w:w="1038"/>
        <w:gridCol w:w="132"/>
        <w:gridCol w:w="122"/>
        <w:gridCol w:w="141"/>
        <w:gridCol w:w="1111"/>
        <w:gridCol w:w="14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36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61" w:type="dxa"/>
            <w:tcBorders/>
            <w:shd w:fill="auto" w:val="clear"/>
            <w:vAlign w:val="center"/>
          </w:tcPr>
          <w:p>
            <w:pPr>
              <w:pStyle w:val="TableContents"/>
              <w:spacing w:before="0" w:after="0"/>
              <w:rPr/>
            </w:pPr>
            <w:r>
              <w:rPr/>
              <w:t> </w:t>
            </w:r>
          </w:p>
        </w:tc>
        <w:tc>
          <w:tcPr>
            <w:tcW w:w="13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First Quarter</w:t>
            </w:r>
          </w:p>
        </w:tc>
        <w:tc>
          <w:tcPr>
            <w:tcW w:w="122" w:type="dxa"/>
            <w:tcBorders/>
            <w:shd w:fill="auto" w:val="clear"/>
            <w:vAlign w:val="center"/>
          </w:tcPr>
          <w:p>
            <w:pPr>
              <w:pStyle w:val="TableContents"/>
              <w:spacing w:before="0" w:after="0"/>
              <w:rPr/>
            </w:pPr>
            <w:r>
              <w:rPr/>
              <w:t> </w:t>
            </w:r>
          </w:p>
        </w:tc>
        <w:tc>
          <w:tcPr>
            <w:tcW w:w="14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Second Quarter</w:t>
            </w:r>
          </w:p>
        </w:tc>
        <w:tc>
          <w:tcPr>
            <w:tcW w:w="122" w:type="dxa"/>
            <w:tcBorders/>
            <w:shd w:fill="auto" w:val="clear"/>
            <w:vAlign w:val="center"/>
          </w:tcPr>
          <w:p>
            <w:pPr>
              <w:pStyle w:val="TableContents"/>
              <w:spacing w:before="0" w:after="0"/>
              <w:rPr/>
            </w:pPr>
            <w:r>
              <w:rPr/>
              <w:t> </w:t>
            </w:r>
          </w:p>
        </w:tc>
        <w:tc>
          <w:tcPr>
            <w:tcW w:w="13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Third Quarter</w:t>
            </w:r>
          </w:p>
        </w:tc>
        <w:tc>
          <w:tcPr>
            <w:tcW w:w="122" w:type="dxa"/>
            <w:tcBorders/>
            <w:shd w:fill="auto" w:val="clear"/>
            <w:vAlign w:val="center"/>
          </w:tcPr>
          <w:p>
            <w:pPr>
              <w:pStyle w:val="TableContents"/>
              <w:spacing w:before="0" w:after="0"/>
              <w:rPr/>
            </w:pPr>
            <w:r>
              <w:rPr/>
              <w:t> </w:t>
            </w:r>
          </w:p>
        </w:tc>
        <w:tc>
          <w:tcPr>
            <w:tcW w:w="13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Fourth Quarter</w:t>
            </w:r>
          </w:p>
        </w:tc>
      </w:tr>
      <w:tr>
        <w:trPr/>
        <w:tc>
          <w:tcPr>
            <w:tcW w:w="4361" w:type="dxa"/>
            <w:tcBorders/>
            <w:shd w:fill="auto" w:val="clear"/>
            <w:vAlign w:val="center"/>
          </w:tcPr>
          <w:p>
            <w:pPr>
              <w:pStyle w:val="TableContents"/>
              <w:spacing w:before="0" w:after="0"/>
              <w:ind w:left="0" w:right="0" w:firstLine="30"/>
              <w:jc w:val="left"/>
              <w:rPr/>
            </w:pPr>
            <w:r>
              <w:rPr/>
              <w:t> </w:t>
            </w:r>
          </w:p>
        </w:tc>
        <w:tc>
          <w:tcPr>
            <w:tcW w:w="584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436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Year Ended September 30, 2012</w:t>
            </w:r>
          </w:p>
        </w:tc>
        <w:tc>
          <w:tcPr>
            <w:tcW w:w="1311" w:type="dxa"/>
            <w:gridSpan w:val="3"/>
            <w:tcBorders/>
            <w:shd w:fill="CCEEFF" w:val="clear"/>
            <w:vAlign w:val="center"/>
          </w:tcPr>
          <w:p>
            <w:pPr>
              <w:pStyle w:val="TableContents"/>
              <w:spacing w:before="0" w:after="0"/>
              <w:ind w:left="0" w:right="0" w:firstLine="30"/>
              <w:jc w:val="left"/>
              <w:rPr/>
            </w:pPr>
            <w:r>
              <w:rPr/>
              <w:t> </w:t>
            </w:r>
          </w:p>
        </w:tc>
        <w:tc>
          <w:tcPr>
            <w:tcW w:w="122" w:type="dxa"/>
            <w:tcBorders/>
            <w:shd w:fill="CCEEFF" w:val="clear"/>
            <w:vAlign w:val="center"/>
          </w:tcPr>
          <w:p>
            <w:pPr>
              <w:pStyle w:val="TableContents"/>
              <w:spacing w:before="0" w:after="0"/>
              <w:ind w:left="0" w:right="0" w:firstLine="30"/>
              <w:rPr/>
            </w:pPr>
            <w:r>
              <w:rPr/>
              <w:t> </w:t>
            </w:r>
          </w:p>
        </w:tc>
        <w:tc>
          <w:tcPr>
            <w:tcW w:w="1458" w:type="dxa"/>
            <w:gridSpan w:val="3"/>
            <w:tcBorders/>
            <w:shd w:fill="CCEEFF" w:val="clear"/>
            <w:vAlign w:val="center"/>
          </w:tcPr>
          <w:p>
            <w:pPr>
              <w:pStyle w:val="TableContents"/>
              <w:spacing w:before="0" w:after="0"/>
              <w:ind w:left="0" w:right="0" w:firstLine="30"/>
              <w:jc w:val="left"/>
              <w:rPr/>
            </w:pPr>
            <w:r>
              <w:rPr/>
              <w:t> </w:t>
            </w:r>
          </w:p>
        </w:tc>
        <w:tc>
          <w:tcPr>
            <w:tcW w:w="122"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jc w:val="left"/>
              <w:rPr/>
            </w:pPr>
            <w:r>
              <w:rPr/>
              <w:t> </w:t>
            </w:r>
          </w:p>
        </w:tc>
        <w:tc>
          <w:tcPr>
            <w:tcW w:w="122"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jc w:val="left"/>
              <w:rPr/>
            </w:pPr>
            <w:r>
              <w:rPr/>
              <w:t> </w:t>
            </w:r>
          </w:p>
        </w:tc>
      </w:tr>
      <w:tr>
        <w:trPr/>
        <w:tc>
          <w:tcPr>
            <w:tcW w:w="43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auto" w:val="clear"/>
            <w:vAlign w:val="center"/>
          </w:tcPr>
          <w:p>
            <w:pPr>
              <w:pStyle w:val="TableContents"/>
              <w:spacing w:before="0" w:after="0"/>
              <w:jc w:val="right"/>
              <w:rPr>
                <w:rFonts w:ascii="inherit" w:hAnsi="inherit"/>
                <w:sz w:val="17"/>
              </w:rPr>
            </w:pPr>
            <w:r>
              <w:rPr>
                <w:rFonts w:ascii="inherit" w:hAnsi="inherit"/>
                <w:sz w:val="17"/>
              </w:rPr>
              <w:t>244,609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shd w:fill="auto" w:val="clear"/>
            <w:vAlign w:val="center"/>
          </w:tcPr>
          <w:p>
            <w:pPr>
              <w:pStyle w:val="TableContents"/>
              <w:spacing w:before="0" w:after="0"/>
              <w:jc w:val="right"/>
              <w:rPr>
                <w:rFonts w:ascii="inherit" w:hAnsi="inherit"/>
                <w:sz w:val="17"/>
              </w:rPr>
            </w:pPr>
            <w:r>
              <w:rPr>
                <w:rFonts w:ascii="inherit" w:hAnsi="inherit"/>
                <w:sz w:val="17"/>
              </w:rPr>
              <w:t>251,980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auto" w:val="clear"/>
            <w:vAlign w:val="center"/>
          </w:tcPr>
          <w:p>
            <w:pPr>
              <w:pStyle w:val="TableContents"/>
              <w:spacing w:before="0" w:after="0"/>
              <w:jc w:val="right"/>
              <w:rPr>
                <w:rFonts w:ascii="inherit" w:hAnsi="inherit"/>
                <w:sz w:val="17"/>
              </w:rPr>
            </w:pPr>
            <w:r>
              <w:rPr>
                <w:rFonts w:ascii="inherit" w:hAnsi="inherit"/>
                <w:sz w:val="17"/>
              </w:rPr>
              <w:t>224,573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auto" w:val="clear"/>
            <w:vAlign w:val="center"/>
          </w:tcPr>
          <w:p>
            <w:pPr>
              <w:pStyle w:val="TableContents"/>
              <w:spacing w:before="0" w:after="0"/>
              <w:jc w:val="right"/>
              <w:rPr>
                <w:rFonts w:ascii="inherit" w:hAnsi="inherit"/>
                <w:sz w:val="17"/>
              </w:rPr>
            </w:pPr>
            <w:r>
              <w:rPr>
                <w:rFonts w:ascii="inherit" w:hAnsi="inherit"/>
                <w:sz w:val="17"/>
              </w:rPr>
              <w:t>253,961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151,467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159,072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142,926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160,936</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40,174</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38,470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30,959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45,507</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(822</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3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(1,097</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(1,366</w:t>
            </w:r>
          </w:p>
        </w:tc>
        <w:tc>
          <w:tcPr>
            <w:tcW w:w="14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39,352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37,373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29,711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44,141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redeemable noncontrolling interest</w:t>
            </w:r>
          </w:p>
        </w:tc>
        <w:tc>
          <w:tcPr>
            <w:tcW w:w="1179"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5,569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39,352</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37,261</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38,572</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58"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Basic (loss) earnings per share attributable to EZCORP, Inc.:</w:t>
            </w:r>
          </w:p>
        </w:tc>
        <w:tc>
          <w:tcPr>
            <w:tcW w:w="1311"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58"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11"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Continuing operations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CCEEFF" w:val="clear"/>
            <w:vAlign w:val="center"/>
          </w:tcPr>
          <w:p>
            <w:pPr>
              <w:pStyle w:val="TableContents"/>
              <w:spacing w:before="0" w:after="0"/>
              <w:jc w:val="right"/>
              <w:rPr>
                <w:rFonts w:ascii="inherit" w:hAnsi="inherit"/>
                <w:sz w:val="17"/>
              </w:rPr>
            </w:pPr>
            <w:r>
              <w:rPr>
                <w:rFonts w:ascii="inherit" w:hAnsi="inherit"/>
                <w:sz w:val="17"/>
              </w:rPr>
              <w:t>0.80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shd w:fill="CCEEFF" w:val="clear"/>
            <w:vAlign w:val="center"/>
          </w:tcPr>
          <w:p>
            <w:pPr>
              <w:pStyle w:val="TableContents"/>
              <w:spacing w:before="0" w:after="0"/>
              <w:jc w:val="right"/>
              <w:rPr>
                <w:rFonts w:ascii="inherit" w:hAnsi="inherit"/>
                <w:sz w:val="17"/>
              </w:rPr>
            </w:pPr>
            <w:r>
              <w:rPr>
                <w:rFonts w:ascii="inherit" w:hAnsi="inherit"/>
                <w:sz w:val="17"/>
              </w:rPr>
              <w:t>0.75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CCEEFF" w:val="clear"/>
            <w:vAlign w:val="center"/>
          </w:tcPr>
          <w:p>
            <w:pPr>
              <w:pStyle w:val="TableContents"/>
              <w:spacing w:before="0" w:after="0"/>
              <w:jc w:val="right"/>
              <w:rPr>
                <w:rFonts w:ascii="inherit" w:hAnsi="inherit"/>
                <w:sz w:val="17"/>
              </w:rPr>
            </w:pPr>
            <w:r>
              <w:rPr>
                <w:rFonts w:ascii="inherit" w:hAnsi="inherit"/>
                <w:sz w:val="17"/>
              </w:rPr>
              <w:t>0.58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CCEEFF" w:val="clear"/>
            <w:vAlign w:val="center"/>
          </w:tcPr>
          <w:p>
            <w:pPr>
              <w:pStyle w:val="TableContents"/>
              <w:spacing w:before="0" w:after="0"/>
              <w:jc w:val="right"/>
              <w:rPr>
                <w:rFonts w:ascii="inherit" w:hAnsi="inherit"/>
                <w:sz w:val="17"/>
              </w:rPr>
            </w:pPr>
            <w:r>
              <w:rPr>
                <w:rFonts w:ascii="inherit" w:hAnsi="inherit"/>
                <w:sz w:val="17"/>
              </w:rPr>
              <w:t>0.78</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3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Basic earnings per share</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0.78</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0.75</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rPr/>
            </w:pPr>
            <w:r>
              <w:rPr/>
              <w:t> </w:t>
            </w:r>
          </w:p>
        </w:tc>
        <w:tc>
          <w:tcPr>
            <w:tcW w:w="1311"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58"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11"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Diluted (loss) earnings per share attributable to EZCORP, Inc.:</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58"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Continuing operations</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auto" w:val="clear"/>
            <w:vAlign w:val="center"/>
          </w:tcPr>
          <w:p>
            <w:pPr>
              <w:pStyle w:val="TableContents"/>
              <w:spacing w:before="0" w:after="0"/>
              <w:jc w:val="right"/>
              <w:rPr>
                <w:rFonts w:ascii="inherit" w:hAnsi="inherit"/>
                <w:sz w:val="17"/>
              </w:rPr>
            </w:pPr>
            <w:r>
              <w:rPr>
                <w:rFonts w:ascii="inherit" w:hAnsi="inherit"/>
                <w:sz w:val="17"/>
              </w:rPr>
              <w:t>0.79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shd w:fill="auto" w:val="clear"/>
            <w:vAlign w:val="center"/>
          </w:tcPr>
          <w:p>
            <w:pPr>
              <w:pStyle w:val="TableContents"/>
              <w:spacing w:before="0" w:after="0"/>
              <w:jc w:val="right"/>
              <w:rPr>
                <w:rFonts w:ascii="inherit" w:hAnsi="inherit"/>
                <w:sz w:val="17"/>
              </w:rPr>
            </w:pPr>
            <w:r>
              <w:rPr>
                <w:rFonts w:ascii="inherit" w:hAnsi="inherit"/>
                <w:sz w:val="17"/>
              </w:rPr>
              <w:t>0.75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auto" w:val="clear"/>
            <w:vAlign w:val="center"/>
          </w:tcPr>
          <w:p>
            <w:pPr>
              <w:pStyle w:val="TableContents"/>
              <w:spacing w:before="0" w:after="0"/>
              <w:jc w:val="right"/>
              <w:rPr>
                <w:rFonts w:ascii="inherit" w:hAnsi="inherit"/>
                <w:sz w:val="17"/>
              </w:rPr>
            </w:pPr>
            <w:r>
              <w:rPr>
                <w:rFonts w:ascii="inherit" w:hAnsi="inherit"/>
                <w:sz w:val="17"/>
              </w:rPr>
              <w:t>0.58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auto" w:val="clear"/>
            <w:vAlign w:val="center"/>
          </w:tcPr>
          <w:p>
            <w:pPr>
              <w:pStyle w:val="TableContents"/>
              <w:spacing w:before="0" w:after="0"/>
              <w:jc w:val="right"/>
              <w:rPr>
                <w:rFonts w:ascii="inherit" w:hAnsi="inherit"/>
                <w:sz w:val="17"/>
              </w:rPr>
            </w:pPr>
            <w:r>
              <w:rPr>
                <w:rFonts w:ascii="inherit" w:hAnsi="inherit"/>
                <w:sz w:val="17"/>
              </w:rPr>
              <w:t>0.78</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3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(0.03</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Diluted earnings per share</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0.77</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0.73</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0.75</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58"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r>
      <w:tr>
        <w:trPr/>
        <w:tc>
          <w:tcPr>
            <w:tcW w:w="436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Year Ended September 30, 2011</w:t>
            </w:r>
          </w:p>
        </w:tc>
        <w:tc>
          <w:tcPr>
            <w:tcW w:w="1311"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458"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311"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jc w:val="left"/>
              <w:rPr/>
            </w:pPr>
            <w:r>
              <w:rPr/>
              <w:t> </w:t>
            </w:r>
          </w:p>
        </w:tc>
      </w:tr>
      <w:tr>
        <w:trPr/>
        <w:tc>
          <w:tcPr>
            <w:tcW w:w="43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CCEEFF" w:val="clear"/>
            <w:vAlign w:val="center"/>
          </w:tcPr>
          <w:p>
            <w:pPr>
              <w:pStyle w:val="TableContents"/>
              <w:spacing w:before="0" w:after="0"/>
              <w:jc w:val="right"/>
              <w:rPr>
                <w:rFonts w:ascii="inherit" w:hAnsi="inherit"/>
                <w:sz w:val="17"/>
              </w:rPr>
            </w:pPr>
            <w:r>
              <w:rPr>
                <w:rFonts w:ascii="inherit" w:hAnsi="inherit"/>
                <w:sz w:val="17"/>
              </w:rPr>
              <w:t>214,956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shd w:fill="CCEEFF" w:val="clear"/>
            <w:vAlign w:val="center"/>
          </w:tcPr>
          <w:p>
            <w:pPr>
              <w:pStyle w:val="TableContents"/>
              <w:spacing w:before="0" w:after="0"/>
              <w:jc w:val="right"/>
              <w:rPr>
                <w:rFonts w:ascii="inherit" w:hAnsi="inherit"/>
                <w:sz w:val="17"/>
              </w:rPr>
            </w:pPr>
            <w:r>
              <w:rPr>
                <w:rFonts w:ascii="inherit" w:hAnsi="inherit"/>
                <w:sz w:val="17"/>
              </w:rPr>
              <w:t>209,394</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CCEEFF" w:val="clear"/>
            <w:vAlign w:val="center"/>
          </w:tcPr>
          <w:p>
            <w:pPr>
              <w:pStyle w:val="TableContents"/>
              <w:spacing w:before="0" w:after="0"/>
              <w:jc w:val="right"/>
              <w:rPr>
                <w:rFonts w:ascii="inherit" w:hAnsi="inherit"/>
                <w:sz w:val="17"/>
              </w:rPr>
            </w:pPr>
            <w:r>
              <w:rPr>
                <w:rFonts w:ascii="inherit" w:hAnsi="inherit"/>
                <w:sz w:val="17"/>
              </w:rPr>
              <w:t>198,889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CCEEFF" w:val="clear"/>
            <w:vAlign w:val="center"/>
          </w:tcPr>
          <w:p>
            <w:pPr>
              <w:pStyle w:val="TableContents"/>
              <w:spacing w:before="0" w:after="0"/>
              <w:jc w:val="right"/>
              <w:rPr>
                <w:rFonts w:ascii="inherit" w:hAnsi="inherit"/>
                <w:sz w:val="17"/>
              </w:rPr>
            </w:pPr>
            <w:r>
              <w:rPr>
                <w:rFonts w:ascii="inherit" w:hAnsi="inherit"/>
                <w:sz w:val="17"/>
              </w:rPr>
              <w:t>229,559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132,243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128,946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120,963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144,151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27,795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32,267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27,003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36,652</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1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(366</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3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(429</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(476</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5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(287</w:t>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27,429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31,838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26,527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36,365</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redeemable noncontrolling interest</w:t>
            </w:r>
          </w:p>
        </w:tc>
        <w:tc>
          <w:tcPr>
            <w:tcW w:w="1179"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2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52"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27,429</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31,838</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26,527</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36,365</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rPr/>
            </w:pPr>
            <w:r>
              <w:rPr/>
              <w:t> </w:t>
            </w:r>
          </w:p>
        </w:tc>
        <w:tc>
          <w:tcPr>
            <w:tcW w:w="1311"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458"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311"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jc w:val="left"/>
              <w:rPr/>
            </w:pPr>
            <w:r>
              <w:rPr/>
              <w:t> </w:t>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Basic (loss) earnings per share attributable to EZCORP, Inc.:</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58"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Continuing operations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auto" w:val="clear"/>
            <w:vAlign w:val="center"/>
          </w:tcPr>
          <w:p>
            <w:pPr>
              <w:pStyle w:val="TableContents"/>
              <w:spacing w:before="0" w:after="0"/>
              <w:jc w:val="right"/>
              <w:rPr>
                <w:rFonts w:ascii="inherit" w:hAnsi="inherit"/>
                <w:sz w:val="17"/>
              </w:rPr>
            </w:pPr>
            <w:r>
              <w:rPr>
                <w:rFonts w:ascii="inherit" w:hAnsi="inherit"/>
                <w:sz w:val="17"/>
              </w:rPr>
              <w:t>0.56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shd w:fill="auto" w:val="clear"/>
            <w:vAlign w:val="center"/>
          </w:tcPr>
          <w:p>
            <w:pPr>
              <w:pStyle w:val="TableContents"/>
              <w:spacing w:before="0" w:after="0"/>
              <w:jc w:val="right"/>
              <w:rPr>
                <w:rFonts w:ascii="inherit" w:hAnsi="inherit"/>
                <w:sz w:val="17"/>
              </w:rPr>
            </w:pPr>
            <w:r>
              <w:rPr>
                <w:rFonts w:ascii="inherit" w:hAnsi="inherit"/>
                <w:sz w:val="17"/>
              </w:rPr>
              <w:t>0.65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auto" w:val="clear"/>
            <w:vAlign w:val="center"/>
          </w:tcPr>
          <w:p>
            <w:pPr>
              <w:pStyle w:val="TableContents"/>
              <w:spacing w:before="0" w:after="0"/>
              <w:jc w:val="right"/>
              <w:rPr>
                <w:rFonts w:ascii="inherit" w:hAnsi="inherit"/>
                <w:sz w:val="17"/>
              </w:rPr>
            </w:pPr>
            <w:r>
              <w:rPr>
                <w:rFonts w:ascii="inherit" w:hAnsi="inherit"/>
                <w:sz w:val="17"/>
              </w:rPr>
              <w:t>0.54</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auto" w:val="clear"/>
            <w:vAlign w:val="center"/>
          </w:tcPr>
          <w:p>
            <w:pPr>
              <w:pStyle w:val="TableContents"/>
              <w:spacing w:before="0" w:after="0"/>
              <w:jc w:val="right"/>
              <w:rPr>
                <w:rFonts w:ascii="inherit" w:hAnsi="inherit"/>
                <w:sz w:val="17"/>
              </w:rPr>
            </w:pPr>
            <w:r>
              <w:rPr>
                <w:rFonts w:ascii="inherit" w:hAnsi="inherit"/>
                <w:sz w:val="17"/>
              </w:rPr>
              <w:t>0.73</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3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52"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Basic earnings per share</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0.55</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0.64</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0.53</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0.73</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58"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r>
      <w:tr>
        <w:trPr/>
        <w:tc>
          <w:tcPr>
            <w:tcW w:w="436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Diluted (loss) earnings per share attributable to EZCORP, Inc.:</w:t>
            </w:r>
          </w:p>
        </w:tc>
        <w:tc>
          <w:tcPr>
            <w:tcW w:w="1311"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58"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11"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Continuing operations</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CCEEFF" w:val="clear"/>
            <w:vAlign w:val="center"/>
          </w:tcPr>
          <w:p>
            <w:pPr>
              <w:pStyle w:val="TableContents"/>
              <w:spacing w:before="0" w:after="0"/>
              <w:jc w:val="right"/>
              <w:rPr>
                <w:rFonts w:ascii="inherit" w:hAnsi="inherit"/>
                <w:sz w:val="17"/>
              </w:rPr>
            </w:pPr>
            <w:r>
              <w:rPr>
                <w:rFonts w:ascii="inherit" w:hAnsi="inherit"/>
                <w:sz w:val="17"/>
              </w:rPr>
              <w:t>0.56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shd w:fill="CCEEFF" w:val="clear"/>
            <w:vAlign w:val="center"/>
          </w:tcPr>
          <w:p>
            <w:pPr>
              <w:pStyle w:val="TableContents"/>
              <w:spacing w:before="0" w:after="0"/>
              <w:jc w:val="right"/>
              <w:rPr>
                <w:rFonts w:ascii="inherit" w:hAnsi="inherit"/>
                <w:sz w:val="17"/>
              </w:rPr>
            </w:pPr>
            <w:r>
              <w:rPr>
                <w:rFonts w:ascii="inherit" w:hAnsi="inherit"/>
                <w:sz w:val="17"/>
              </w:rPr>
              <w:t>0.64</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shd w:fill="CCEEFF" w:val="clear"/>
            <w:vAlign w:val="center"/>
          </w:tcPr>
          <w:p>
            <w:pPr>
              <w:pStyle w:val="TableContents"/>
              <w:spacing w:before="0" w:after="0"/>
              <w:jc w:val="right"/>
              <w:rPr>
                <w:rFonts w:ascii="inherit" w:hAnsi="inherit"/>
                <w:sz w:val="17"/>
              </w:rPr>
            </w:pPr>
            <w:r>
              <w:rPr>
                <w:rFonts w:ascii="inherit" w:hAnsi="inherit"/>
                <w:sz w:val="17"/>
              </w:rPr>
              <w:t>0.54</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CCEEFF" w:val="clear"/>
            <w:vAlign w:val="center"/>
          </w:tcPr>
          <w:p>
            <w:pPr>
              <w:pStyle w:val="TableContents"/>
              <w:spacing w:before="0" w:after="0"/>
              <w:jc w:val="right"/>
              <w:rPr>
                <w:rFonts w:ascii="inherit" w:hAnsi="inherit"/>
                <w:sz w:val="17"/>
              </w:rPr>
            </w:pPr>
            <w:r>
              <w:rPr>
                <w:rFonts w:ascii="inherit" w:hAnsi="inherit"/>
                <w:sz w:val="17"/>
              </w:rPr>
              <w:t>0.72</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3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52"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Diluted earnings per share</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0.55</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0.72</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72</w:t>
      </w:r>
      <w:r>
        <w:br w:type="page"/>
      </w:r>
    </w:p>
    <w:p>
      <w:pPr>
        <w:pStyle w:val="TextBody"/>
        <w:spacing w:lineRule="auto" w:line="288" w:before="0" w:after="0"/>
        <w:rPr/>
      </w:pPr>
      <w:hyperlink w:anchor="s149FCBE28F3900CCBC1E0F13F39FAE0B">
        <w:bookmarkStart w:id="76" w:name="s2A214D09208BB66ACEF90F13B71ED68E"/>
        <w:bookmarkEnd w:id="76"/>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19: OPERATING SEGMENT INFORMATION</w:t>
      </w:r>
    </w:p>
    <w:p>
      <w:pPr>
        <w:pStyle w:val="TextBody"/>
        <w:spacing w:lineRule="auto" w:line="288" w:before="0" w:after="0"/>
        <w:jc w:val="left"/>
        <w:rPr>
          <w:rFonts w:ascii="inherit" w:hAnsi="inherit"/>
          <w:sz w:val="17"/>
        </w:rPr>
      </w:pPr>
      <w:r>
        <w:rPr>
          <w:rFonts w:ascii="inherit" w:hAnsi="inherit"/>
          <w:sz w:val="17"/>
        </w:rPr>
        <w:t>Segment information is prepared on the same basis that our management reviews financial information for operational decision-making purposes. Previously, we reported segment information based primarily on product offerings. Beginning in fiscal 2012, we redefined our reportable operating segments based on geography as our company is organized and managed along geographic lines, with product offerings and channels based on local custom and regulation. As a result, we concluded that segment reporting based on geography more closely aligns with our management organization and strategic direction.</w:t>
      </w:r>
    </w:p>
    <w:p>
      <w:pPr>
        <w:pStyle w:val="TextBody"/>
        <w:spacing w:lineRule="auto" w:line="288" w:before="0" w:after="0"/>
        <w:jc w:val="left"/>
        <w:rPr>
          <w:rFonts w:ascii="inherit" w:hAnsi="inherit"/>
          <w:sz w:val="17"/>
        </w:rPr>
      </w:pPr>
      <w:r>
        <w:rPr>
          <w:rFonts w:ascii="inherit" w:hAnsi="inherit"/>
          <w:sz w:val="17"/>
        </w:rPr>
        <w:t>We currently report our segments as follows:</w:t>
      </w:r>
    </w:p>
    <w:tbl>
      <w:tblPr>
        <w:tblW w:w="6460" w:type="dxa"/>
        <w:jc w:val="left"/>
        <w:tblInd w:w="0" w:type="dxa"/>
        <w:tblCellMar>
          <w:top w:w="0" w:type="dxa"/>
          <w:left w:w="0" w:type="dxa"/>
          <w:bottom w:w="0" w:type="dxa"/>
          <w:right w:w="0" w:type="dxa"/>
        </w:tblCellMar>
      </w:tblPr>
      <w:tblGrid>
        <w:gridCol w:w="485"/>
        <w:gridCol w:w="5975"/>
      </w:tblGrid>
      <w:tr>
        <w:trPr/>
        <w:tc>
          <w:tcPr>
            <w:tcW w:w="485" w:type="dxa"/>
            <w:tcBorders/>
            <w:shd w:fill="auto" w:val="clear"/>
            <w:vAlign w:val="center"/>
          </w:tcPr>
          <w:p>
            <w:pPr>
              <w:pStyle w:val="TableContents"/>
              <w:spacing w:before="0" w:after="283"/>
              <w:rPr>
                <w:sz w:val="4"/>
                <w:szCs w:val="4"/>
              </w:rPr>
            </w:pPr>
            <w:r>
              <w:rPr>
                <w:sz w:val="4"/>
                <w:szCs w:val="4"/>
              </w:rPr>
            </w:r>
          </w:p>
        </w:tc>
        <w:tc>
          <w:tcPr>
            <w:tcW w:w="59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U.S. &amp; Canada — All business activities in the United States and Canada</w:t>
            </w:r>
          </w:p>
        </w:tc>
      </w:tr>
    </w:tbl>
    <w:tbl>
      <w:tblPr>
        <w:tblW w:w="7285" w:type="dxa"/>
        <w:jc w:val="left"/>
        <w:tblInd w:w="0" w:type="dxa"/>
        <w:tblCellMar>
          <w:top w:w="0" w:type="dxa"/>
          <w:left w:w="0" w:type="dxa"/>
          <w:bottom w:w="0" w:type="dxa"/>
          <w:right w:w="0" w:type="dxa"/>
        </w:tblCellMar>
      </w:tblPr>
      <w:tblGrid>
        <w:gridCol w:w="485"/>
        <w:gridCol w:w="6800"/>
      </w:tblGrid>
      <w:tr>
        <w:trPr/>
        <w:tc>
          <w:tcPr>
            <w:tcW w:w="485" w:type="dxa"/>
            <w:tcBorders/>
            <w:shd w:fill="auto" w:val="clear"/>
            <w:vAlign w:val="center"/>
          </w:tcPr>
          <w:p>
            <w:pPr>
              <w:pStyle w:val="TableContents"/>
              <w:spacing w:before="0" w:after="283"/>
              <w:rPr>
                <w:sz w:val="4"/>
                <w:szCs w:val="4"/>
              </w:rPr>
            </w:pPr>
            <w:r>
              <w:rPr>
                <w:sz w:val="4"/>
                <w:szCs w:val="4"/>
              </w:rPr>
            </w:r>
          </w:p>
        </w:tc>
        <w:tc>
          <w:tcPr>
            <w:tcW w:w="68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8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Latin America — All business activities in Mexico and other parts of Latin America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Other International — All business activities in the rest of the world (currently consisting of consumer loans online in the U.K. and our equity interests in the net income of Albemarle &amp; Bond and Cash Converters International)</w:t>
            </w:r>
          </w:p>
        </w:tc>
      </w:tr>
    </w:tbl>
    <w:p>
      <w:pPr>
        <w:pStyle w:val="TextBody"/>
        <w:spacing w:lineRule="auto" w:line="288" w:before="0" w:after="0"/>
        <w:jc w:val="left"/>
        <w:rPr>
          <w:rFonts w:ascii="inherit" w:hAnsi="inherit"/>
          <w:sz w:val="17"/>
        </w:rPr>
      </w:pPr>
      <w:r>
        <w:rPr>
          <w:rFonts w:ascii="inherit" w:hAnsi="inherit"/>
          <w:sz w:val="17"/>
        </w:rPr>
        <w:t>Concurrent with the change in reportable operating segments, we revised our prior period financial information to reflect comparable financial information for the new segment structure.</w:t>
      </w:r>
    </w:p>
    <w:p>
      <w:pPr>
        <w:pStyle w:val="TextBody"/>
        <w:spacing w:lineRule="auto" w:line="288" w:before="0" w:after="0"/>
        <w:jc w:val="left"/>
        <w:rPr>
          <w:sz w:val="17"/>
        </w:rPr>
      </w:pPr>
      <w:r>
        <w:rPr>
          <w:rFonts w:ascii="inherit" w:hAnsi="inherit"/>
          <w:sz w:val="17"/>
        </w:rPr>
        <w:t xml:space="preserve">There are no inter-segment revenues, and the amounts below were determined in accordance with the same accounting principles used in our consolidated financial statements. The following tables present operating segment information for the three </w:t>
      </w:r>
      <w:r>
        <w:rPr>
          <w:rFonts w:ascii="Times New Roman" w:hAnsi="Times New Roman"/>
          <w:strike w:val="false"/>
          <w:dstrike w:val="false"/>
          <w:color w:val="000000"/>
          <w:sz w:val="17"/>
          <w:u w:val="none"/>
          <w:effect w:val="none"/>
        </w:rPr>
        <w:t>years ending</w:t>
      </w:r>
      <w:r>
        <w:rPr>
          <w:sz w:val="17"/>
        </w:rPr>
        <w:t xml:space="preserve"> </w:t>
      </w:r>
      <w:r>
        <w:rPr>
          <w:rFonts w:ascii="inherit" w:hAnsi="inherit"/>
          <w:sz w:val="17"/>
        </w:rPr>
        <w:t xml:space="preserve">ending </w:t>
      </w:r>
      <w:r>
        <w:rPr>
          <w:rFonts w:ascii="Times New Roman" w:hAnsi="Times New Roman"/>
          <w:strike w:val="false"/>
          <w:dstrike w:val="false"/>
          <w:color w:val="000000"/>
          <w:sz w:val="17"/>
          <w:u w:val="none"/>
          <w:effect w:val="none"/>
        </w:rPr>
        <w:t>September 30, 2012</w:t>
      </w:r>
      <w:r>
        <w:rPr>
          <w:rFonts w:ascii="inherit" w:hAnsi="inherit"/>
          <w:sz w:val="17"/>
        </w:rPr>
        <w:t xml:space="preserve">, </w:t>
      </w:r>
      <w:r>
        <w:rPr>
          <w:rFonts w:ascii="Times New Roman" w:hAnsi="Times New Roman"/>
          <w:strike w:val="false"/>
          <w:dstrike w:val="false"/>
          <w:color w:val="000000"/>
          <w:sz w:val="17"/>
          <w:u w:val="none"/>
          <w:effect w:val="none"/>
        </w:rPr>
        <w:t>2011</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2010</w:t>
      </w:r>
      <w:r>
        <w:rPr>
          <w:sz w:val="17"/>
        </w:rPr>
        <w:t xml:space="preserve"> </w:t>
      </w:r>
      <w:r>
        <w:rPr>
          <w:rFonts w:ascii="inherit" w:hAnsi="inherit"/>
          <w:sz w:val="17"/>
        </w:rPr>
        <w:t>including the reclassifications discussed in Note 1, “Organization and Summary of Significant Accounting Policies.”</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73</w:t>
      </w:r>
      <w:r>
        <w:br w:type="page"/>
      </w:r>
    </w:p>
    <w:p>
      <w:pPr>
        <w:pStyle w:val="TextBody"/>
        <w:spacing w:lineRule="auto" w:line="288" w:before="0" w:after="0"/>
        <w:rPr/>
      </w:pPr>
      <w:hyperlink w:anchor="s149FCBE28F3900CCBC1E0F13F39FAE0B">
        <w:bookmarkStart w:id="77" w:name="s2A214D09208BB66ACEF90F13B71ED68E1"/>
        <w:bookmarkEnd w:id="7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3456"/>
        <w:gridCol w:w="163"/>
        <w:gridCol w:w="1181"/>
        <w:gridCol w:w="150"/>
        <w:gridCol w:w="131"/>
        <w:gridCol w:w="163"/>
        <w:gridCol w:w="1085"/>
        <w:gridCol w:w="150"/>
        <w:gridCol w:w="131"/>
        <w:gridCol w:w="186"/>
        <w:gridCol w:w="1195"/>
        <w:gridCol w:w="172"/>
        <w:gridCol w:w="131"/>
        <w:gridCol w:w="163"/>
        <w:gridCol w:w="1181"/>
        <w:gridCol w:w="56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5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56" w:type="dxa"/>
            <w:tcBorders/>
            <w:shd w:fill="auto" w:val="clear"/>
            <w:vAlign w:val="center"/>
          </w:tcPr>
          <w:p>
            <w:pPr>
              <w:pStyle w:val="TableContents"/>
              <w:spacing w:before="0" w:after="0"/>
              <w:ind w:left="0" w:right="0" w:firstLine="30"/>
              <w:rPr/>
            </w:pPr>
            <w:r>
              <w:rPr/>
              <w:t> </w:t>
            </w:r>
          </w:p>
        </w:tc>
        <w:tc>
          <w:tcPr>
            <w:tcW w:w="6749"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 2012</w:t>
            </w:r>
          </w:p>
        </w:tc>
      </w:tr>
      <w:tr>
        <w:trPr/>
        <w:tc>
          <w:tcPr>
            <w:tcW w:w="3456" w:type="dxa"/>
            <w:tcBorders/>
            <w:shd w:fill="auto" w:val="clear"/>
            <w:vAlign w:val="center"/>
          </w:tcPr>
          <w:p>
            <w:pPr>
              <w:pStyle w:val="TableContents"/>
              <w:spacing w:before="0" w:after="0"/>
              <w:ind w:left="0" w:right="0" w:firstLine="30"/>
              <w:rPr/>
            </w:pPr>
            <w:r>
              <w:rPr/>
              <w:t> </w:t>
            </w:r>
          </w:p>
        </w:tc>
        <w:tc>
          <w:tcPr>
            <w:tcW w:w="149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1" w:type="dxa"/>
            <w:tcBorders/>
            <w:shd w:fill="auto" w:val="clear"/>
            <w:vAlign w:val="center"/>
          </w:tcPr>
          <w:p>
            <w:pPr>
              <w:pStyle w:val="TableContents"/>
              <w:spacing w:before="0" w:after="0"/>
              <w:ind w:left="0" w:right="0" w:firstLine="30"/>
              <w:rPr/>
            </w:pPr>
            <w:r>
              <w:rPr/>
              <w:t> </w:t>
            </w:r>
          </w:p>
        </w:tc>
        <w:tc>
          <w:tcPr>
            <w:tcW w:w="19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456" w:type="dxa"/>
            <w:tcBorders/>
            <w:shd w:fill="auto" w:val="clear"/>
            <w:vAlign w:val="center"/>
          </w:tcPr>
          <w:p>
            <w:pPr>
              <w:pStyle w:val="TableContents"/>
              <w:spacing w:before="0" w:after="0"/>
              <w:ind w:left="0" w:right="0" w:firstLine="30"/>
              <w:rPr/>
            </w:pPr>
            <w:r>
              <w:rPr/>
              <w:t> </w:t>
            </w:r>
          </w:p>
        </w:tc>
        <w:tc>
          <w:tcPr>
            <w:tcW w:w="6749"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911" w:type="dxa"/>
            <w:gridSpan w:val="3"/>
            <w:tcBorders/>
            <w:shd w:fill="auto" w:val="clear"/>
            <w:vAlign w:val="center"/>
          </w:tcPr>
          <w:p>
            <w:pPr>
              <w:pStyle w:val="TableContents"/>
              <w:spacing w:before="0" w:after="0"/>
              <w:ind w:left="0" w:right="0" w:firstLine="300"/>
              <w:rPr/>
            </w:pPr>
            <w:r>
              <w:rPr/>
              <w:t> </w:t>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CCEEFF" w:val="clear"/>
            <w:vAlign w:val="center"/>
          </w:tcPr>
          <w:p>
            <w:pPr>
              <w:pStyle w:val="TableContents"/>
              <w:spacing w:before="0" w:after="0"/>
              <w:jc w:val="right"/>
              <w:rPr>
                <w:rFonts w:ascii="inherit" w:hAnsi="inherit"/>
                <w:sz w:val="17"/>
              </w:rPr>
            </w:pPr>
            <w:r>
              <w:rPr>
                <w:rFonts w:ascii="inherit" w:hAnsi="inherit"/>
                <w:sz w:val="17"/>
              </w:rPr>
              <w:t>291,497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shd w:fill="CCEEFF" w:val="clear"/>
            <w:vAlign w:val="center"/>
          </w:tcPr>
          <w:p>
            <w:pPr>
              <w:pStyle w:val="TableContents"/>
              <w:spacing w:before="0" w:after="0"/>
              <w:jc w:val="right"/>
              <w:rPr>
                <w:rFonts w:ascii="inherit" w:hAnsi="inherit"/>
                <w:sz w:val="17"/>
              </w:rPr>
            </w:pPr>
            <w:r>
              <w:rPr>
                <w:rFonts w:ascii="inherit" w:hAnsi="inherit"/>
                <w:sz w:val="17"/>
              </w:rPr>
              <w:t>41,567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8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CCEEFF" w:val="clear"/>
            <w:vAlign w:val="center"/>
          </w:tcPr>
          <w:p>
            <w:pPr>
              <w:pStyle w:val="TableContents"/>
              <w:spacing w:before="0" w:after="0"/>
              <w:jc w:val="right"/>
              <w:rPr>
                <w:rFonts w:ascii="inherit" w:hAnsi="inherit"/>
                <w:sz w:val="17"/>
              </w:rPr>
            </w:pPr>
            <w:r>
              <w:rPr>
                <w:rFonts w:ascii="inherit" w:hAnsi="inherit"/>
                <w:sz w:val="17"/>
              </w:rPr>
              <w:t>333,064</w:t>
            </w:r>
          </w:p>
        </w:tc>
        <w:tc>
          <w:tcPr>
            <w:tcW w:w="56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191,905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10,576</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202,481</w:t>
            </w:r>
          </w:p>
        </w:tc>
        <w:tc>
          <w:tcPr>
            <w:tcW w:w="56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210,601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22,937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233,538</w:t>
            </w:r>
          </w:p>
        </w:tc>
        <w:tc>
          <w:tcPr>
            <w:tcW w:w="56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163,896</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26,901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9,884</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200,681</w:t>
            </w:r>
          </w:p>
        </w:tc>
        <w:tc>
          <w:tcPr>
            <w:tcW w:w="56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3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3,759</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1,292</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308</w:t>
            </w:r>
          </w:p>
        </w:tc>
        <w:tc>
          <w:tcPr>
            <w:tcW w:w="1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5,359</w:t>
            </w:r>
          </w:p>
        </w:tc>
        <w:tc>
          <w:tcPr>
            <w:tcW w:w="567"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861,658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103,273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10,192</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975,123</w:t>
            </w:r>
          </w:p>
        </w:tc>
        <w:tc>
          <w:tcPr>
            <w:tcW w:w="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168,133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22,504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190,637</w:t>
            </w:r>
          </w:p>
        </w:tc>
        <w:tc>
          <w:tcPr>
            <w:tcW w:w="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122,604</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8,111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130,715</w:t>
            </w:r>
          </w:p>
        </w:tc>
        <w:tc>
          <w:tcPr>
            <w:tcW w:w="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 bad debt</w:t>
            </w:r>
          </w:p>
        </w:tc>
        <w:tc>
          <w:tcPr>
            <w:tcW w:w="13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35,398</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309</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3,663</w:t>
            </w:r>
          </w:p>
        </w:tc>
        <w:tc>
          <w:tcPr>
            <w:tcW w:w="1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39,370</w:t>
            </w:r>
          </w:p>
        </w:tc>
        <w:tc>
          <w:tcPr>
            <w:tcW w:w="567"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535,523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72,349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6,529</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614,401</w:t>
            </w:r>
          </w:p>
        </w:tc>
        <w:tc>
          <w:tcPr>
            <w:tcW w:w="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items:</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911" w:type="dxa"/>
            <w:gridSpan w:val="3"/>
            <w:tcBorders/>
            <w:shd w:fill="CCEEFF" w:val="clear"/>
            <w:vAlign w:val="center"/>
          </w:tcPr>
          <w:p>
            <w:pPr>
              <w:pStyle w:val="TableContents"/>
              <w:spacing w:before="0" w:after="0"/>
              <w:ind w:left="0" w:right="0" w:firstLine="300"/>
              <w:rPr/>
            </w:pPr>
            <w:r>
              <w:rPr/>
              <w:t> </w:t>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292,371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37,259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6,718</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336,348</w:t>
            </w:r>
          </w:p>
        </w:tc>
        <w:tc>
          <w:tcPr>
            <w:tcW w:w="56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13,058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3,319</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16,554</w:t>
            </w:r>
          </w:p>
        </w:tc>
        <w:tc>
          <w:tcPr>
            <w:tcW w:w="56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1,937</w:t>
            </w:r>
          </w:p>
        </w:tc>
        <w:tc>
          <w:tcPr>
            <w:tcW w:w="56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56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net</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(4,507</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(4,511</w:t>
            </w:r>
          </w:p>
        </w:tc>
        <w:tc>
          <w:tcPr>
            <w:tcW w:w="56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344"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(17,400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(17,400</w:t>
            </w:r>
          </w:p>
        </w:tc>
        <w:tc>
          <w:tcPr>
            <w:tcW w:w="56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34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(647</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(559</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(1,211</w:t>
            </w:r>
          </w:p>
        </w:tc>
        <w:tc>
          <w:tcPr>
            <w:tcW w:w="5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CCEEFF" w:val="clear"/>
            <w:vAlign w:val="center"/>
          </w:tcPr>
          <w:p>
            <w:pPr>
              <w:pStyle w:val="TableContents"/>
              <w:spacing w:before="0" w:after="0"/>
              <w:jc w:val="right"/>
              <w:rPr>
                <w:rFonts w:ascii="inherit" w:hAnsi="inherit"/>
                <w:sz w:val="17"/>
              </w:rPr>
            </w:pPr>
            <w:r>
              <w:rPr>
                <w:rFonts w:ascii="inherit" w:hAnsi="inherit"/>
                <w:sz w:val="17"/>
              </w:rPr>
              <w:t>230,484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shd w:fill="CCEEFF" w:val="clear"/>
            <w:vAlign w:val="center"/>
          </w:tcPr>
          <w:p>
            <w:pPr>
              <w:pStyle w:val="TableContents"/>
              <w:spacing w:before="0" w:after="0"/>
              <w:jc w:val="right"/>
              <w:rPr>
                <w:rFonts w:ascii="inherit" w:hAnsi="inherit"/>
                <w:sz w:val="17"/>
              </w:rPr>
            </w:pPr>
            <w:r>
              <w:rPr>
                <w:rFonts w:ascii="inherit" w:hAnsi="inherit"/>
                <w:sz w:val="17"/>
              </w:rPr>
              <w:t>34,901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8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CCEEFF" w:val="clear"/>
            <w:vAlign w:val="center"/>
          </w:tcPr>
          <w:p>
            <w:pPr>
              <w:pStyle w:val="TableContents"/>
              <w:spacing w:before="0" w:after="0"/>
              <w:jc w:val="right"/>
              <w:rPr>
                <w:rFonts w:ascii="inherit" w:hAnsi="inherit"/>
                <w:sz w:val="17"/>
              </w:rPr>
            </w:pPr>
            <w:r>
              <w:rPr>
                <w:rFonts w:ascii="inherit" w:hAnsi="inherit"/>
                <w:sz w:val="17"/>
              </w:rPr>
              <w:t>17,325</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CCEEFF" w:val="clear"/>
            <w:vAlign w:val="center"/>
          </w:tcPr>
          <w:p>
            <w:pPr>
              <w:pStyle w:val="TableContents"/>
              <w:spacing w:before="0" w:after="0"/>
              <w:jc w:val="right"/>
              <w:rPr>
                <w:rFonts w:ascii="inherit" w:hAnsi="inherit"/>
                <w:sz w:val="17"/>
              </w:rPr>
            </w:pPr>
            <w:r>
              <w:rPr>
                <w:rFonts w:ascii="inherit" w:hAnsi="inherit"/>
                <w:sz w:val="17"/>
              </w:rPr>
              <w:t>282,710</w:t>
            </w:r>
          </w:p>
        </w:tc>
        <w:tc>
          <w:tcPr>
            <w:tcW w:w="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Corporate expenses:</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911" w:type="dxa"/>
            <w:gridSpan w:val="3"/>
            <w:tcBorders/>
            <w:shd w:fill="auto" w:val="clear"/>
            <w:vAlign w:val="center"/>
          </w:tcPr>
          <w:p>
            <w:pPr>
              <w:pStyle w:val="TableContents"/>
              <w:spacing w:before="0" w:after="0"/>
              <w:ind w:left="0" w:right="0" w:firstLine="300"/>
              <w:rPr/>
            </w:pPr>
            <w:r>
              <w:rPr/>
              <w:t> </w:t>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47,912</w:t>
            </w:r>
          </w:p>
        </w:tc>
        <w:tc>
          <w:tcPr>
            <w:tcW w:w="56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5,457</w:t>
            </w:r>
          </w:p>
        </w:tc>
        <w:tc>
          <w:tcPr>
            <w:tcW w:w="56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56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56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2,961</w:t>
            </w:r>
          </w:p>
        </w:tc>
        <w:tc>
          <w:tcPr>
            <w:tcW w:w="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226,362</w:t>
            </w:r>
          </w:p>
        </w:tc>
        <w:tc>
          <w:tcPr>
            <w:tcW w:w="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5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155,110</w:t>
            </w:r>
          </w:p>
        </w:tc>
        <w:tc>
          <w:tcPr>
            <w:tcW w:w="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56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150,577</w:t>
            </w:r>
          </w:p>
        </w:tc>
        <w:tc>
          <w:tcPr>
            <w:tcW w:w="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redeemable noncontrolling interest</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6,869</w:t>
            </w:r>
          </w:p>
        </w:tc>
        <w:tc>
          <w:tcPr>
            <w:tcW w:w="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attributable to EZCORP, Inc. </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56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74</w:t>
      </w:r>
      <w:r>
        <w:br w:type="page"/>
      </w:r>
    </w:p>
    <w:p>
      <w:pPr>
        <w:pStyle w:val="TextBody"/>
        <w:spacing w:lineRule="auto" w:line="288" w:before="0" w:after="0"/>
        <w:rPr/>
      </w:pPr>
      <w:hyperlink w:anchor="s149FCBE28F3900CCBC1E0F13F39FAE0B">
        <w:bookmarkStart w:id="78" w:name="s2A214D09208BB66ACEF90F13B71ED68E2"/>
        <w:bookmarkEnd w:id="78"/>
        <w:r>
          <w:rPr>
            <w:rStyle w:val="InternetLink"/>
            <w:rFonts w:ascii="inherit" w:hAnsi="inherit"/>
            <w:color w:val="0000FF"/>
            <w:sz w:val="17"/>
            <w:u w:val="single"/>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491"/>
        <w:gridCol w:w="164"/>
        <w:gridCol w:w="1189"/>
        <w:gridCol w:w="150"/>
        <w:gridCol w:w="132"/>
        <w:gridCol w:w="164"/>
        <w:gridCol w:w="1093"/>
        <w:gridCol w:w="77"/>
        <w:gridCol w:w="132"/>
        <w:gridCol w:w="187"/>
        <w:gridCol w:w="1203"/>
        <w:gridCol w:w="172"/>
        <w:gridCol w:w="132"/>
        <w:gridCol w:w="164"/>
        <w:gridCol w:w="1189"/>
        <w:gridCol w:w="56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9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91" w:type="dxa"/>
            <w:tcBorders/>
            <w:shd w:fill="auto" w:val="clear"/>
            <w:vAlign w:val="center"/>
          </w:tcPr>
          <w:p>
            <w:pPr>
              <w:pStyle w:val="TableContents"/>
              <w:spacing w:before="0" w:after="0"/>
              <w:ind w:left="0" w:right="0" w:firstLine="30"/>
              <w:rPr/>
            </w:pPr>
            <w:r>
              <w:rPr/>
              <w:t> </w:t>
            </w:r>
          </w:p>
        </w:tc>
        <w:tc>
          <w:tcPr>
            <w:tcW w:w="671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 2011</w:t>
            </w:r>
          </w:p>
        </w:tc>
      </w:tr>
      <w:tr>
        <w:trPr/>
        <w:tc>
          <w:tcPr>
            <w:tcW w:w="3491" w:type="dxa"/>
            <w:tcBorders/>
            <w:shd w:fill="auto" w:val="clear"/>
            <w:vAlign w:val="center"/>
          </w:tcPr>
          <w:p>
            <w:pPr>
              <w:pStyle w:val="TableContents"/>
              <w:spacing w:before="0" w:after="0"/>
              <w:ind w:left="0" w:right="0" w:firstLine="30"/>
              <w:rPr/>
            </w:pPr>
            <w:r>
              <w:rPr/>
              <w:t> </w:t>
            </w:r>
          </w:p>
        </w:tc>
        <w:tc>
          <w:tcPr>
            <w:tcW w:w="15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2" w:type="dxa"/>
            <w:tcBorders/>
            <w:shd w:fill="auto" w:val="clear"/>
            <w:vAlign w:val="center"/>
          </w:tcPr>
          <w:p>
            <w:pPr>
              <w:pStyle w:val="TableContents"/>
              <w:spacing w:before="0" w:after="0"/>
              <w:ind w:left="0" w:right="0" w:firstLine="30"/>
              <w:rPr/>
            </w:pPr>
            <w:r>
              <w:rPr/>
              <w:t> </w:t>
            </w:r>
          </w:p>
        </w:tc>
        <w:tc>
          <w:tcPr>
            <w:tcW w:w="13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2" w:type="dxa"/>
            <w:tcBorders/>
            <w:shd w:fill="auto" w:val="clear"/>
            <w:vAlign w:val="center"/>
          </w:tcPr>
          <w:p>
            <w:pPr>
              <w:pStyle w:val="TableContents"/>
              <w:spacing w:before="0" w:after="0"/>
              <w:ind w:left="0" w:right="0" w:firstLine="30"/>
              <w:rPr/>
            </w:pPr>
            <w:r>
              <w:rPr/>
              <w:t> </w:t>
            </w:r>
          </w:p>
        </w:tc>
        <w:tc>
          <w:tcPr>
            <w:tcW w:w="19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491" w:type="dxa"/>
            <w:tcBorders/>
            <w:shd w:fill="auto" w:val="clear"/>
            <w:vAlign w:val="center"/>
          </w:tcPr>
          <w:p>
            <w:pPr>
              <w:pStyle w:val="TableContents"/>
              <w:spacing w:before="0" w:after="0"/>
              <w:ind w:left="0" w:right="0" w:firstLine="30"/>
              <w:rPr/>
            </w:pPr>
            <w:r>
              <w:rPr/>
              <w:t> </w:t>
            </w:r>
          </w:p>
        </w:tc>
        <w:tc>
          <w:tcPr>
            <w:tcW w:w="671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503"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919" w:type="dxa"/>
            <w:gridSpan w:val="3"/>
            <w:tcBorders/>
            <w:shd w:fill="auto" w:val="clear"/>
            <w:vAlign w:val="center"/>
          </w:tcPr>
          <w:p>
            <w:pPr>
              <w:pStyle w:val="TableContents"/>
              <w:spacing w:before="0" w:after="0"/>
              <w:ind w:left="0" w:right="0" w:firstLine="300"/>
              <w:rPr/>
            </w:pPr>
            <w:r>
              <w:rPr/>
              <w:t> </w:t>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shd w:fill="CCEEFF" w:val="clear"/>
            <w:vAlign w:val="center"/>
          </w:tcPr>
          <w:p>
            <w:pPr>
              <w:pStyle w:val="TableContents"/>
              <w:spacing w:before="0" w:after="0"/>
              <w:jc w:val="right"/>
              <w:rPr>
                <w:rFonts w:ascii="inherit" w:hAnsi="inherit"/>
                <w:sz w:val="17"/>
              </w:rPr>
            </w:pPr>
            <w:r>
              <w:rPr>
                <w:rFonts w:ascii="inherit" w:hAnsi="inherit"/>
                <w:sz w:val="17"/>
              </w:rPr>
              <w:t>256,694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shd w:fill="CCEEFF" w:val="clear"/>
            <w:vAlign w:val="center"/>
          </w:tcPr>
          <w:p>
            <w:pPr>
              <w:pStyle w:val="TableContents"/>
              <w:spacing w:before="0" w:after="0"/>
              <w:jc w:val="right"/>
              <w:rPr>
                <w:rFonts w:ascii="inherit" w:hAnsi="inherit"/>
                <w:sz w:val="17"/>
              </w:rPr>
            </w:pPr>
            <w:r>
              <w:rPr>
                <w:rFonts w:ascii="inherit" w:hAnsi="inherit"/>
                <w:sz w:val="17"/>
              </w:rPr>
              <w:t>25,022</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3" w:type="dxa"/>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shd w:fill="CCEEFF" w:val="clear"/>
            <w:vAlign w:val="center"/>
          </w:tcPr>
          <w:p>
            <w:pPr>
              <w:pStyle w:val="TableContents"/>
              <w:spacing w:before="0" w:after="0"/>
              <w:jc w:val="right"/>
              <w:rPr>
                <w:rFonts w:ascii="inherit" w:hAnsi="inherit"/>
                <w:sz w:val="17"/>
              </w:rPr>
            </w:pPr>
            <w:r>
              <w:rPr>
                <w:rFonts w:ascii="inherit" w:hAnsi="inherit"/>
                <w:sz w:val="17"/>
              </w:rPr>
              <w:t>281,716</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195,920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8,938</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204,858</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184,204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15,542</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199,746</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164,895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pPr>
            <w:r>
              <w:rPr/>
              <w:t>—</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164,895</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1,484</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w:t>
            </w:r>
          </w:p>
        </w:tc>
        <w:tc>
          <w:tcPr>
            <w:tcW w:w="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1,583</w:t>
            </w:r>
          </w:p>
        </w:tc>
        <w:tc>
          <w:tcPr>
            <w:tcW w:w="566"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803,197</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49,601</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852,798</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147,297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14,537</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161,834</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121,051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6,819</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127,870</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 bad debt</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36,791</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36,791</w:t>
            </w:r>
          </w:p>
        </w:tc>
        <w:tc>
          <w:tcPr>
            <w:tcW w:w="566"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498,058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28,245</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526,303</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items:</w:t>
            </w:r>
          </w:p>
        </w:tc>
        <w:tc>
          <w:tcPr>
            <w:tcW w:w="1503"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919" w:type="dxa"/>
            <w:gridSpan w:val="3"/>
            <w:tcBorders/>
            <w:shd w:fill="CCEEFF" w:val="clear"/>
            <w:vAlign w:val="center"/>
          </w:tcPr>
          <w:p>
            <w:pPr>
              <w:pStyle w:val="TableContents"/>
              <w:spacing w:before="0" w:after="0"/>
              <w:ind w:left="0" w:right="0" w:firstLine="300"/>
              <w:rPr/>
            </w:pPr>
            <w:r>
              <w:rPr/>
              <w:t> </w:t>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260,340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21,260</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795</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282,395</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10,858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2,066</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12,924</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452</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834</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293</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353"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pPr>
            <w:r>
              <w:rPr/>
              <w:t>—</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(16,237</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(16,237</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3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(164</w:t>
            </w:r>
          </w:p>
        </w:tc>
        <w:tc>
          <w:tcPr>
            <w:tcW w:w="5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shd w:fill="CCEEFF" w:val="clear"/>
            <w:vAlign w:val="center"/>
          </w:tcPr>
          <w:p>
            <w:pPr>
              <w:pStyle w:val="TableContents"/>
              <w:spacing w:before="0" w:after="0"/>
              <w:jc w:val="right"/>
              <w:rPr>
                <w:rFonts w:ascii="inherit" w:hAnsi="inherit"/>
                <w:sz w:val="17"/>
              </w:rPr>
            </w:pPr>
            <w:r>
              <w:rPr>
                <w:rFonts w:ascii="inherit" w:hAnsi="inherit"/>
                <w:sz w:val="17"/>
              </w:rPr>
              <w:t>226,100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shd w:fill="CCEEFF" w:val="clear"/>
            <w:vAlign w:val="center"/>
          </w:tcPr>
          <w:p>
            <w:pPr>
              <w:pStyle w:val="TableContents"/>
              <w:spacing w:before="0" w:after="0"/>
              <w:jc w:val="right"/>
              <w:rPr>
                <w:rFonts w:ascii="inherit" w:hAnsi="inherit"/>
                <w:sz w:val="17"/>
              </w:rPr>
            </w:pPr>
            <w:r>
              <w:rPr>
                <w:rFonts w:ascii="inherit" w:hAnsi="inherit"/>
                <w:sz w:val="17"/>
              </w:rPr>
              <w:t>4,514</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3" w:type="dxa"/>
            <w:tcBorders/>
            <w:shd w:fill="CCEEFF" w:val="clear"/>
            <w:vAlign w:val="center"/>
          </w:tcPr>
          <w:p>
            <w:pPr>
              <w:pStyle w:val="TableContents"/>
              <w:spacing w:before="0" w:after="0"/>
              <w:jc w:val="right"/>
              <w:rPr>
                <w:rFonts w:ascii="inherit" w:hAnsi="inherit"/>
                <w:sz w:val="17"/>
              </w:rPr>
            </w:pPr>
            <w:r>
              <w:rPr>
                <w:rFonts w:ascii="inherit" w:hAnsi="inherit"/>
                <w:sz w:val="17"/>
              </w:rPr>
              <w:t>15,610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shd w:fill="CCEEFF" w:val="clear"/>
            <w:vAlign w:val="center"/>
          </w:tcPr>
          <w:p>
            <w:pPr>
              <w:pStyle w:val="TableContents"/>
              <w:spacing w:before="0" w:after="0"/>
              <w:jc w:val="right"/>
              <w:rPr>
                <w:rFonts w:ascii="inherit" w:hAnsi="inherit"/>
                <w:sz w:val="17"/>
              </w:rPr>
            </w:pPr>
            <w:r>
              <w:rPr>
                <w:rFonts w:ascii="inherit" w:hAnsi="inherit"/>
                <w:sz w:val="17"/>
              </w:rPr>
              <w:t>246,224</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Corporate expenses:</w:t>
            </w:r>
          </w:p>
        </w:tc>
        <w:tc>
          <w:tcPr>
            <w:tcW w:w="1503"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919" w:type="dxa"/>
            <w:gridSpan w:val="3"/>
            <w:tcBorders/>
            <w:shd w:fill="auto" w:val="clear"/>
            <w:vAlign w:val="center"/>
          </w:tcPr>
          <w:p>
            <w:pPr>
              <w:pStyle w:val="TableContents"/>
              <w:spacing w:before="0" w:after="0"/>
              <w:ind w:left="0" w:right="0" w:firstLine="300"/>
              <w:rPr/>
            </w:pPr>
            <w:r>
              <w:rPr/>
              <w:t> </w:t>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503"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50,584</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03"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3,832</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503"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1,619</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503"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190,189</w:t>
            </w:r>
          </w:p>
        </w:tc>
        <w:tc>
          <w:tcPr>
            <w:tcW w:w="56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503"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5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503"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123,717</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503"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56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503"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122,159</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redeemable noncontrolling interest</w:t>
            </w:r>
          </w:p>
        </w:tc>
        <w:tc>
          <w:tcPr>
            <w:tcW w:w="1503"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pPr>
            <w:r>
              <w:rPr/>
              <w:t>—</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attributable to EZCORP, Inc. </w:t>
            </w:r>
          </w:p>
        </w:tc>
        <w:tc>
          <w:tcPr>
            <w:tcW w:w="1503"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5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75</w:t>
      </w:r>
      <w:r>
        <w:br w:type="page"/>
      </w:r>
    </w:p>
    <w:p>
      <w:pPr>
        <w:pStyle w:val="TextBody"/>
        <w:spacing w:lineRule="auto" w:line="288" w:before="0" w:after="0"/>
        <w:rPr/>
      </w:pPr>
      <w:hyperlink w:anchor="s149FCBE28F3900CCBC1E0F13F39FAE0B">
        <w:bookmarkStart w:id="79" w:name="s2A214D09208BB66ACEF90F13B71ED68E3"/>
        <w:bookmarkEnd w:id="79"/>
        <w:r>
          <w:rPr>
            <w:rStyle w:val="InternetLink"/>
            <w:rFonts w:ascii="inherit" w:hAnsi="inherit"/>
            <w:color w:val="0000FF"/>
            <w:sz w:val="17"/>
            <w:u w:val="single"/>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491"/>
        <w:gridCol w:w="164"/>
        <w:gridCol w:w="1189"/>
        <w:gridCol w:w="77"/>
        <w:gridCol w:w="132"/>
        <w:gridCol w:w="164"/>
        <w:gridCol w:w="1093"/>
        <w:gridCol w:w="150"/>
        <w:gridCol w:w="132"/>
        <w:gridCol w:w="187"/>
        <w:gridCol w:w="1203"/>
        <w:gridCol w:w="172"/>
        <w:gridCol w:w="132"/>
        <w:gridCol w:w="164"/>
        <w:gridCol w:w="1189"/>
        <w:gridCol w:w="56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9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91" w:type="dxa"/>
            <w:tcBorders/>
            <w:shd w:fill="auto" w:val="clear"/>
            <w:vAlign w:val="center"/>
          </w:tcPr>
          <w:p>
            <w:pPr>
              <w:pStyle w:val="TableContents"/>
              <w:spacing w:before="0" w:after="0"/>
              <w:ind w:left="0" w:right="0" w:firstLine="30"/>
              <w:rPr/>
            </w:pPr>
            <w:r>
              <w:rPr/>
              <w:t> </w:t>
            </w:r>
          </w:p>
        </w:tc>
        <w:tc>
          <w:tcPr>
            <w:tcW w:w="671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 2010</w:t>
            </w:r>
          </w:p>
        </w:tc>
      </w:tr>
      <w:tr>
        <w:trPr/>
        <w:tc>
          <w:tcPr>
            <w:tcW w:w="3491" w:type="dxa"/>
            <w:tcBorders/>
            <w:shd w:fill="auto" w:val="clear"/>
            <w:vAlign w:val="center"/>
          </w:tcPr>
          <w:p>
            <w:pPr>
              <w:pStyle w:val="TableContents"/>
              <w:spacing w:before="0" w:after="0"/>
              <w:ind w:left="0" w:right="0" w:firstLine="30"/>
              <w:rPr/>
            </w:pPr>
            <w:r>
              <w:rPr/>
              <w:t> </w:t>
            </w:r>
          </w:p>
        </w:tc>
        <w:tc>
          <w:tcPr>
            <w:tcW w:w="14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2" w:type="dxa"/>
            <w:tcBorders/>
            <w:shd w:fill="auto" w:val="clear"/>
            <w:vAlign w:val="center"/>
          </w:tcPr>
          <w:p>
            <w:pPr>
              <w:pStyle w:val="TableContents"/>
              <w:spacing w:before="0" w:after="0"/>
              <w:ind w:left="0" w:right="0" w:firstLine="30"/>
              <w:rPr/>
            </w:pPr>
            <w:r>
              <w:rPr/>
              <w:t> </w:t>
            </w:r>
          </w:p>
        </w:tc>
        <w:tc>
          <w:tcPr>
            <w:tcW w:w="14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2" w:type="dxa"/>
            <w:tcBorders/>
            <w:shd w:fill="auto" w:val="clear"/>
            <w:vAlign w:val="center"/>
          </w:tcPr>
          <w:p>
            <w:pPr>
              <w:pStyle w:val="TableContents"/>
              <w:spacing w:before="0" w:after="0"/>
              <w:ind w:left="0" w:right="0" w:firstLine="30"/>
              <w:rPr/>
            </w:pPr>
            <w:r>
              <w:rPr/>
              <w:t> </w:t>
            </w:r>
          </w:p>
        </w:tc>
        <w:tc>
          <w:tcPr>
            <w:tcW w:w="19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491" w:type="dxa"/>
            <w:tcBorders/>
            <w:shd w:fill="auto" w:val="clear"/>
            <w:vAlign w:val="center"/>
          </w:tcPr>
          <w:p>
            <w:pPr>
              <w:pStyle w:val="TableContents"/>
              <w:spacing w:before="0" w:after="0"/>
              <w:ind w:left="0" w:right="0" w:firstLine="30"/>
              <w:rPr/>
            </w:pPr>
            <w:r>
              <w:rPr/>
              <w:t> </w:t>
            </w:r>
          </w:p>
        </w:tc>
        <w:tc>
          <w:tcPr>
            <w:tcW w:w="671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3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919" w:type="dxa"/>
            <w:gridSpan w:val="3"/>
            <w:tcBorders/>
            <w:shd w:fill="auto" w:val="clear"/>
            <w:vAlign w:val="center"/>
          </w:tcPr>
          <w:p>
            <w:pPr>
              <w:pStyle w:val="TableContents"/>
              <w:spacing w:before="0" w:after="0"/>
              <w:ind w:left="0" w:right="0" w:firstLine="300"/>
              <w:rPr/>
            </w:pPr>
            <w:r>
              <w:rPr/>
              <w:t> </w:t>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shd w:fill="CCEEFF" w:val="clear"/>
            <w:vAlign w:val="center"/>
          </w:tcPr>
          <w:p>
            <w:pPr>
              <w:pStyle w:val="TableContents"/>
              <w:spacing w:before="0" w:after="0"/>
              <w:jc w:val="right"/>
              <w:rPr>
                <w:rFonts w:ascii="inherit" w:hAnsi="inherit"/>
                <w:sz w:val="17"/>
              </w:rPr>
            </w:pPr>
            <w:r>
              <w:rPr>
                <w:rFonts w:ascii="inherit" w:hAnsi="inherit"/>
                <w:sz w:val="17"/>
              </w:rPr>
              <w:t>226,404</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shd w:fill="CCEEFF" w:val="clear"/>
            <w:vAlign w:val="center"/>
          </w:tcPr>
          <w:p>
            <w:pPr>
              <w:pStyle w:val="TableContents"/>
              <w:spacing w:before="0" w:after="0"/>
              <w:jc w:val="right"/>
              <w:rPr>
                <w:rFonts w:ascii="inherit" w:hAnsi="inherit"/>
                <w:sz w:val="17"/>
              </w:rPr>
            </w:pPr>
            <w:r>
              <w:rPr>
                <w:rFonts w:ascii="inherit" w:hAnsi="inherit"/>
                <w:sz w:val="17"/>
              </w:rPr>
              <w:t>13,937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3" w:type="dxa"/>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shd w:fill="CCEEFF" w:val="clear"/>
            <w:vAlign w:val="center"/>
          </w:tcPr>
          <w:p>
            <w:pPr>
              <w:pStyle w:val="TableContents"/>
              <w:spacing w:before="0" w:after="0"/>
              <w:jc w:val="right"/>
              <w:rPr>
                <w:rFonts w:ascii="inherit" w:hAnsi="inherit"/>
                <w:sz w:val="17"/>
              </w:rPr>
            </w:pPr>
            <w:r>
              <w:rPr>
                <w:rFonts w:ascii="inherit" w:hAnsi="inherit"/>
                <w:sz w:val="17"/>
              </w:rPr>
              <w:t>240,341</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163,938</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168,926</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154,501</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8,778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163,279</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152,163</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152,163</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459</w:t>
            </w:r>
          </w:p>
        </w:tc>
        <w:tc>
          <w:tcPr>
            <w:tcW w:w="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459</w:t>
            </w:r>
          </w:p>
        </w:tc>
        <w:tc>
          <w:tcPr>
            <w:tcW w:w="566"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697,465</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27,703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725,168</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131,808</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8,320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140,128</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104,658</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4,158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108,816</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 bad debt</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32,969</w:t>
            </w:r>
          </w:p>
        </w:tc>
        <w:tc>
          <w:tcPr>
            <w:tcW w:w="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32,969</w:t>
            </w:r>
          </w:p>
        </w:tc>
        <w:tc>
          <w:tcPr>
            <w:tcW w:w="566"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428,030</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15,225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443,255</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items:</w:t>
            </w:r>
          </w:p>
        </w:tc>
        <w:tc>
          <w:tcPr>
            <w:tcW w:w="143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0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919" w:type="dxa"/>
            <w:gridSpan w:val="3"/>
            <w:tcBorders/>
            <w:shd w:fill="CCEEFF" w:val="clear"/>
            <w:vAlign w:val="center"/>
          </w:tcPr>
          <w:p>
            <w:pPr>
              <w:pStyle w:val="TableContents"/>
              <w:spacing w:before="0" w:after="0"/>
              <w:ind w:left="0" w:right="0" w:firstLine="300"/>
              <w:rPr/>
            </w:pPr>
            <w:r>
              <w:rPr/>
              <w:t> </w:t>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238,309</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12,547</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250,925</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9,271</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10,548</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275</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347</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622</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1,545</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1,543</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353" w:type="dxa"/>
            <w:gridSpan w:val="2"/>
            <w:tcBorders/>
            <w:shd w:fill="auto" w:val="clear"/>
            <w:vAlign w:val="center"/>
          </w:tcPr>
          <w:p>
            <w:pPr>
              <w:pStyle w:val="TableContents"/>
              <w:spacing w:before="0" w:after="0"/>
              <w:jc w:val="right"/>
              <w:rPr/>
            </w:pPr>
            <w:r>
              <w:rPr/>
              <w:t>—</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353" w:type="dxa"/>
            <w:gridSpan w:val="2"/>
            <w:tcBorders/>
            <w:shd w:fill="CCEEFF" w:val="clear"/>
            <w:vAlign w:val="center"/>
          </w:tcPr>
          <w:p>
            <w:pPr>
              <w:pStyle w:val="TableContents"/>
              <w:spacing w:before="0" w:after="0"/>
              <w:jc w:val="right"/>
              <w:rPr/>
            </w:pPr>
            <w:r>
              <w:rPr/>
              <w:t>—</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(10,750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(10,750</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 (income)</w:t>
            </w:r>
          </w:p>
        </w:tc>
        <w:tc>
          <w:tcPr>
            <w:tcW w:w="13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w:t>
            </w:r>
          </w:p>
        </w:tc>
        <w:tc>
          <w:tcPr>
            <w:tcW w:w="5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shd w:fill="CCEEFF" w:val="clear"/>
            <w:vAlign w:val="center"/>
          </w:tcPr>
          <w:p>
            <w:pPr>
              <w:pStyle w:val="TableContents"/>
              <w:spacing w:before="0" w:after="0"/>
              <w:jc w:val="right"/>
              <w:rPr>
                <w:rFonts w:ascii="inherit" w:hAnsi="inherit"/>
                <w:sz w:val="17"/>
              </w:rPr>
            </w:pPr>
            <w:r>
              <w:rPr>
                <w:rFonts w:ascii="inherit" w:hAnsi="inherit"/>
                <w:sz w:val="17"/>
              </w:rPr>
              <w:t>178,627</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shd w:fill="CCEEFF" w:val="clear"/>
            <w:vAlign w:val="center"/>
          </w:tcPr>
          <w:p>
            <w:pPr>
              <w:pStyle w:val="TableContents"/>
              <w:spacing w:before="0" w:after="0"/>
              <w:jc w:val="right"/>
              <w:rPr>
                <w:rFonts w:ascii="inherit" w:hAnsi="inherit"/>
                <w:sz w:val="17"/>
              </w:rPr>
            </w:pPr>
            <w:r>
              <w:rPr>
                <w:rFonts w:ascii="inherit" w:hAnsi="inherit"/>
                <w:sz w:val="17"/>
              </w:rPr>
              <w:t>1,057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3" w:type="dxa"/>
            <w:tcBorders/>
            <w:shd w:fill="CCEEFF" w:val="clear"/>
            <w:vAlign w:val="center"/>
          </w:tcPr>
          <w:p>
            <w:pPr>
              <w:pStyle w:val="TableContents"/>
              <w:spacing w:before="0" w:after="0"/>
              <w:jc w:val="right"/>
              <w:rPr>
                <w:rFonts w:ascii="inherit" w:hAnsi="inherit"/>
                <w:sz w:val="17"/>
              </w:rPr>
            </w:pPr>
            <w:r>
              <w:rPr>
                <w:rFonts w:ascii="inherit" w:hAnsi="inherit"/>
                <w:sz w:val="17"/>
              </w:rPr>
              <w:t>10,774</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shd w:fill="CCEEFF" w:val="clear"/>
            <w:vAlign w:val="center"/>
          </w:tcPr>
          <w:p>
            <w:pPr>
              <w:pStyle w:val="TableContents"/>
              <w:spacing w:before="0" w:after="0"/>
              <w:jc w:val="right"/>
              <w:rPr>
                <w:rFonts w:ascii="inherit" w:hAnsi="inherit"/>
                <w:sz w:val="17"/>
              </w:rPr>
            </w:pPr>
            <w:r>
              <w:rPr>
                <w:rFonts w:ascii="inherit" w:hAnsi="inherit"/>
                <w:sz w:val="17"/>
              </w:rPr>
              <w:t>190,458</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Corporate expenses:</w:t>
            </w:r>
          </w:p>
        </w:tc>
        <w:tc>
          <w:tcPr>
            <w:tcW w:w="143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919" w:type="dxa"/>
            <w:gridSpan w:val="3"/>
            <w:tcBorders/>
            <w:shd w:fill="auto" w:val="clear"/>
            <w:vAlign w:val="center"/>
          </w:tcPr>
          <w:p>
            <w:pPr>
              <w:pStyle w:val="TableContents"/>
              <w:spacing w:before="0" w:after="0"/>
              <w:ind w:left="0" w:right="0" w:firstLine="300"/>
              <w:rPr/>
            </w:pPr>
            <w:r>
              <w:rPr/>
              <w:t> </w:t>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3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0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33,358</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3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3,134</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43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0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3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1,197</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43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0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152,785</w:t>
            </w:r>
          </w:p>
        </w:tc>
        <w:tc>
          <w:tcPr>
            <w:tcW w:w="5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43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54,142</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43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0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98,643</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43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(1,349</w:t>
            </w:r>
          </w:p>
        </w:tc>
        <w:tc>
          <w:tcPr>
            <w:tcW w:w="5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3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0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97,294</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redeemable noncontrolling interest</w:t>
            </w:r>
          </w:p>
        </w:tc>
        <w:tc>
          <w:tcPr>
            <w:tcW w:w="143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0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6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53" w:type="dxa"/>
            <w:gridSpan w:val="2"/>
            <w:tcBorders/>
            <w:shd w:fill="auto" w:val="clear"/>
            <w:vAlign w:val="center"/>
          </w:tcPr>
          <w:p>
            <w:pPr>
              <w:pStyle w:val="TableContents"/>
              <w:spacing w:before="0" w:after="0"/>
              <w:jc w:val="right"/>
              <w:rPr/>
            </w:pPr>
            <w:r>
              <w:rPr/>
              <w:t>—</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attributable to EZCORP, Inc. </w:t>
            </w:r>
          </w:p>
        </w:tc>
        <w:tc>
          <w:tcPr>
            <w:tcW w:w="143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0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6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56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76</w:t>
      </w:r>
      <w:r>
        <w:br w:type="page"/>
      </w:r>
    </w:p>
    <w:p>
      <w:pPr>
        <w:pStyle w:val="TextBody"/>
        <w:spacing w:lineRule="auto" w:line="288" w:before="0" w:after="0"/>
        <w:rPr/>
      </w:pPr>
      <w:hyperlink w:anchor="s149FCBE28F3900CCBC1E0F13F39FAE0B">
        <w:bookmarkStart w:id="80" w:name="s2A214D09208BB66ACEF90F13B71ED68E4"/>
        <w:bookmarkEnd w:id="80"/>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following table presents separately identified segment assets:</w:t>
      </w:r>
    </w:p>
    <w:tbl>
      <w:tblPr>
        <w:tblW w:w="10205" w:type="dxa"/>
        <w:jc w:val="center"/>
        <w:tblInd w:w="0" w:type="dxa"/>
        <w:tblCellMar>
          <w:top w:w="0" w:type="dxa"/>
          <w:left w:w="0" w:type="dxa"/>
          <w:bottom w:w="0" w:type="dxa"/>
          <w:right w:w="0" w:type="dxa"/>
        </w:tblCellMar>
      </w:tblPr>
      <w:tblGrid>
        <w:gridCol w:w="3567"/>
        <w:gridCol w:w="161"/>
        <w:gridCol w:w="1226"/>
        <w:gridCol w:w="84"/>
        <w:gridCol w:w="133"/>
        <w:gridCol w:w="161"/>
        <w:gridCol w:w="1226"/>
        <w:gridCol w:w="84"/>
        <w:gridCol w:w="133"/>
        <w:gridCol w:w="194"/>
        <w:gridCol w:w="1301"/>
        <w:gridCol w:w="94"/>
        <w:gridCol w:w="133"/>
        <w:gridCol w:w="161"/>
        <w:gridCol w:w="1226"/>
        <w:gridCol w:w="321"/>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6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67" w:type="dxa"/>
            <w:tcBorders/>
            <w:shd w:fill="auto" w:val="clear"/>
            <w:vAlign w:val="center"/>
          </w:tcPr>
          <w:p>
            <w:pPr>
              <w:pStyle w:val="TableContents"/>
              <w:spacing w:before="0" w:after="0"/>
              <w:ind w:left="0" w:right="0" w:firstLine="30"/>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3" w:type="dxa"/>
            <w:tcBorders/>
            <w:shd w:fill="auto" w:val="clear"/>
            <w:vAlign w:val="center"/>
          </w:tcPr>
          <w:p>
            <w:pPr>
              <w:pStyle w:val="TableContents"/>
              <w:spacing w:before="0" w:after="0"/>
              <w:ind w:left="0" w:right="0" w:firstLine="30"/>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3" w:type="dxa"/>
            <w:tcBorders/>
            <w:shd w:fill="auto" w:val="clear"/>
            <w:vAlign w:val="center"/>
          </w:tcPr>
          <w:p>
            <w:pPr>
              <w:pStyle w:val="TableContents"/>
              <w:spacing w:before="0" w:after="0"/>
              <w:ind w:left="0" w:right="0" w:firstLine="30"/>
              <w:rPr/>
            </w:pPr>
            <w:r>
              <w:rPr/>
              <w:t> </w:t>
            </w:r>
          </w:p>
        </w:tc>
        <w:tc>
          <w:tcPr>
            <w:tcW w:w="15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3" w:type="dxa"/>
            <w:tcBorders/>
            <w:shd w:fill="auto" w:val="clear"/>
            <w:vAlign w:val="center"/>
          </w:tcPr>
          <w:p>
            <w:pPr>
              <w:pStyle w:val="TableContents"/>
              <w:spacing w:before="0" w:after="0"/>
              <w:ind w:left="0" w:right="0" w:firstLine="30"/>
              <w:rPr/>
            </w:pPr>
            <w:r>
              <w:rPr/>
              <w:t> </w:t>
            </w:r>
          </w:p>
        </w:tc>
        <w:tc>
          <w:tcPr>
            <w:tcW w:w="170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67" w:type="dxa"/>
            <w:tcBorders/>
            <w:shd w:fill="auto" w:val="clear"/>
            <w:vAlign w:val="center"/>
          </w:tcPr>
          <w:p>
            <w:pPr>
              <w:pStyle w:val="TableContents"/>
              <w:spacing w:before="0" w:after="0"/>
              <w:ind w:left="0" w:right="0" w:firstLine="30"/>
              <w:jc w:val="left"/>
              <w:rPr/>
            </w:pPr>
            <w:r>
              <w:rPr/>
              <w:t> </w:t>
            </w:r>
          </w:p>
        </w:tc>
        <w:tc>
          <w:tcPr>
            <w:tcW w:w="663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6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Assets at September 30, 2012</w:t>
            </w:r>
          </w:p>
        </w:tc>
        <w:tc>
          <w:tcPr>
            <w:tcW w:w="147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7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89"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708" w:type="dxa"/>
            <w:gridSpan w:val="3"/>
            <w:tcBorders/>
            <w:shd w:fill="auto" w:val="clear"/>
            <w:vAlign w:val="center"/>
          </w:tcPr>
          <w:p>
            <w:pPr>
              <w:pStyle w:val="TableContents"/>
              <w:spacing w:before="0" w:after="0"/>
              <w:ind w:left="0" w:right="0" w:firstLine="180"/>
              <w:rPr/>
            </w:pPr>
            <w:r>
              <w:rPr/>
              <w:t> </w:t>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CCEEFF" w:val="clear"/>
            <w:vAlign w:val="center"/>
          </w:tcPr>
          <w:p>
            <w:pPr>
              <w:pStyle w:val="TableContents"/>
              <w:spacing w:before="0" w:after="0"/>
              <w:jc w:val="right"/>
              <w:rPr>
                <w:rFonts w:ascii="inherit" w:hAnsi="inherit"/>
                <w:sz w:val="17"/>
              </w:rPr>
            </w:pPr>
            <w:r>
              <w:rPr>
                <w:rFonts w:ascii="inherit" w:hAnsi="inherit"/>
                <w:sz w:val="17"/>
              </w:rPr>
              <w:t>14,820</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CCEEFF" w:val="clear"/>
            <w:vAlign w:val="center"/>
          </w:tcPr>
          <w:p>
            <w:pPr>
              <w:pStyle w:val="TableContents"/>
              <w:spacing w:before="0" w:after="0"/>
              <w:jc w:val="right"/>
              <w:rPr>
                <w:rFonts w:ascii="inherit" w:hAnsi="inherit"/>
                <w:sz w:val="17"/>
              </w:rPr>
            </w:pPr>
            <w:r>
              <w:rPr>
                <w:rFonts w:ascii="inherit" w:hAnsi="inherit"/>
                <w:sz w:val="17"/>
              </w:rPr>
              <w:t>20,702</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CCEEFF" w:val="clear"/>
            <w:vAlign w:val="center"/>
          </w:tcPr>
          <w:p>
            <w:pPr>
              <w:pStyle w:val="TableContents"/>
              <w:spacing w:before="0" w:after="0"/>
              <w:jc w:val="right"/>
              <w:rPr>
                <w:rFonts w:ascii="inherit" w:hAnsi="inherit"/>
                <w:sz w:val="17"/>
              </w:rPr>
            </w:pPr>
            <w:r>
              <w:rPr>
                <w:rFonts w:ascii="inherit" w:hAnsi="inherit"/>
                <w:sz w:val="17"/>
              </w:rPr>
              <w:t>1,789</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CCEEFF" w:val="clear"/>
            <w:vAlign w:val="center"/>
          </w:tcPr>
          <w:p>
            <w:pPr>
              <w:pStyle w:val="TableContents"/>
              <w:spacing w:before="0" w:after="0"/>
              <w:jc w:val="right"/>
              <w:rPr>
                <w:rFonts w:ascii="inherit" w:hAnsi="inherit"/>
                <w:sz w:val="17"/>
              </w:rPr>
            </w:pPr>
            <w:r>
              <w:rPr>
                <w:rFonts w:ascii="inherit" w:hAnsi="inherit"/>
                <w:sz w:val="17"/>
              </w:rPr>
              <w:t>37,311</w:t>
            </w:r>
          </w:p>
        </w:tc>
        <w:tc>
          <w:tcPr>
            <w:tcW w:w="3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387"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3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140,885</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16,763</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157,648</w:t>
            </w:r>
          </w:p>
        </w:tc>
        <w:tc>
          <w:tcPr>
            <w:tcW w:w="3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18,960</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73,422</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3,767</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96,149</w:t>
            </w:r>
          </w:p>
        </w:tc>
        <w:tc>
          <w:tcPr>
            <w:tcW w:w="3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34,066</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24,637</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1,114</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59,817</w:t>
            </w:r>
          </w:p>
        </w:tc>
        <w:tc>
          <w:tcPr>
            <w:tcW w:w="3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94,449</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14,765</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109,214</w:t>
            </w:r>
          </w:p>
        </w:tc>
        <w:tc>
          <w:tcPr>
            <w:tcW w:w="3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60,947</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23,220</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1,503</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85,670</w:t>
            </w:r>
          </w:p>
        </w:tc>
        <w:tc>
          <w:tcPr>
            <w:tcW w:w="3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 non-current</w:t>
            </w:r>
          </w:p>
        </w:tc>
        <w:tc>
          <w:tcPr>
            <w:tcW w:w="1387"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3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224,306</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110,401</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39,956</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374,663</w:t>
            </w:r>
          </w:p>
        </w:tc>
        <w:tc>
          <w:tcPr>
            <w:tcW w:w="3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18,824</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21,867</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2,946</w:t>
            </w:r>
          </w:p>
        </w:tc>
        <w:tc>
          <w:tcPr>
            <w:tcW w:w="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43,637</w:t>
            </w:r>
          </w:p>
        </w:tc>
        <w:tc>
          <w:tcPr>
            <w:tcW w:w="321"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607,257</w:t>
            </w:r>
          </w:p>
        </w:tc>
        <w:tc>
          <w:tcPr>
            <w:tcW w:w="8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311,259</w:t>
            </w:r>
          </w:p>
        </w:tc>
        <w:tc>
          <w:tcPr>
            <w:tcW w:w="8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9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51,075</w:t>
            </w:r>
          </w:p>
        </w:tc>
        <w:tc>
          <w:tcPr>
            <w:tcW w:w="9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969,591</w:t>
            </w:r>
          </w:p>
        </w:tc>
        <w:tc>
          <w:tcPr>
            <w:tcW w:w="321" w:type="dxa"/>
            <w:tcBorders>
              <w:bottom w:val="double" w:sz="6"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auto" w:val="clear"/>
            <w:vAlign w:val="center"/>
          </w:tcPr>
          <w:p>
            <w:pPr>
              <w:pStyle w:val="TableContents"/>
              <w:spacing w:before="0" w:after="0"/>
              <w:jc w:val="right"/>
              <w:rPr>
                <w:rFonts w:ascii="inherit" w:hAnsi="inherit"/>
                <w:sz w:val="17"/>
              </w:rPr>
            </w:pPr>
            <w:r>
              <w:rPr>
                <w:rFonts w:ascii="inherit" w:hAnsi="inherit"/>
                <w:sz w:val="17"/>
              </w:rPr>
              <w:t>25,484</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9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auto" w:val="clear"/>
            <w:vAlign w:val="center"/>
          </w:tcPr>
          <w:p>
            <w:pPr>
              <w:pStyle w:val="TableContents"/>
              <w:spacing w:before="0" w:after="0"/>
              <w:jc w:val="right"/>
              <w:rPr>
                <w:rFonts w:ascii="inherit" w:hAnsi="inherit"/>
                <w:sz w:val="17"/>
              </w:rPr>
            </w:pPr>
            <w:r>
              <w:rPr>
                <w:rFonts w:ascii="inherit" w:hAnsi="inherit"/>
                <w:sz w:val="17"/>
              </w:rPr>
              <w:t>25,484</w:t>
            </w:r>
          </w:p>
        </w:tc>
        <w:tc>
          <w:tcPr>
            <w:tcW w:w="3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Assets at September 30, 2011</w:t>
            </w:r>
          </w:p>
        </w:tc>
        <w:tc>
          <w:tcPr>
            <w:tcW w:w="147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7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89"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708" w:type="dxa"/>
            <w:gridSpan w:val="3"/>
            <w:tcBorders/>
            <w:shd w:fill="CCEEFF" w:val="clear"/>
            <w:vAlign w:val="center"/>
          </w:tcPr>
          <w:p>
            <w:pPr>
              <w:pStyle w:val="TableContents"/>
              <w:spacing w:before="0" w:after="0"/>
              <w:ind w:left="0" w:right="0" w:firstLine="180"/>
              <w:rPr/>
            </w:pPr>
            <w:r>
              <w:rPr/>
              <w:t> </w:t>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auto" w:val="clear"/>
            <w:vAlign w:val="center"/>
          </w:tcPr>
          <w:p>
            <w:pPr>
              <w:pStyle w:val="TableContents"/>
              <w:spacing w:before="0" w:after="0"/>
              <w:jc w:val="right"/>
              <w:rPr>
                <w:rFonts w:ascii="inherit" w:hAnsi="inherit"/>
                <w:sz w:val="17"/>
              </w:rPr>
            </w:pPr>
            <w:r>
              <w:rPr>
                <w:rFonts w:ascii="inherit" w:hAnsi="inherit"/>
                <w:sz w:val="17"/>
              </w:rPr>
              <w:t>10,040</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auto" w:val="clear"/>
            <w:vAlign w:val="center"/>
          </w:tcPr>
          <w:p>
            <w:pPr>
              <w:pStyle w:val="TableContents"/>
              <w:spacing w:before="0" w:after="0"/>
              <w:jc w:val="right"/>
              <w:rPr>
                <w:rFonts w:ascii="inherit" w:hAnsi="inherit"/>
                <w:sz w:val="17"/>
              </w:rPr>
            </w:pPr>
            <w:r>
              <w:rPr>
                <w:rFonts w:ascii="inherit" w:hAnsi="inherit"/>
                <w:sz w:val="17"/>
              </w:rPr>
              <w:t>1,496</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9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auto" w:val="clear"/>
            <w:vAlign w:val="center"/>
          </w:tcPr>
          <w:p>
            <w:pPr>
              <w:pStyle w:val="TableContents"/>
              <w:spacing w:before="0" w:after="0"/>
              <w:jc w:val="right"/>
              <w:rPr>
                <w:rFonts w:ascii="inherit" w:hAnsi="inherit"/>
                <w:sz w:val="17"/>
              </w:rPr>
            </w:pPr>
            <w:r>
              <w:rPr>
                <w:rFonts w:ascii="inherit" w:hAnsi="inherit"/>
                <w:sz w:val="17"/>
              </w:rPr>
              <w:t>11,536</w:t>
            </w:r>
          </w:p>
        </w:tc>
        <w:tc>
          <w:tcPr>
            <w:tcW w:w="3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134,457</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10,861</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145,318</w:t>
            </w:r>
          </w:p>
        </w:tc>
        <w:tc>
          <w:tcPr>
            <w:tcW w:w="3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14,611</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14,611</w:t>
            </w:r>
          </w:p>
        </w:tc>
        <w:tc>
          <w:tcPr>
            <w:tcW w:w="3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31,567</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1,663</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33,230</w:t>
            </w:r>
          </w:p>
        </w:tc>
        <w:tc>
          <w:tcPr>
            <w:tcW w:w="3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81,859</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8,514</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90,373</w:t>
            </w:r>
          </w:p>
        </w:tc>
        <w:tc>
          <w:tcPr>
            <w:tcW w:w="3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51,469</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12,769</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64,238</w:t>
            </w:r>
          </w:p>
        </w:tc>
        <w:tc>
          <w:tcPr>
            <w:tcW w:w="3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163,897</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9,309</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173,206</w:t>
            </w:r>
          </w:p>
        </w:tc>
        <w:tc>
          <w:tcPr>
            <w:tcW w:w="3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3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16,775</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867</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17,642</w:t>
            </w:r>
          </w:p>
        </w:tc>
        <w:tc>
          <w:tcPr>
            <w:tcW w:w="321"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504,675</w:t>
            </w:r>
          </w:p>
        </w:tc>
        <w:tc>
          <w:tcPr>
            <w:tcW w:w="8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45,479</w:t>
            </w:r>
          </w:p>
        </w:tc>
        <w:tc>
          <w:tcPr>
            <w:tcW w:w="8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9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9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550,154</w:t>
            </w:r>
          </w:p>
        </w:tc>
        <w:tc>
          <w:tcPr>
            <w:tcW w:w="321" w:type="dxa"/>
            <w:tcBorders>
              <w:bottom w:val="double" w:sz="6"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CCEEFF" w:val="clear"/>
            <w:vAlign w:val="center"/>
          </w:tcPr>
          <w:p>
            <w:pPr>
              <w:pStyle w:val="TableContents"/>
              <w:spacing w:before="0" w:after="0"/>
              <w:jc w:val="right"/>
              <w:rPr>
                <w:rFonts w:ascii="inherit" w:hAnsi="inherit"/>
                <w:sz w:val="17"/>
              </w:rPr>
            </w:pPr>
            <w:r>
              <w:rPr>
                <w:rFonts w:ascii="inherit" w:hAnsi="inherit"/>
                <w:sz w:val="17"/>
              </w:rPr>
              <w:t>27,040</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6" w:type="dxa"/>
            <w:tcBorders/>
            <w:shd w:fill="CCEEFF" w:val="clear"/>
            <w:vAlign w:val="center"/>
          </w:tcPr>
          <w:p>
            <w:pPr>
              <w:pStyle w:val="TableContents"/>
              <w:spacing w:before="0" w:after="0"/>
              <w:jc w:val="right"/>
              <w:rPr>
                <w:rFonts w:ascii="inherit" w:hAnsi="inherit"/>
                <w:sz w:val="17"/>
              </w:rPr>
            </w:pPr>
            <w:r>
              <w:rPr>
                <w:rFonts w:ascii="inherit" w:hAnsi="inherit"/>
                <w:sz w:val="17"/>
              </w:rPr>
              <w:t>27,040</w:t>
            </w:r>
          </w:p>
        </w:tc>
        <w:tc>
          <w:tcPr>
            <w:tcW w:w="32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The following table reconciles separately identified recorded segment assets, as shown above, to our consolidated total assets:</w:t>
      </w:r>
    </w:p>
    <w:tbl>
      <w:tblPr>
        <w:tblW w:w="10205" w:type="dxa"/>
        <w:jc w:val="center"/>
        <w:tblInd w:w="0" w:type="dxa"/>
        <w:tblCellMar>
          <w:top w:w="0" w:type="dxa"/>
          <w:left w:w="0" w:type="dxa"/>
          <w:bottom w:w="0" w:type="dxa"/>
          <w:right w:w="0" w:type="dxa"/>
        </w:tblCellMar>
      </w:tblPr>
      <w:tblGrid>
        <w:gridCol w:w="7169"/>
        <w:gridCol w:w="125"/>
        <w:gridCol w:w="1248"/>
        <w:gridCol w:w="102"/>
        <w:gridCol w:w="116"/>
        <w:gridCol w:w="125"/>
        <w:gridCol w:w="1212"/>
        <w:gridCol w:w="10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6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69" w:type="dxa"/>
            <w:tcBorders/>
            <w:shd w:fill="auto" w:val="clear"/>
            <w:vAlign w:val="center"/>
          </w:tcPr>
          <w:p>
            <w:pPr>
              <w:pStyle w:val="TableContents"/>
              <w:spacing w:before="0" w:after="0"/>
              <w:ind w:left="0" w:right="0" w:firstLine="30"/>
              <w:jc w:val="left"/>
              <w:rPr/>
            </w:pPr>
            <w:r>
              <w:rPr/>
              <w:t> </w:t>
            </w:r>
          </w:p>
        </w:tc>
        <w:tc>
          <w:tcPr>
            <w:tcW w:w="303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r>
          </w:p>
        </w:tc>
      </w:tr>
      <w:tr>
        <w:trPr/>
        <w:tc>
          <w:tcPr>
            <w:tcW w:w="7169" w:type="dxa"/>
            <w:tcBorders/>
            <w:shd w:fill="auto" w:val="clear"/>
            <w:vAlign w:val="center"/>
          </w:tcPr>
          <w:p>
            <w:pPr>
              <w:pStyle w:val="TableContents"/>
              <w:spacing w:before="0" w:after="0"/>
              <w:ind w:left="0" w:right="0" w:firstLine="30"/>
              <w:jc w:val="left"/>
              <w:rPr/>
            </w:pPr>
            <w:r>
              <w:rPr/>
              <w:t> </w:t>
            </w:r>
          </w:p>
        </w:tc>
        <w:tc>
          <w:tcPr>
            <w:tcW w:w="14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6" w:type="dxa"/>
            <w:tcBorders/>
            <w:shd w:fill="auto" w:val="clear"/>
            <w:vAlign w:val="center"/>
          </w:tcPr>
          <w:p>
            <w:pPr>
              <w:pStyle w:val="TableContents"/>
              <w:spacing w:before="0" w:after="0"/>
              <w:ind w:left="0" w:right="0" w:firstLine="30"/>
              <w:rPr/>
            </w:pPr>
            <w:r>
              <w:rPr/>
              <w:t> </w:t>
            </w:r>
          </w:p>
        </w:tc>
        <w:tc>
          <w:tcPr>
            <w:tcW w:w="14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169" w:type="dxa"/>
            <w:tcBorders/>
            <w:shd w:fill="auto" w:val="clear"/>
            <w:vAlign w:val="center"/>
          </w:tcPr>
          <w:p>
            <w:pPr>
              <w:pStyle w:val="TableContents"/>
              <w:spacing w:before="0" w:after="0"/>
              <w:ind w:left="0" w:right="0" w:firstLine="30"/>
              <w:jc w:val="left"/>
              <w:rPr/>
            </w:pPr>
            <w:r>
              <w:rPr/>
              <w:t> </w:t>
            </w:r>
          </w:p>
        </w:tc>
        <w:tc>
          <w:tcPr>
            <w:tcW w:w="303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shd w:fill="CCEEFF" w:val="clear"/>
            <w:vAlign w:val="center"/>
          </w:tcPr>
          <w:p>
            <w:pPr>
              <w:pStyle w:val="TableContents"/>
              <w:spacing w:before="0" w:after="0"/>
              <w:jc w:val="right"/>
              <w:rPr>
                <w:rFonts w:ascii="inherit" w:hAnsi="inherit"/>
                <w:sz w:val="17"/>
              </w:rPr>
            </w:pPr>
            <w:r>
              <w:rPr>
                <w:rFonts w:ascii="inherit" w:hAnsi="inherit"/>
                <w:sz w:val="17"/>
              </w:rPr>
              <w:t>969,591</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550,154</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assets</w:t>
            </w:r>
          </w:p>
        </w:tc>
        <w:tc>
          <w:tcPr>
            <w:tcW w:w="137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248,416</w:t>
            </w:r>
          </w:p>
        </w:tc>
        <w:tc>
          <w:tcPr>
            <w:tcW w:w="1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3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206,296</w:t>
            </w:r>
          </w:p>
        </w:tc>
        <w:tc>
          <w:tcPr>
            <w:tcW w:w="10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Total assets</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1,218,007</w:t>
            </w:r>
          </w:p>
        </w:tc>
        <w:tc>
          <w:tcPr>
            <w:tcW w:w="10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756,450</w:t>
            </w:r>
          </w:p>
        </w:tc>
        <w:tc>
          <w:tcPr>
            <w:tcW w:w="108"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77</w:t>
      </w:r>
      <w:r>
        <w:br w:type="page"/>
      </w:r>
    </w:p>
    <w:p>
      <w:pPr>
        <w:pStyle w:val="TextBody"/>
        <w:spacing w:lineRule="auto" w:line="288" w:before="0" w:after="0"/>
        <w:rPr/>
      </w:pPr>
      <w:hyperlink w:anchor="s149FCBE28F3900CCBC1E0F13F39FAE0B">
        <w:bookmarkStart w:id="81" w:name="s2A214D09208BB66ACEF90F13B71ED68E5"/>
        <w:bookmarkEnd w:id="81"/>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tables provide geographic information required by ASC 280-10-50-41:</w:t>
      </w:r>
    </w:p>
    <w:tbl>
      <w:tblPr>
        <w:tblW w:w="10205" w:type="dxa"/>
        <w:jc w:val="center"/>
        <w:tblInd w:w="0" w:type="dxa"/>
        <w:tblCellMar>
          <w:top w:w="0" w:type="dxa"/>
          <w:left w:w="0" w:type="dxa"/>
          <w:bottom w:w="0" w:type="dxa"/>
          <w:right w:w="0" w:type="dxa"/>
        </w:tblCellMar>
      </w:tblPr>
      <w:tblGrid>
        <w:gridCol w:w="4916"/>
        <w:gridCol w:w="169"/>
        <w:gridCol w:w="1329"/>
        <w:gridCol w:w="94"/>
        <w:gridCol w:w="141"/>
        <w:gridCol w:w="169"/>
        <w:gridCol w:w="1329"/>
        <w:gridCol w:w="94"/>
        <w:gridCol w:w="141"/>
        <w:gridCol w:w="169"/>
        <w:gridCol w:w="1329"/>
        <w:gridCol w:w="325"/>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91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16" w:type="dxa"/>
            <w:tcBorders/>
            <w:shd w:fill="auto" w:val="clear"/>
            <w:vAlign w:val="center"/>
          </w:tcPr>
          <w:p>
            <w:pPr>
              <w:pStyle w:val="TableContents"/>
              <w:spacing w:before="0" w:after="0"/>
              <w:ind w:left="0" w:right="0" w:firstLine="30"/>
              <w:rPr/>
            </w:pPr>
            <w:r>
              <w:rPr/>
              <w:t> </w:t>
            </w:r>
          </w:p>
        </w:tc>
        <w:tc>
          <w:tcPr>
            <w:tcW w:w="5289"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r>
      <w:tr>
        <w:trPr/>
        <w:tc>
          <w:tcPr>
            <w:tcW w:w="4916" w:type="dxa"/>
            <w:tcBorders/>
            <w:shd w:fill="auto" w:val="clear"/>
            <w:vAlign w:val="center"/>
          </w:tcPr>
          <w:p>
            <w:pPr>
              <w:pStyle w:val="TableContents"/>
              <w:spacing w:before="0" w:after="0"/>
              <w:ind w:left="0" w:right="0" w:firstLine="30"/>
              <w:jc w:val="left"/>
              <w:rPr/>
            </w:pPr>
            <w:r>
              <w:rPr/>
              <w:t> </w:t>
            </w:r>
          </w:p>
        </w:tc>
        <w:tc>
          <w:tcPr>
            <w:tcW w:w="15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1" w:type="dxa"/>
            <w:tcBorders/>
            <w:shd w:fill="auto" w:val="clear"/>
            <w:vAlign w:val="center"/>
          </w:tcPr>
          <w:p>
            <w:pPr>
              <w:pStyle w:val="TableContents"/>
              <w:spacing w:before="0" w:after="0"/>
              <w:ind w:left="0" w:right="0" w:firstLine="30"/>
              <w:rPr/>
            </w:pPr>
            <w:r>
              <w:rPr/>
              <w:t> </w:t>
            </w:r>
          </w:p>
        </w:tc>
        <w:tc>
          <w:tcPr>
            <w:tcW w:w="15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1" w:type="dxa"/>
            <w:tcBorders/>
            <w:shd w:fill="auto" w:val="clear"/>
            <w:vAlign w:val="center"/>
          </w:tcPr>
          <w:p>
            <w:pPr>
              <w:pStyle w:val="TableContents"/>
              <w:spacing w:before="0" w:after="0"/>
              <w:ind w:left="0" w:right="0" w:firstLine="30"/>
              <w:rPr/>
            </w:pPr>
            <w:r>
              <w:rPr/>
              <w:t> </w:t>
            </w:r>
          </w:p>
        </w:tc>
        <w:tc>
          <w:tcPr>
            <w:tcW w:w="18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4916" w:type="dxa"/>
            <w:tcBorders/>
            <w:shd w:fill="auto" w:val="clear"/>
            <w:vAlign w:val="center"/>
          </w:tcPr>
          <w:p>
            <w:pPr>
              <w:pStyle w:val="TableContents"/>
              <w:spacing w:before="0" w:after="0"/>
              <w:ind w:left="0" w:right="0" w:firstLine="30"/>
              <w:jc w:val="left"/>
              <w:rPr/>
            </w:pPr>
            <w:r>
              <w:rPr/>
              <w:t> </w:t>
            </w:r>
          </w:p>
        </w:tc>
        <w:tc>
          <w:tcPr>
            <w:tcW w:w="5289"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9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592"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592"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823" w:type="dxa"/>
            <w:gridSpan w:val="3"/>
            <w:tcBorders/>
            <w:shd w:fill="CCEEFF" w:val="clear"/>
            <w:vAlign w:val="center"/>
          </w:tcPr>
          <w:p>
            <w:pPr>
              <w:pStyle w:val="TableContents"/>
              <w:spacing w:before="0" w:after="0"/>
              <w:ind w:left="0" w:right="0" w:firstLine="300"/>
              <w:rPr/>
            </w:pPr>
            <w:r>
              <w:rPr/>
              <w:t> </w:t>
            </w:r>
          </w:p>
        </w:tc>
      </w:tr>
      <w:tr>
        <w:trPr/>
        <w:tc>
          <w:tcPr>
            <w:tcW w:w="49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rFonts w:ascii="inherit" w:hAnsi="inherit"/>
                <w:sz w:val="17"/>
              </w:rPr>
            </w:pPr>
            <w:r>
              <w:rPr>
                <w:rFonts w:ascii="inherit" w:hAnsi="inherit"/>
                <w:sz w:val="17"/>
              </w:rPr>
              <w:t>850,946</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rFonts w:ascii="inherit" w:hAnsi="inherit"/>
                <w:sz w:val="17"/>
              </w:rPr>
            </w:pPr>
            <w:r>
              <w:rPr>
                <w:rFonts w:ascii="inherit" w:hAnsi="inherit"/>
                <w:sz w:val="17"/>
              </w:rPr>
              <w:t>795,825</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rFonts w:ascii="inherit" w:hAnsi="inherit"/>
                <w:sz w:val="17"/>
              </w:rPr>
            </w:pPr>
            <w:r>
              <w:rPr>
                <w:rFonts w:ascii="inherit" w:hAnsi="inherit"/>
                <w:sz w:val="17"/>
              </w:rPr>
              <w:t>695,956</w:t>
            </w:r>
          </w:p>
        </w:tc>
        <w:tc>
          <w:tcPr>
            <w:tcW w:w="32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4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103,273</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49,601</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27,703</w:t>
            </w:r>
          </w:p>
        </w:tc>
        <w:tc>
          <w:tcPr>
            <w:tcW w:w="32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4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10,712</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7,372</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1,509</w:t>
            </w:r>
          </w:p>
        </w:tc>
        <w:tc>
          <w:tcPr>
            <w:tcW w:w="32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4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10,192</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98" w:type="dxa"/>
            <w:gridSpan w:val="2"/>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98" w:type="dxa"/>
            <w:gridSpan w:val="2"/>
            <w:tcBorders/>
            <w:shd w:fill="CCEEFF" w:val="clear"/>
            <w:vAlign w:val="center"/>
          </w:tcPr>
          <w:p>
            <w:pPr>
              <w:pStyle w:val="TableContents"/>
              <w:spacing w:before="0" w:after="0"/>
              <w:jc w:val="right"/>
              <w:rPr/>
            </w:pPr>
            <w:r>
              <w:rPr/>
              <w:t>—</w:t>
            </w:r>
          </w:p>
        </w:tc>
        <w:tc>
          <w:tcPr>
            <w:tcW w:w="3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975,123</w:t>
            </w:r>
          </w:p>
        </w:tc>
        <w:tc>
          <w:tcPr>
            <w:tcW w:w="9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852,798</w:t>
            </w:r>
          </w:p>
        </w:tc>
        <w:tc>
          <w:tcPr>
            <w:tcW w:w="9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725,168</w:t>
            </w:r>
          </w:p>
        </w:tc>
        <w:tc>
          <w:tcPr>
            <w:tcW w:w="32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6492"/>
        <w:gridCol w:w="174"/>
        <w:gridCol w:w="1397"/>
        <w:gridCol w:w="101"/>
        <w:gridCol w:w="147"/>
        <w:gridCol w:w="174"/>
        <w:gridCol w:w="1397"/>
        <w:gridCol w:w="32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9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92" w:type="dxa"/>
            <w:tcBorders/>
            <w:shd w:fill="auto" w:val="clear"/>
            <w:vAlign w:val="center"/>
          </w:tcPr>
          <w:p>
            <w:pPr>
              <w:pStyle w:val="TableContents"/>
              <w:spacing w:before="0" w:after="0"/>
              <w:ind w:left="0" w:right="0" w:firstLine="30"/>
              <w:rPr/>
            </w:pPr>
            <w:r>
              <w:rPr/>
              <w:t> </w:t>
            </w:r>
          </w:p>
        </w:tc>
        <w:tc>
          <w:tcPr>
            <w:tcW w:w="371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September 30,</w:t>
            </w:r>
          </w:p>
        </w:tc>
      </w:tr>
      <w:tr>
        <w:trPr/>
        <w:tc>
          <w:tcPr>
            <w:tcW w:w="6492" w:type="dxa"/>
            <w:tcBorders/>
            <w:shd w:fill="auto" w:val="clear"/>
            <w:vAlign w:val="center"/>
          </w:tcPr>
          <w:p>
            <w:pPr>
              <w:pStyle w:val="TableContents"/>
              <w:spacing w:before="0" w:after="0"/>
              <w:ind w:left="0" w:right="0" w:firstLine="30"/>
              <w:jc w:val="left"/>
              <w:rPr/>
            </w:pPr>
            <w:r>
              <w:rPr/>
              <w:t> </w:t>
            </w:r>
          </w:p>
        </w:tc>
        <w:tc>
          <w:tcPr>
            <w:tcW w:w="16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7" w:type="dxa"/>
            <w:tcBorders/>
            <w:shd w:fill="auto" w:val="clear"/>
            <w:vAlign w:val="center"/>
          </w:tcPr>
          <w:p>
            <w:pPr>
              <w:pStyle w:val="TableContents"/>
              <w:spacing w:before="0" w:after="0"/>
              <w:ind w:left="0" w:right="0" w:firstLine="30"/>
              <w:rPr/>
            </w:pPr>
            <w:r>
              <w:rPr/>
              <w:t> </w:t>
            </w:r>
          </w:p>
        </w:tc>
        <w:tc>
          <w:tcPr>
            <w:tcW w:w="189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492" w:type="dxa"/>
            <w:tcBorders/>
            <w:shd w:fill="auto" w:val="clear"/>
            <w:vAlign w:val="center"/>
          </w:tcPr>
          <w:p>
            <w:pPr>
              <w:pStyle w:val="TableContents"/>
              <w:spacing w:before="0" w:after="0"/>
              <w:ind w:left="0" w:right="0" w:firstLine="30"/>
              <w:jc w:val="left"/>
              <w:rPr/>
            </w:pPr>
            <w:r>
              <w:rPr/>
              <w:t> </w:t>
            </w:r>
          </w:p>
        </w:tc>
        <w:tc>
          <w:tcPr>
            <w:tcW w:w="3713"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Long-Lived assets:</w:t>
            </w:r>
          </w:p>
        </w:tc>
        <w:tc>
          <w:tcPr>
            <w:tcW w:w="1672" w:type="dxa"/>
            <w:gridSpan w:val="3"/>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ind w:left="0" w:right="0" w:firstLine="30"/>
              <w:rPr/>
            </w:pPr>
            <w:r>
              <w:rPr/>
              <w:t> </w:t>
            </w:r>
          </w:p>
        </w:tc>
        <w:tc>
          <w:tcPr>
            <w:tcW w:w="1894" w:type="dxa"/>
            <w:gridSpan w:val="3"/>
            <w:tcBorders/>
            <w:shd w:fill="CCEEFF" w:val="clear"/>
            <w:vAlign w:val="center"/>
          </w:tcPr>
          <w:p>
            <w:pPr>
              <w:pStyle w:val="TableContents"/>
              <w:spacing w:before="0" w:after="0"/>
              <w:ind w:left="0" w:right="0" w:firstLine="300"/>
              <w:rPr/>
            </w:pPr>
            <w:r>
              <w:rPr/>
              <w:t> </w:t>
            </w:r>
          </w:p>
        </w:tc>
      </w:tr>
      <w:tr>
        <w:trPr/>
        <w:tc>
          <w:tcPr>
            <w:tcW w:w="64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97" w:type="dxa"/>
            <w:tcBorders/>
            <w:shd w:fill="auto" w:val="clear"/>
            <w:vAlign w:val="center"/>
          </w:tcPr>
          <w:p>
            <w:pPr>
              <w:pStyle w:val="TableContents"/>
              <w:spacing w:before="0" w:after="0"/>
              <w:jc w:val="right"/>
              <w:rPr>
                <w:rFonts w:ascii="inherit" w:hAnsi="inherit"/>
                <w:sz w:val="17"/>
              </w:rPr>
            </w:pPr>
            <w:r>
              <w:rPr>
                <w:rFonts w:ascii="inherit" w:hAnsi="inherit"/>
                <w:sz w:val="17"/>
              </w:rPr>
              <w:t>317,887</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97" w:type="dxa"/>
            <w:tcBorders/>
            <w:shd w:fill="auto" w:val="clear"/>
            <w:vAlign w:val="center"/>
          </w:tcPr>
          <w:p>
            <w:pPr>
              <w:pStyle w:val="TableContents"/>
              <w:spacing w:before="0" w:after="0"/>
              <w:jc w:val="right"/>
              <w:rPr>
                <w:rFonts w:ascii="inherit" w:hAnsi="inherit"/>
                <w:sz w:val="17"/>
              </w:rPr>
            </w:pPr>
            <w:r>
              <w:rPr>
                <w:rFonts w:ascii="inherit" w:hAnsi="inherit"/>
                <w:sz w:val="17"/>
              </w:rPr>
              <w:t>240,661</w:t>
            </w:r>
          </w:p>
        </w:tc>
        <w:tc>
          <w:tcPr>
            <w:tcW w:w="32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4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5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155,488</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22,945</w:t>
            </w:r>
          </w:p>
        </w:tc>
        <w:tc>
          <w:tcPr>
            <w:tcW w:w="32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4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5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10,199</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7,888</w:t>
            </w:r>
          </w:p>
        </w:tc>
        <w:tc>
          <w:tcPr>
            <w:tcW w:w="32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4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5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44,363</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71" w:type="dxa"/>
            <w:gridSpan w:val="2"/>
            <w:tcBorders/>
            <w:shd w:fill="CCEEFF" w:val="clear"/>
            <w:vAlign w:val="center"/>
          </w:tcPr>
          <w:p>
            <w:pPr>
              <w:pStyle w:val="TableContents"/>
              <w:spacing w:before="0" w:after="0"/>
              <w:jc w:val="right"/>
              <w:rPr/>
            </w:pPr>
            <w:r>
              <w:rPr/>
              <w:t>—</w:t>
            </w:r>
          </w:p>
        </w:tc>
        <w:tc>
          <w:tcPr>
            <w:tcW w:w="32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4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Other </w:t>
            </w:r>
          </w:p>
        </w:tc>
        <w:tc>
          <w:tcPr>
            <w:tcW w:w="15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71" w:type="dxa"/>
            <w:gridSpan w:val="2"/>
            <w:tcBorders/>
            <w:shd w:fill="auto" w:val="clear"/>
            <w:vAlign w:val="center"/>
          </w:tcPr>
          <w:p>
            <w:pPr>
              <w:pStyle w:val="TableContents"/>
              <w:spacing w:before="0" w:after="0"/>
              <w:jc w:val="right"/>
              <w:rPr/>
            </w:pPr>
            <w:r>
              <w:rPr/>
              <w:t>—</w:t>
            </w:r>
          </w:p>
        </w:tc>
        <w:tc>
          <w:tcPr>
            <w:tcW w:w="3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527,979</w:t>
            </w:r>
          </w:p>
        </w:tc>
        <w:tc>
          <w:tcPr>
            <w:tcW w:w="10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271,494</w:t>
            </w:r>
          </w:p>
        </w:tc>
        <w:tc>
          <w:tcPr>
            <w:tcW w:w="3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82" w:name="sE6E9340E44B34277C2010F13B7E07BCE"/>
      <w:bookmarkEnd w:id="82"/>
      <w:r>
        <w:rPr>
          <w:rFonts w:ascii="inherit" w:hAnsi="inherit"/>
          <w:b/>
          <w:sz w:val="17"/>
        </w:rPr>
        <w:t>NOTE 20: ALLOWANCE FOR LOSSES AND CREDIT QUALITY OF FINANCING RECEIVABLES</w:t>
      </w:r>
    </w:p>
    <w:p>
      <w:pPr>
        <w:pStyle w:val="TextBody"/>
        <w:spacing w:lineRule="auto" w:line="288" w:before="0" w:after="0"/>
        <w:jc w:val="left"/>
        <w:rPr>
          <w:rFonts w:ascii="inherit" w:hAnsi="inherit"/>
          <w:sz w:val="17"/>
        </w:rPr>
      </w:pPr>
      <w:r>
        <w:rPr>
          <w:rFonts w:ascii="inherit" w:hAnsi="inherit"/>
          <w:sz w:val="17"/>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w:t>
      </w:r>
    </w:p>
    <w:p>
      <w:pPr>
        <w:pStyle w:val="TextBody"/>
        <w:spacing w:lineRule="auto" w:line="288" w:before="0" w:after="0"/>
        <w:jc w:val="left"/>
        <w:rPr>
          <w:rFonts w:ascii="inherit" w:hAnsi="inherit"/>
          <w:sz w:val="17"/>
        </w:rPr>
      </w:pPr>
      <w:r>
        <w:rPr>
          <w:rFonts w:ascii="inherit" w:hAnsi="inherit"/>
          <w:sz w:val="17"/>
        </w:rPr>
        <w:t>We consider consumer loans made by our wholly owned subsidiaries defaulted if they have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pStyle w:val="TextBody"/>
        <w:spacing w:lineRule="auto" w:line="288" w:before="0" w:after="0"/>
        <w:jc w:val="left"/>
        <w:rPr>
          <w:rFonts w:ascii="inherit" w:hAnsi="inherit"/>
          <w:sz w:val="17"/>
        </w:rPr>
      </w:pPr>
      <w:r>
        <w:rPr>
          <w:rFonts w:ascii="inherit" w:hAnsi="inherit"/>
          <w:sz w:val="17"/>
        </w:rPr>
        <w:t>Based on historical collection experience, the age of past-due loans and amounts we expect to receive through the sale of repossessed vehicles, we provide an allowance for losses on auto title loans.</w:t>
      </w:r>
    </w:p>
    <w:p>
      <w:pPr>
        <w:pStyle w:val="TextBody"/>
        <w:spacing w:lineRule="auto" w:line="288" w:before="0" w:after="0"/>
        <w:jc w:val="left"/>
        <w:rPr>
          <w:sz w:val="17"/>
        </w:rPr>
      </w:pPr>
      <w:r>
        <w:rPr>
          <w:rFonts w:ascii="inherit" w:hAnsi="inherit"/>
          <w:sz w:val="17"/>
        </w:rPr>
        <w:t xml:space="preserve">The Crediamigo acquisition marked our initial entry into unsecured consumer lending in Mexico. Consumer loans made by Crediamigo are considered in current status as long as the customer is employed and Crediamigo receives payments via payroll withholdings. Loans made to customers no longer employed are considered current if payments are made by the due date. If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of a loan is delinquent, that </w:t>
      </w:r>
      <w:r>
        <w:rPr>
          <w:rFonts w:ascii="inherit" w:hAnsi="inherit"/>
          <w:strike w:val="false"/>
          <w:dstrike w:val="false"/>
          <w:color w:val="000000"/>
          <w:sz w:val="17"/>
          <w:u w:val="none"/>
          <w:effect w:val="none"/>
        </w:rPr>
        <w:t>one</w:t>
      </w:r>
      <w:r>
        <w:rPr>
          <w:sz w:val="17"/>
        </w:rPr>
        <w:t xml:space="preserve"> </w:t>
      </w:r>
      <w:r>
        <w:rPr>
          <w:rFonts w:ascii="inherit" w:hAnsi="inherit"/>
          <w:sz w:val="17"/>
        </w:rPr>
        <w:t>payment is considered defaulted. If two</w:t>
      </w:r>
      <w:r>
        <w:rPr>
          <w:sz w:val="17"/>
        </w:rPr>
        <w:t xml:space="preserve"> </w:t>
      </w:r>
      <w:r>
        <w:rPr>
          <w:rFonts w:ascii="inherit" w:hAnsi="inherit"/>
          <w:sz w:val="17"/>
        </w:rPr>
        <w:t>or more payments are delinquent at any time, the entire loan is considered defaulted. Although defaulted loans may be collected later, Crediamigo charges the loan principal to consumer loan bad debt upon default, leaving only active loans in the reported balance. Collections of principal are recorded as a reduction of consumer loan bad debt when collected. Accrued fees related to defaulted loans reduce fee revenue upon default, and increase fee revenue upon collection.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78</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w:t>
      </w:r>
    </w:p>
    <w:p>
      <w:pPr>
        <w:pStyle w:val="TextBody"/>
        <w:spacing w:lineRule="auto" w:line="288" w:before="0" w:after="0"/>
        <w:jc w:val="left"/>
        <w:rPr>
          <w:rFonts w:ascii="inherit" w:hAnsi="inherit"/>
          <w:sz w:val="17"/>
        </w:rPr>
      </w:pPr>
      <w:r>
        <w:rPr>
          <w:rFonts w:ascii="inherit" w:hAnsi="inherit"/>
          <w:sz w:val="17"/>
        </w:rPr>
        <w:t>The following table presents changes in the allowance for credit losses as well as the recorded investment in our financing receivables by portfolio segment for the periods presented:</w:t>
      </w:r>
    </w:p>
    <w:tbl>
      <w:tblPr>
        <w:tblW w:w="10205" w:type="dxa"/>
        <w:jc w:val="left"/>
        <w:tblInd w:w="0" w:type="dxa"/>
        <w:tblCellMar>
          <w:top w:w="0" w:type="dxa"/>
          <w:left w:w="0" w:type="dxa"/>
          <w:bottom w:w="0" w:type="dxa"/>
          <w:right w:w="0" w:type="dxa"/>
        </w:tblCellMar>
      </w:tblPr>
      <w:tblGrid>
        <w:gridCol w:w="2035"/>
        <w:gridCol w:w="166"/>
        <w:gridCol w:w="758"/>
        <w:gridCol w:w="72"/>
        <w:gridCol w:w="119"/>
        <w:gridCol w:w="139"/>
        <w:gridCol w:w="798"/>
        <w:gridCol w:w="141"/>
        <w:gridCol w:w="119"/>
        <w:gridCol w:w="155"/>
        <w:gridCol w:w="813"/>
        <w:gridCol w:w="69"/>
        <w:gridCol w:w="119"/>
        <w:gridCol w:w="141"/>
        <w:gridCol w:w="747"/>
        <w:gridCol w:w="65"/>
        <w:gridCol w:w="119"/>
        <w:gridCol w:w="250"/>
        <w:gridCol w:w="761"/>
        <w:gridCol w:w="95"/>
        <w:gridCol w:w="119"/>
        <w:gridCol w:w="160"/>
        <w:gridCol w:w="736"/>
        <w:gridCol w:w="71"/>
        <w:gridCol w:w="119"/>
        <w:gridCol w:w="137"/>
        <w:gridCol w:w="730"/>
        <w:gridCol w:w="452"/>
      </w:tblGrid>
      <w:tr>
        <w:trPr/>
        <w:tc>
          <w:tcPr>
            <w:tcW w:w="10205" w:type="dxa"/>
            <w:gridSpan w:val="28"/>
            <w:tcBorders/>
            <w:shd w:fill="auto" w:val="clear"/>
            <w:vAlign w:val="center"/>
          </w:tcPr>
          <w:p>
            <w:pPr>
              <w:pStyle w:val="TableContents"/>
              <w:spacing w:before="0" w:after="283"/>
              <w:rPr>
                <w:sz w:val="4"/>
                <w:szCs w:val="4"/>
              </w:rPr>
            </w:pPr>
            <w:r>
              <w:rPr>
                <w:sz w:val="4"/>
                <w:szCs w:val="4"/>
              </w:rPr>
            </w:r>
          </w:p>
        </w:tc>
      </w:tr>
      <w:tr>
        <w:trPr/>
        <w:tc>
          <w:tcPr>
            <w:tcW w:w="20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2"/>
              </w:rPr>
            </w:pPr>
            <w:r>
              <w:rPr>
                <w:rFonts w:ascii="inherit" w:hAnsi="inherit"/>
                <w:b/>
                <w:sz w:val="12"/>
              </w:rPr>
              <w:t>Description</w:t>
            </w:r>
          </w:p>
        </w:tc>
        <w:tc>
          <w:tcPr>
            <w:tcW w:w="99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Allowance</w:t>
            </w:r>
          </w:p>
          <w:p>
            <w:pPr>
              <w:pStyle w:val="TableContents"/>
              <w:spacing w:before="0" w:after="0"/>
              <w:jc w:val="center"/>
              <w:rPr>
                <w:rFonts w:ascii="inherit" w:hAnsi="inherit"/>
                <w:b/>
                <w:sz w:val="12"/>
              </w:rPr>
            </w:pPr>
            <w:r>
              <w:rPr>
                <w:rFonts w:ascii="inherit" w:hAnsi="inherit"/>
                <w:b/>
                <w:sz w:val="12"/>
              </w:rPr>
              <w:t>Balance at</w:t>
            </w:r>
          </w:p>
          <w:p>
            <w:pPr>
              <w:pStyle w:val="TableContents"/>
              <w:spacing w:before="0" w:after="0"/>
              <w:jc w:val="center"/>
              <w:rPr>
                <w:rFonts w:ascii="inherit" w:hAnsi="inherit"/>
                <w:b/>
                <w:sz w:val="12"/>
              </w:rPr>
            </w:pPr>
            <w:r>
              <w:rPr>
                <w:rFonts w:ascii="inherit" w:hAnsi="inherit"/>
                <w:b/>
                <w:sz w:val="12"/>
              </w:rPr>
              <w:t>Beginning</w:t>
            </w:r>
          </w:p>
          <w:p>
            <w:pPr>
              <w:pStyle w:val="TableContents"/>
              <w:spacing w:before="0" w:after="0"/>
              <w:ind w:left="0" w:right="0" w:firstLine="30"/>
              <w:jc w:val="center"/>
              <w:rPr>
                <w:rFonts w:ascii="inherit" w:hAnsi="inherit"/>
                <w:b/>
                <w:sz w:val="12"/>
              </w:rPr>
            </w:pPr>
            <w:r>
              <w:rPr>
                <w:rFonts w:ascii="inherit" w:hAnsi="inherit"/>
                <w:b/>
                <w:sz w:val="12"/>
              </w:rPr>
              <w:t>of Period</w:t>
            </w:r>
          </w:p>
        </w:tc>
        <w:tc>
          <w:tcPr>
            <w:tcW w:w="119" w:type="dxa"/>
            <w:tcBorders/>
            <w:shd w:fill="auto" w:val="clear"/>
            <w:vAlign w:val="center"/>
          </w:tcPr>
          <w:p>
            <w:pPr>
              <w:pStyle w:val="TableContents"/>
              <w:spacing w:before="0" w:after="0"/>
              <w:ind w:left="0" w:right="0" w:firstLine="30"/>
              <w:rPr/>
            </w:pPr>
            <w:r>
              <w:rPr/>
              <w:t> </w:t>
            </w:r>
          </w:p>
        </w:tc>
        <w:tc>
          <w:tcPr>
            <w:tcW w:w="10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Charge-offs</w:t>
            </w:r>
          </w:p>
        </w:tc>
        <w:tc>
          <w:tcPr>
            <w:tcW w:w="119" w:type="dxa"/>
            <w:tcBorders/>
            <w:shd w:fill="auto" w:val="clear"/>
            <w:vAlign w:val="center"/>
          </w:tcPr>
          <w:p>
            <w:pPr>
              <w:pStyle w:val="TableContents"/>
              <w:spacing w:before="0" w:after="0"/>
              <w:ind w:left="0" w:right="0" w:firstLine="30"/>
              <w:rPr/>
            </w:pPr>
            <w:r>
              <w:rPr/>
              <w:t> </w:t>
            </w:r>
          </w:p>
        </w:tc>
        <w:tc>
          <w:tcPr>
            <w:tcW w:w="10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Recoveries</w:t>
            </w:r>
          </w:p>
        </w:tc>
        <w:tc>
          <w:tcPr>
            <w:tcW w:w="119" w:type="dxa"/>
            <w:tcBorders/>
            <w:shd w:fill="auto" w:val="clear"/>
            <w:vAlign w:val="center"/>
          </w:tcPr>
          <w:p>
            <w:pPr>
              <w:pStyle w:val="TableContents"/>
              <w:spacing w:before="0" w:after="0"/>
              <w:ind w:left="0" w:right="0" w:firstLine="30"/>
              <w:rPr/>
            </w:pPr>
            <w:r>
              <w:rPr/>
              <w:t> </w:t>
            </w:r>
          </w:p>
        </w:tc>
        <w:tc>
          <w:tcPr>
            <w:tcW w:w="9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Provision</w:t>
            </w:r>
          </w:p>
        </w:tc>
        <w:tc>
          <w:tcPr>
            <w:tcW w:w="119" w:type="dxa"/>
            <w:tcBorders/>
            <w:shd w:fill="auto" w:val="clear"/>
            <w:vAlign w:val="center"/>
          </w:tcPr>
          <w:p>
            <w:pPr>
              <w:pStyle w:val="TableContents"/>
              <w:spacing w:before="0" w:after="0"/>
              <w:ind w:left="0" w:right="0" w:firstLine="30"/>
              <w:rPr/>
            </w:pPr>
            <w:r>
              <w:rPr/>
              <w:t> </w:t>
            </w:r>
          </w:p>
        </w:tc>
        <w:tc>
          <w:tcPr>
            <w:tcW w:w="1106" w:type="dxa"/>
            <w:gridSpan w:val="3"/>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2"/>
              </w:rPr>
            </w:pPr>
            <w:r>
              <w:rPr>
                <w:rFonts w:ascii="inherit" w:hAnsi="inherit"/>
                <w:b/>
                <w:sz w:val="12"/>
              </w:rPr>
              <w:t>Translation Adjustment</w:t>
            </w:r>
          </w:p>
        </w:tc>
        <w:tc>
          <w:tcPr>
            <w:tcW w:w="119" w:type="dxa"/>
            <w:tcBorders/>
            <w:shd w:fill="auto" w:val="clear"/>
            <w:vAlign w:val="center"/>
          </w:tcPr>
          <w:p>
            <w:pPr>
              <w:pStyle w:val="TableContents"/>
              <w:spacing w:before="0" w:after="0"/>
              <w:ind w:left="0" w:right="0" w:firstLine="30"/>
              <w:rPr/>
            </w:pPr>
            <w:r>
              <w:rPr/>
              <w:t> </w:t>
            </w:r>
          </w:p>
        </w:tc>
        <w:tc>
          <w:tcPr>
            <w:tcW w:w="96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Allowance</w:t>
            </w:r>
          </w:p>
          <w:p>
            <w:pPr>
              <w:pStyle w:val="TableContents"/>
              <w:spacing w:before="0" w:after="0"/>
              <w:jc w:val="center"/>
              <w:rPr>
                <w:rFonts w:ascii="inherit" w:hAnsi="inherit"/>
                <w:b/>
                <w:sz w:val="12"/>
              </w:rPr>
            </w:pPr>
            <w:r>
              <w:rPr>
                <w:rFonts w:ascii="inherit" w:hAnsi="inherit"/>
                <w:b/>
                <w:sz w:val="12"/>
              </w:rPr>
              <w:t>Balance at</w:t>
            </w:r>
          </w:p>
          <w:p>
            <w:pPr>
              <w:pStyle w:val="TableContents"/>
              <w:spacing w:before="0" w:after="0"/>
              <w:jc w:val="center"/>
              <w:rPr>
                <w:rFonts w:ascii="inherit" w:hAnsi="inherit"/>
                <w:b/>
                <w:sz w:val="12"/>
              </w:rPr>
            </w:pPr>
            <w:r>
              <w:rPr>
                <w:rFonts w:ascii="inherit" w:hAnsi="inherit"/>
                <w:b/>
                <w:sz w:val="12"/>
              </w:rPr>
              <w:t>End of</w:t>
            </w:r>
          </w:p>
          <w:p>
            <w:pPr>
              <w:pStyle w:val="TableContents"/>
              <w:spacing w:before="0" w:after="0"/>
              <w:ind w:left="0" w:right="0" w:firstLine="30"/>
              <w:jc w:val="center"/>
              <w:rPr>
                <w:rFonts w:ascii="inherit" w:hAnsi="inherit"/>
                <w:b/>
                <w:sz w:val="12"/>
              </w:rPr>
            </w:pPr>
            <w:r>
              <w:rPr>
                <w:rFonts w:ascii="inherit" w:hAnsi="inherit"/>
                <w:b/>
                <w:sz w:val="12"/>
              </w:rPr>
              <w:t>Period</w:t>
            </w:r>
          </w:p>
        </w:tc>
        <w:tc>
          <w:tcPr>
            <w:tcW w:w="119" w:type="dxa"/>
            <w:tcBorders/>
            <w:shd w:fill="auto" w:val="clear"/>
            <w:vAlign w:val="center"/>
          </w:tcPr>
          <w:p>
            <w:pPr>
              <w:pStyle w:val="TableContents"/>
              <w:spacing w:before="0" w:after="0"/>
              <w:ind w:left="0" w:right="0" w:firstLine="30"/>
              <w:rPr/>
            </w:pPr>
            <w:r>
              <w:rPr/>
              <w:t> </w:t>
            </w:r>
          </w:p>
        </w:tc>
        <w:tc>
          <w:tcPr>
            <w:tcW w:w="131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Financing</w:t>
            </w:r>
          </w:p>
          <w:p>
            <w:pPr>
              <w:pStyle w:val="TableContents"/>
              <w:spacing w:before="0" w:after="0"/>
              <w:jc w:val="center"/>
              <w:rPr>
                <w:rFonts w:ascii="inherit" w:hAnsi="inherit"/>
                <w:b/>
                <w:sz w:val="12"/>
              </w:rPr>
            </w:pPr>
            <w:r>
              <w:rPr>
                <w:rFonts w:ascii="inherit" w:hAnsi="inherit"/>
                <w:b/>
                <w:sz w:val="12"/>
              </w:rPr>
              <w:t>Receivable</w:t>
            </w:r>
          </w:p>
          <w:p>
            <w:pPr>
              <w:pStyle w:val="TableContents"/>
              <w:spacing w:before="0" w:after="0"/>
              <w:jc w:val="center"/>
              <w:rPr>
                <w:rFonts w:ascii="inherit" w:hAnsi="inherit"/>
                <w:b/>
                <w:sz w:val="12"/>
              </w:rPr>
            </w:pPr>
            <w:r>
              <w:rPr>
                <w:rFonts w:ascii="inherit" w:hAnsi="inherit"/>
                <w:b/>
                <w:sz w:val="12"/>
              </w:rPr>
              <w:t>at End of</w:t>
            </w:r>
          </w:p>
          <w:p>
            <w:pPr>
              <w:pStyle w:val="TableContents"/>
              <w:spacing w:before="0" w:after="0"/>
              <w:ind w:left="0" w:right="0" w:firstLine="30"/>
              <w:jc w:val="center"/>
              <w:rPr>
                <w:rFonts w:ascii="inherit" w:hAnsi="inherit"/>
                <w:b/>
                <w:sz w:val="12"/>
              </w:rPr>
            </w:pPr>
            <w:r>
              <w:rPr>
                <w:rFonts w:ascii="inherit" w:hAnsi="inherit"/>
                <w:b/>
                <w:sz w:val="12"/>
              </w:rPr>
              <w:t>Period</w:t>
            </w:r>
          </w:p>
        </w:tc>
      </w:tr>
      <w:tr>
        <w:trPr/>
        <w:tc>
          <w:tcPr>
            <w:tcW w:w="2035" w:type="dxa"/>
            <w:tcBorders/>
            <w:shd w:fill="auto" w:val="clear"/>
            <w:vAlign w:val="center"/>
          </w:tcPr>
          <w:p>
            <w:pPr>
              <w:pStyle w:val="TableContents"/>
              <w:spacing w:before="0" w:after="0"/>
              <w:ind w:left="0" w:right="0" w:firstLine="30"/>
              <w:jc w:val="left"/>
              <w:rPr/>
            </w:pPr>
            <w:r>
              <w:rPr/>
              <w:t> </w:t>
            </w:r>
          </w:p>
        </w:tc>
        <w:tc>
          <w:tcPr>
            <w:tcW w:w="8170" w:type="dxa"/>
            <w:gridSpan w:val="2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035"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short-term consumer loans:</w:t>
            </w:r>
          </w:p>
        </w:tc>
        <w:tc>
          <w:tcPr>
            <w:tcW w:w="99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0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037"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953"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0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967"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319" w:type="dxa"/>
            <w:gridSpan w:val="3"/>
            <w:tcBorders/>
            <w:shd w:fill="CCEEFF" w:val="clear"/>
            <w:vAlign w:val="center"/>
          </w:tcPr>
          <w:p>
            <w:pPr>
              <w:pStyle w:val="TableContents"/>
              <w:spacing w:before="0" w:after="0"/>
              <w:ind w:left="0" w:right="0" w:firstLine="420"/>
              <w:rPr/>
            </w:pPr>
            <w:r>
              <w:rPr/>
              <w:t> </w:t>
            </w:r>
          </w:p>
        </w:tc>
      </w:tr>
      <w:tr>
        <w:trPr/>
        <w:tc>
          <w:tcPr>
            <w:tcW w:w="203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2012</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1,727</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8" w:type="dxa"/>
            <w:tcBorders/>
            <w:shd w:fill="auto" w:val="clear"/>
            <w:vAlign w:val="center"/>
          </w:tcPr>
          <w:p>
            <w:pPr>
              <w:pStyle w:val="TableContents"/>
              <w:spacing w:before="0" w:after="0"/>
              <w:jc w:val="right"/>
              <w:rPr>
                <w:rFonts w:ascii="inherit" w:hAnsi="inherit"/>
                <w:sz w:val="15"/>
              </w:rPr>
            </w:pPr>
            <w:r>
              <w:rPr>
                <w:rFonts w:ascii="inherit" w:hAnsi="inherit"/>
                <w:sz w:val="15"/>
              </w:rPr>
              <w:t>(26,564</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13" w:type="dxa"/>
            <w:tcBorders/>
            <w:shd w:fill="auto" w:val="clear"/>
            <w:vAlign w:val="center"/>
          </w:tcPr>
          <w:p>
            <w:pPr>
              <w:pStyle w:val="TableContents"/>
              <w:spacing w:before="0" w:after="0"/>
              <w:jc w:val="right"/>
              <w:rPr>
                <w:rFonts w:ascii="inherit" w:hAnsi="inherit"/>
                <w:sz w:val="15"/>
              </w:rPr>
            </w:pPr>
            <w:r>
              <w:rPr>
                <w:rFonts w:ascii="inherit" w:hAnsi="inherit"/>
                <w:sz w:val="15"/>
              </w:rPr>
              <w:t>12,176</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47" w:type="dxa"/>
            <w:tcBorders/>
            <w:shd w:fill="auto" w:val="clear"/>
            <w:vAlign w:val="center"/>
          </w:tcPr>
          <w:p>
            <w:pPr>
              <w:pStyle w:val="TableContents"/>
              <w:spacing w:before="0" w:after="0"/>
              <w:jc w:val="right"/>
              <w:rPr>
                <w:rFonts w:ascii="inherit" w:hAnsi="inherit"/>
                <w:sz w:val="15"/>
              </w:rPr>
            </w:pPr>
            <w:r>
              <w:rPr>
                <w:rFonts w:ascii="inherit" w:hAnsi="inherit"/>
                <w:sz w:val="15"/>
              </w:rPr>
              <w:t>15,034</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25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61" w:type="dxa"/>
            <w:tcBorders/>
            <w:shd w:fill="auto" w:val="clear"/>
            <w:vAlign w:val="center"/>
          </w:tcPr>
          <w:p>
            <w:pPr>
              <w:pStyle w:val="TableContents"/>
              <w:spacing w:before="0" w:after="0"/>
              <w:jc w:val="right"/>
              <w:rPr>
                <w:rFonts w:ascii="inherit" w:hAnsi="inherit"/>
                <w:sz w:val="15"/>
              </w:rPr>
            </w:pPr>
            <w:r>
              <w:rPr>
                <w:rFonts w:ascii="inherit" w:hAnsi="inherit"/>
                <w:sz w:val="15"/>
              </w:rPr>
              <w:t>17</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36" w:type="dxa"/>
            <w:tcBorders/>
            <w:shd w:fill="auto" w:val="clear"/>
            <w:vAlign w:val="center"/>
          </w:tcPr>
          <w:p>
            <w:pPr>
              <w:pStyle w:val="TableContents"/>
              <w:spacing w:before="0" w:after="0"/>
              <w:jc w:val="right"/>
              <w:rPr>
                <w:rFonts w:ascii="inherit" w:hAnsi="inherit"/>
                <w:sz w:val="15"/>
              </w:rPr>
            </w:pPr>
            <w:r>
              <w:rPr>
                <w:rFonts w:ascii="inherit" w:hAnsi="inherit"/>
                <w:sz w:val="15"/>
              </w:rPr>
              <w:t>2,390</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30" w:type="dxa"/>
            <w:tcBorders/>
            <w:shd w:fill="auto" w:val="clear"/>
            <w:vAlign w:val="center"/>
          </w:tcPr>
          <w:p>
            <w:pPr>
              <w:pStyle w:val="TableContents"/>
              <w:spacing w:before="0" w:after="0"/>
              <w:jc w:val="right"/>
              <w:rPr>
                <w:rFonts w:ascii="inherit" w:hAnsi="inherit"/>
                <w:sz w:val="15"/>
              </w:rPr>
            </w:pPr>
            <w:r>
              <w:rPr>
                <w:rFonts w:ascii="inherit" w:hAnsi="inherit"/>
                <w:sz w:val="15"/>
              </w:rPr>
              <w:t>20,108</w:t>
            </w:r>
          </w:p>
        </w:tc>
        <w:tc>
          <w:tcPr>
            <w:tcW w:w="45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0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2011</w:t>
            </w:r>
          </w:p>
        </w:tc>
        <w:tc>
          <w:tcPr>
            <w:tcW w:w="9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750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93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(18,043</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96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6,349</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88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12,671</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11" w:type="dxa"/>
            <w:gridSpan w:val="2"/>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89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1,727</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86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13,116</w:t>
            </w:r>
          </w:p>
        </w:tc>
        <w:tc>
          <w:tcPr>
            <w:tcW w:w="45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03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2010</w:t>
            </w:r>
          </w:p>
        </w:tc>
        <w:tc>
          <w:tcPr>
            <w:tcW w:w="9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532</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93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(14,807</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96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5,757</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88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9,268</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11" w:type="dxa"/>
            <w:gridSpan w:val="2"/>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89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750</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86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11,525</w:t>
            </w:r>
          </w:p>
        </w:tc>
        <w:tc>
          <w:tcPr>
            <w:tcW w:w="4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35"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Secured short-term consumer loans:</w:t>
            </w:r>
          </w:p>
        </w:tc>
        <w:tc>
          <w:tcPr>
            <w:tcW w:w="99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0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037"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953"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0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967"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319" w:type="dxa"/>
            <w:gridSpan w:val="3"/>
            <w:tcBorders/>
            <w:shd w:fill="CCEEFF" w:val="clear"/>
            <w:vAlign w:val="center"/>
          </w:tcPr>
          <w:p>
            <w:pPr>
              <w:pStyle w:val="TableContents"/>
              <w:spacing w:before="0" w:after="0"/>
              <w:ind w:left="0" w:right="0" w:firstLine="420"/>
              <w:rPr/>
            </w:pPr>
            <w:r>
              <w:rPr/>
              <w:t> </w:t>
            </w:r>
          </w:p>
        </w:tc>
      </w:tr>
      <w:tr>
        <w:trPr/>
        <w:tc>
          <w:tcPr>
            <w:tcW w:w="203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2012</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538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8" w:type="dxa"/>
            <w:tcBorders/>
            <w:shd w:fill="auto" w:val="clear"/>
            <w:vAlign w:val="center"/>
          </w:tcPr>
          <w:p>
            <w:pPr>
              <w:pStyle w:val="TableContents"/>
              <w:spacing w:before="0" w:after="0"/>
              <w:jc w:val="right"/>
              <w:rPr>
                <w:rFonts w:ascii="inherit" w:hAnsi="inherit"/>
                <w:sz w:val="15"/>
              </w:rPr>
            </w:pPr>
            <w:r>
              <w:rPr>
                <w:rFonts w:ascii="inherit" w:hAnsi="inherit"/>
                <w:sz w:val="15"/>
              </w:rPr>
              <w:t>(11,295</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13" w:type="dxa"/>
            <w:tcBorders/>
            <w:shd w:fill="auto" w:val="clear"/>
            <w:vAlign w:val="center"/>
          </w:tcPr>
          <w:p>
            <w:pPr>
              <w:pStyle w:val="TableContents"/>
              <w:spacing w:before="0" w:after="0"/>
              <w:jc w:val="right"/>
              <w:rPr>
                <w:rFonts w:ascii="inherit" w:hAnsi="inherit"/>
                <w:sz w:val="15"/>
              </w:rPr>
            </w:pPr>
            <w:r>
              <w:rPr>
                <w:rFonts w:ascii="inherit" w:hAnsi="inherit"/>
                <w:sz w:val="15"/>
              </w:rPr>
              <w:t>9,087</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47" w:type="dxa"/>
            <w:tcBorders/>
            <w:shd w:fill="auto" w:val="clear"/>
            <w:vAlign w:val="center"/>
          </w:tcPr>
          <w:p>
            <w:pPr>
              <w:pStyle w:val="TableContents"/>
              <w:spacing w:before="0" w:after="0"/>
              <w:jc w:val="right"/>
              <w:rPr>
                <w:rFonts w:ascii="inherit" w:hAnsi="inherit"/>
                <w:sz w:val="15"/>
              </w:rPr>
            </w:pPr>
            <w:r>
              <w:rPr>
                <w:rFonts w:ascii="inherit" w:hAnsi="inherit"/>
                <w:sz w:val="15"/>
              </w:rPr>
              <w:t>2,612</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25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61"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36" w:type="dxa"/>
            <w:tcBorders/>
            <w:shd w:fill="auto" w:val="clear"/>
            <w:vAlign w:val="center"/>
          </w:tcPr>
          <w:p>
            <w:pPr>
              <w:pStyle w:val="TableContents"/>
              <w:spacing w:before="0" w:after="0"/>
              <w:jc w:val="right"/>
              <w:rPr>
                <w:rFonts w:ascii="inherit" w:hAnsi="inherit"/>
                <w:sz w:val="15"/>
              </w:rPr>
            </w:pPr>
            <w:r>
              <w:rPr>
                <w:rFonts w:ascii="inherit" w:hAnsi="inherit"/>
                <w:sz w:val="15"/>
              </w:rPr>
              <w:t>942</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30" w:type="dxa"/>
            <w:tcBorders/>
            <w:shd w:fill="auto" w:val="clear"/>
            <w:vAlign w:val="center"/>
          </w:tcPr>
          <w:p>
            <w:pPr>
              <w:pStyle w:val="TableContents"/>
              <w:spacing w:before="0" w:after="0"/>
              <w:jc w:val="right"/>
              <w:rPr>
                <w:rFonts w:ascii="inherit" w:hAnsi="inherit"/>
                <w:sz w:val="15"/>
              </w:rPr>
            </w:pPr>
            <w:r>
              <w:rPr>
                <w:rFonts w:ascii="inherit" w:hAnsi="inherit"/>
                <w:sz w:val="15"/>
              </w:rPr>
              <w:t>5,951</w:t>
            </w:r>
          </w:p>
        </w:tc>
        <w:tc>
          <w:tcPr>
            <w:tcW w:w="45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0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2011</w:t>
            </w:r>
          </w:p>
        </w:tc>
        <w:tc>
          <w:tcPr>
            <w:tcW w:w="9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1,137</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93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(12,616</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96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10,074</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88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1,943</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11" w:type="dxa"/>
            <w:gridSpan w:val="2"/>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89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538</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86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3,760</w:t>
            </w:r>
          </w:p>
        </w:tc>
        <w:tc>
          <w:tcPr>
            <w:tcW w:w="45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03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2010</w:t>
            </w:r>
          </w:p>
        </w:tc>
        <w:tc>
          <w:tcPr>
            <w:tcW w:w="9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291</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93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(9,240</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96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7,425</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88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2,661</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11" w:type="dxa"/>
            <w:gridSpan w:val="2"/>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89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1,137</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86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4,282</w:t>
            </w:r>
          </w:p>
        </w:tc>
        <w:tc>
          <w:tcPr>
            <w:tcW w:w="4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35"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long-term consumer loans:</w:t>
            </w:r>
          </w:p>
        </w:tc>
        <w:tc>
          <w:tcPr>
            <w:tcW w:w="99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0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037"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953"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0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967"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319" w:type="dxa"/>
            <w:gridSpan w:val="3"/>
            <w:tcBorders/>
            <w:shd w:fill="CCEEFF" w:val="clear"/>
            <w:vAlign w:val="center"/>
          </w:tcPr>
          <w:p>
            <w:pPr>
              <w:pStyle w:val="TableContents"/>
              <w:spacing w:before="0" w:after="0"/>
              <w:ind w:left="0" w:right="0" w:firstLine="420"/>
              <w:rPr/>
            </w:pPr>
            <w:r>
              <w:rPr/>
              <w:t> </w:t>
            </w:r>
          </w:p>
        </w:tc>
      </w:tr>
      <w:tr>
        <w:trPr/>
        <w:tc>
          <w:tcPr>
            <w:tcW w:w="203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2012</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8" w:type="dxa"/>
            <w:tcBorders/>
            <w:shd w:fill="auto" w:val="clear"/>
            <w:vAlign w:val="center"/>
          </w:tcPr>
          <w:p>
            <w:pPr>
              <w:pStyle w:val="TableContents"/>
              <w:spacing w:before="0" w:after="0"/>
              <w:jc w:val="right"/>
              <w:rPr>
                <w:rFonts w:ascii="inherit" w:hAnsi="inherit"/>
                <w:sz w:val="15"/>
              </w:rPr>
            </w:pPr>
            <w:r>
              <w:rPr>
                <w:rFonts w:ascii="inherit" w:hAnsi="inherit"/>
                <w:sz w:val="15"/>
              </w:rPr>
              <w:t>(571</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13" w:type="dxa"/>
            <w:tcBorders/>
            <w:shd w:fill="auto" w:val="clear"/>
            <w:vAlign w:val="center"/>
          </w:tcPr>
          <w:p>
            <w:pPr>
              <w:pStyle w:val="TableContents"/>
              <w:spacing w:before="0" w:after="0"/>
              <w:jc w:val="right"/>
              <w:rPr>
                <w:rFonts w:ascii="inherit" w:hAnsi="inherit"/>
                <w:sz w:val="15"/>
              </w:rPr>
            </w:pPr>
            <w:r>
              <w:rPr>
                <w:rFonts w:ascii="inherit" w:hAnsi="inherit"/>
                <w:sz w:val="15"/>
              </w:rPr>
              <w:t>896</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47" w:type="dxa"/>
            <w:tcBorders/>
            <w:shd w:fill="auto" w:val="clear"/>
            <w:vAlign w:val="center"/>
          </w:tcPr>
          <w:p>
            <w:pPr>
              <w:pStyle w:val="TableContents"/>
              <w:spacing w:before="0" w:after="0"/>
              <w:jc w:val="right"/>
              <w:rPr>
                <w:rFonts w:ascii="inherit" w:hAnsi="inherit"/>
                <w:sz w:val="15"/>
              </w:rPr>
            </w:pPr>
            <w:r>
              <w:rPr>
                <w:rFonts w:ascii="inherit" w:hAnsi="inherit"/>
                <w:sz w:val="15"/>
              </w:rPr>
              <w:t>285</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25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61" w:type="dxa"/>
            <w:tcBorders/>
            <w:shd w:fill="auto" w:val="clear"/>
            <w:vAlign w:val="center"/>
          </w:tcPr>
          <w:p>
            <w:pPr>
              <w:pStyle w:val="TableContents"/>
              <w:spacing w:before="0" w:after="0"/>
              <w:jc w:val="right"/>
              <w:rPr>
                <w:rFonts w:ascii="inherit" w:hAnsi="inherit"/>
                <w:sz w:val="15"/>
              </w:rPr>
            </w:pPr>
            <w:r>
              <w:rPr>
                <w:rFonts w:ascii="inherit" w:hAnsi="inherit"/>
                <w:sz w:val="15"/>
              </w:rPr>
              <w:t>13</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36" w:type="dxa"/>
            <w:tcBorders/>
            <w:shd w:fill="auto" w:val="clear"/>
            <w:vAlign w:val="center"/>
          </w:tcPr>
          <w:p>
            <w:pPr>
              <w:pStyle w:val="TableContents"/>
              <w:spacing w:before="0" w:after="0"/>
              <w:jc w:val="right"/>
              <w:rPr>
                <w:rFonts w:ascii="inherit" w:hAnsi="inherit"/>
                <w:sz w:val="15"/>
              </w:rPr>
            </w:pPr>
            <w:r>
              <w:rPr>
                <w:rFonts w:ascii="inherit" w:hAnsi="inherit"/>
                <w:sz w:val="15"/>
              </w:rPr>
              <w:t>623</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30" w:type="dxa"/>
            <w:tcBorders/>
            <w:shd w:fill="auto" w:val="clear"/>
            <w:vAlign w:val="center"/>
          </w:tcPr>
          <w:p>
            <w:pPr>
              <w:pStyle w:val="TableContents"/>
              <w:spacing w:before="0" w:after="0"/>
              <w:jc w:val="right"/>
              <w:rPr>
                <w:rFonts w:ascii="inherit" w:hAnsi="inherit"/>
                <w:sz w:val="15"/>
              </w:rPr>
            </w:pPr>
            <w:r>
              <w:rPr>
                <w:rFonts w:ascii="inherit" w:hAnsi="inherit"/>
                <w:sz w:val="15"/>
              </w:rPr>
              <w:t>74,045</w:t>
            </w:r>
          </w:p>
        </w:tc>
        <w:tc>
          <w:tcPr>
            <w:tcW w:w="452"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provisions presented in the table above include only principal and excludes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pStyle w:val="TextBody"/>
        <w:spacing w:lineRule="auto" w:line="288" w:before="0" w:after="0"/>
        <w:jc w:val="left"/>
        <w:rPr>
          <w:sz w:val="17"/>
        </w:rPr>
      </w:pPr>
      <w:r>
        <w:rPr>
          <w:rFonts w:ascii="inherit" w:hAnsi="inherit"/>
          <w:sz w:val="17"/>
        </w:rPr>
        <w:t xml:space="preserve">Auto title loans are our only consumer loans (other than those made by Crediamigo) that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loans for which we have not yet repossessed the underlying collateral. No fees are accrued on any auto title loans more than 90 days past due. </w:t>
      </w:r>
    </w:p>
    <w:p>
      <w:pPr>
        <w:pStyle w:val="TextBody"/>
        <w:spacing w:lineRule="auto" w:line="288" w:before="0" w:after="0"/>
        <w:jc w:val="left"/>
        <w:rPr>
          <w:rFonts w:ascii="inherit" w:hAnsi="inherit"/>
          <w:sz w:val="17"/>
        </w:rPr>
      </w:pPr>
      <w:r>
        <w:rPr>
          <w:rFonts w:ascii="inherit" w:hAnsi="inherit"/>
          <w:sz w:val="17"/>
        </w:rPr>
        <w:t>Consumer loans made by Crediamigo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No fees are accrued on any consumer loans made to customers that are no longer employed.</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79</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following table presents an aging analysis of past due financing receivables by portfolio segment:</w:t>
      </w:r>
    </w:p>
    <w:tbl>
      <w:tblPr>
        <w:tblW w:w="10205" w:type="dxa"/>
        <w:jc w:val="left"/>
        <w:tblInd w:w="0" w:type="dxa"/>
        <w:tblCellMar>
          <w:top w:w="0" w:type="dxa"/>
          <w:left w:w="0" w:type="dxa"/>
          <w:bottom w:w="0" w:type="dxa"/>
          <w:right w:w="0" w:type="dxa"/>
        </w:tblCellMar>
      </w:tblPr>
      <w:tblGrid>
        <w:gridCol w:w="708"/>
        <w:gridCol w:w="140"/>
        <w:gridCol w:w="568"/>
        <w:gridCol w:w="48"/>
        <w:gridCol w:w="106"/>
        <w:gridCol w:w="140"/>
        <w:gridCol w:w="689"/>
        <w:gridCol w:w="48"/>
        <w:gridCol w:w="106"/>
        <w:gridCol w:w="140"/>
        <w:gridCol w:w="423"/>
        <w:gridCol w:w="48"/>
        <w:gridCol w:w="106"/>
        <w:gridCol w:w="140"/>
        <w:gridCol w:w="568"/>
        <w:gridCol w:w="48"/>
        <w:gridCol w:w="106"/>
        <w:gridCol w:w="140"/>
        <w:gridCol w:w="689"/>
        <w:gridCol w:w="48"/>
        <w:gridCol w:w="106"/>
        <w:gridCol w:w="144"/>
        <w:gridCol w:w="708"/>
        <w:gridCol w:w="50"/>
        <w:gridCol w:w="106"/>
        <w:gridCol w:w="150"/>
        <w:gridCol w:w="709"/>
        <w:gridCol w:w="135"/>
        <w:gridCol w:w="106"/>
        <w:gridCol w:w="144"/>
        <w:gridCol w:w="708"/>
        <w:gridCol w:w="50"/>
        <w:gridCol w:w="106"/>
        <w:gridCol w:w="197"/>
        <w:gridCol w:w="598"/>
        <w:gridCol w:w="64"/>
        <w:gridCol w:w="106"/>
        <w:gridCol w:w="172"/>
        <w:gridCol w:w="733"/>
        <w:gridCol w:w="104"/>
      </w:tblGrid>
      <w:tr>
        <w:trPr/>
        <w:tc>
          <w:tcPr>
            <w:tcW w:w="10205" w:type="dxa"/>
            <w:gridSpan w:val="40"/>
            <w:tcBorders/>
            <w:shd w:fill="auto" w:val="clear"/>
            <w:vAlign w:val="center"/>
          </w:tcPr>
          <w:p>
            <w:pPr>
              <w:pStyle w:val="TableContents"/>
              <w:spacing w:before="0" w:after="283"/>
              <w:rPr>
                <w:sz w:val="4"/>
                <w:szCs w:val="4"/>
              </w:rPr>
            </w:pPr>
            <w:r>
              <w:rPr>
                <w:sz w:val="4"/>
                <w:szCs w:val="4"/>
              </w:rPr>
            </w:r>
          </w:p>
        </w:tc>
      </w:tr>
      <w:tr>
        <w:trPr/>
        <w:tc>
          <w:tcPr>
            <w:tcW w:w="70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08" w:type="dxa"/>
            <w:tcBorders/>
            <w:shd w:fill="auto" w:val="clear"/>
            <w:vAlign w:val="center"/>
          </w:tcPr>
          <w:p>
            <w:pPr>
              <w:pStyle w:val="TableContents"/>
              <w:spacing w:before="0" w:after="0"/>
              <w:ind w:left="0" w:right="0" w:firstLine="30"/>
              <w:jc w:val="left"/>
              <w:rPr/>
            </w:pPr>
            <w:r>
              <w:rPr/>
              <w:t> </w:t>
            </w:r>
          </w:p>
        </w:tc>
        <w:tc>
          <w:tcPr>
            <w:tcW w:w="331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Days Past Due</w:t>
            </w:r>
          </w:p>
        </w:tc>
        <w:tc>
          <w:tcPr>
            <w:tcW w:w="106" w:type="dxa"/>
            <w:tcBorders/>
            <w:shd w:fill="auto" w:val="clear"/>
            <w:vAlign w:val="center"/>
          </w:tcPr>
          <w:p>
            <w:pPr>
              <w:pStyle w:val="TableContents"/>
              <w:spacing w:before="0" w:after="0"/>
              <w:ind w:left="0" w:right="0" w:firstLine="30"/>
              <w:rPr/>
            </w:pPr>
            <w:r>
              <w:rPr/>
              <w:t> </w:t>
            </w:r>
          </w:p>
        </w:tc>
        <w:tc>
          <w:tcPr>
            <w:tcW w:w="877"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Total Past Due</w:t>
            </w:r>
          </w:p>
        </w:tc>
        <w:tc>
          <w:tcPr>
            <w:tcW w:w="106" w:type="dxa"/>
            <w:tcBorders/>
            <w:shd w:fill="auto" w:val="clear"/>
            <w:vAlign w:val="center"/>
          </w:tcPr>
          <w:p>
            <w:pPr>
              <w:pStyle w:val="TableContents"/>
              <w:spacing w:before="0" w:after="0"/>
              <w:ind w:left="0" w:right="0" w:firstLine="30"/>
              <w:rPr/>
            </w:pPr>
            <w:r>
              <w:rPr/>
              <w:t> </w:t>
            </w:r>
          </w:p>
        </w:tc>
        <w:tc>
          <w:tcPr>
            <w:tcW w:w="902"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Current Receivable</w:t>
            </w:r>
          </w:p>
        </w:tc>
        <w:tc>
          <w:tcPr>
            <w:tcW w:w="106" w:type="dxa"/>
            <w:tcBorders/>
            <w:shd w:fill="auto" w:val="clear"/>
            <w:vAlign w:val="center"/>
          </w:tcPr>
          <w:p>
            <w:pPr>
              <w:pStyle w:val="TableContents"/>
              <w:spacing w:before="0" w:after="0"/>
              <w:ind w:left="0" w:right="0" w:firstLine="30"/>
              <w:rPr/>
            </w:pPr>
            <w:r>
              <w:rPr/>
              <w:t> </w:t>
            </w:r>
          </w:p>
        </w:tc>
        <w:tc>
          <w:tcPr>
            <w:tcW w:w="99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Fair Value Adjustment</w:t>
            </w:r>
          </w:p>
        </w:tc>
        <w:tc>
          <w:tcPr>
            <w:tcW w:w="106" w:type="dxa"/>
            <w:tcBorders/>
            <w:shd w:fill="auto" w:val="clear"/>
            <w:vAlign w:val="center"/>
          </w:tcPr>
          <w:p>
            <w:pPr>
              <w:pStyle w:val="TableContents"/>
              <w:spacing w:before="0" w:after="0"/>
              <w:ind w:left="0" w:right="0" w:firstLine="30"/>
              <w:rPr/>
            </w:pPr>
            <w:r>
              <w:rPr/>
              <w:t> </w:t>
            </w:r>
          </w:p>
        </w:tc>
        <w:tc>
          <w:tcPr>
            <w:tcW w:w="902"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Total Financing Receivable</w:t>
            </w:r>
          </w:p>
        </w:tc>
        <w:tc>
          <w:tcPr>
            <w:tcW w:w="106" w:type="dxa"/>
            <w:tcBorders/>
            <w:shd w:fill="auto" w:val="clear"/>
            <w:vAlign w:val="center"/>
          </w:tcPr>
          <w:p>
            <w:pPr>
              <w:pStyle w:val="TableContents"/>
              <w:spacing w:before="0" w:after="0"/>
              <w:ind w:left="0" w:right="0" w:firstLine="30"/>
              <w:rPr/>
            </w:pPr>
            <w:r>
              <w:rPr/>
              <w:t> </w:t>
            </w:r>
          </w:p>
        </w:tc>
        <w:tc>
          <w:tcPr>
            <w:tcW w:w="85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Allowance Balance</w:t>
            </w:r>
          </w:p>
        </w:tc>
        <w:tc>
          <w:tcPr>
            <w:tcW w:w="106" w:type="dxa"/>
            <w:tcBorders/>
            <w:shd w:fill="auto" w:val="clear"/>
            <w:vAlign w:val="center"/>
          </w:tcPr>
          <w:p>
            <w:pPr>
              <w:pStyle w:val="TableContents"/>
              <w:spacing w:before="0" w:after="0"/>
              <w:ind w:left="0" w:right="0" w:firstLine="30"/>
              <w:rPr/>
            </w:pPr>
            <w:r>
              <w:rPr/>
              <w:t> </w:t>
            </w:r>
          </w:p>
        </w:tc>
        <w:tc>
          <w:tcPr>
            <w:tcW w:w="100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Recorded Investment &gt; 90 Days &amp; Accruing</w:t>
            </w:r>
          </w:p>
        </w:tc>
      </w:tr>
      <w:tr>
        <w:trPr/>
        <w:tc>
          <w:tcPr>
            <w:tcW w:w="708" w:type="dxa"/>
            <w:tcBorders/>
            <w:shd w:fill="auto" w:val="clear"/>
            <w:vAlign w:val="center"/>
          </w:tcPr>
          <w:p>
            <w:pPr>
              <w:pStyle w:val="TableContents"/>
              <w:spacing w:before="0" w:after="0"/>
              <w:ind w:left="0" w:right="0" w:firstLine="30"/>
              <w:jc w:val="left"/>
              <w:rPr/>
            </w:pPr>
            <w:r>
              <w:rPr/>
              <w:t> </w:t>
            </w:r>
          </w:p>
        </w:tc>
        <w:tc>
          <w:tcPr>
            <w:tcW w:w="7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1-30</w:t>
            </w:r>
          </w:p>
        </w:tc>
        <w:tc>
          <w:tcPr>
            <w:tcW w:w="106" w:type="dxa"/>
            <w:tcBorders/>
            <w:shd w:fill="auto" w:val="clear"/>
            <w:vAlign w:val="center"/>
          </w:tcPr>
          <w:p>
            <w:pPr>
              <w:pStyle w:val="TableContents"/>
              <w:spacing w:before="0" w:after="0"/>
              <w:ind w:left="0" w:right="0" w:firstLine="30"/>
              <w:rPr/>
            </w:pPr>
            <w:r>
              <w:rPr/>
              <w:t> </w:t>
            </w:r>
          </w:p>
        </w:tc>
        <w:tc>
          <w:tcPr>
            <w:tcW w:w="8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31-60</w:t>
            </w:r>
          </w:p>
        </w:tc>
        <w:tc>
          <w:tcPr>
            <w:tcW w:w="106" w:type="dxa"/>
            <w:tcBorders/>
            <w:shd w:fill="auto" w:val="clear"/>
            <w:vAlign w:val="center"/>
          </w:tcPr>
          <w:p>
            <w:pPr>
              <w:pStyle w:val="TableContents"/>
              <w:spacing w:before="0" w:after="0"/>
              <w:ind w:left="0" w:right="0" w:firstLine="30"/>
              <w:rPr/>
            </w:pPr>
            <w:r>
              <w:rPr/>
              <w:t> </w:t>
            </w:r>
          </w:p>
        </w:tc>
        <w:tc>
          <w:tcPr>
            <w:tcW w:w="6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61-90</w:t>
            </w:r>
          </w:p>
        </w:tc>
        <w:tc>
          <w:tcPr>
            <w:tcW w:w="106" w:type="dxa"/>
            <w:tcBorders/>
            <w:shd w:fill="auto" w:val="clear"/>
            <w:vAlign w:val="center"/>
          </w:tcPr>
          <w:p>
            <w:pPr>
              <w:pStyle w:val="TableContents"/>
              <w:spacing w:before="0" w:after="0"/>
              <w:ind w:left="0" w:right="0" w:firstLine="30"/>
              <w:rPr/>
            </w:pPr>
            <w:r>
              <w:rPr/>
              <w:t> </w:t>
            </w:r>
          </w:p>
        </w:tc>
        <w:tc>
          <w:tcPr>
            <w:tcW w:w="7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&gt;90</w:t>
            </w:r>
          </w:p>
        </w:tc>
        <w:tc>
          <w:tcPr>
            <w:tcW w:w="106" w:type="dxa"/>
            <w:tcBorders/>
            <w:shd w:fill="auto" w:val="clear"/>
            <w:vAlign w:val="center"/>
          </w:tcPr>
          <w:p>
            <w:pPr>
              <w:pStyle w:val="TableContents"/>
              <w:spacing w:before="0" w:after="0"/>
              <w:ind w:left="0" w:right="0" w:firstLine="30"/>
              <w:rPr/>
            </w:pPr>
            <w:r>
              <w:rPr/>
              <w:t> </w:t>
            </w:r>
          </w:p>
        </w:tc>
        <w:tc>
          <w:tcPr>
            <w:tcW w:w="877" w:type="dxa"/>
            <w:gridSpan w:val="3"/>
            <w:vMerge w:val="continue"/>
            <w:tcBorders>
              <w:bottom w:val="single" w:sz="2" w:space="0" w:color="000000"/>
            </w:tcBorders>
            <w:shd w:fill="auto" w:val="clear"/>
            <w:tcMar>
              <w:bottom w:w="30" w:type="dxa"/>
            </w:tcMar>
            <w:vAlign w:val="center"/>
          </w:tcPr>
          <w:p>
            <w:pPr>
              <w:pStyle w:val="Normal"/>
              <w:rPr/>
            </w:pPr>
            <w:r>
              <w:rPr/>
            </w:r>
          </w:p>
        </w:tc>
        <w:tc>
          <w:tcPr>
            <w:tcW w:w="106" w:type="dxa"/>
            <w:tcBorders/>
            <w:shd w:fill="auto" w:val="clear"/>
            <w:vAlign w:val="center"/>
          </w:tcPr>
          <w:p>
            <w:pPr>
              <w:pStyle w:val="TableContents"/>
              <w:spacing w:before="0" w:after="0"/>
              <w:ind w:left="0" w:right="0" w:firstLine="30"/>
              <w:rPr/>
            </w:pPr>
            <w:r>
              <w:rPr/>
              <w:t> </w:t>
            </w:r>
          </w:p>
        </w:tc>
        <w:tc>
          <w:tcPr>
            <w:tcW w:w="902" w:type="dxa"/>
            <w:gridSpan w:val="3"/>
            <w:vMerge w:val="continue"/>
            <w:tcBorders>
              <w:bottom w:val="single" w:sz="2" w:space="0" w:color="000000"/>
            </w:tcBorders>
            <w:shd w:fill="auto" w:val="clear"/>
            <w:tcMar>
              <w:bottom w:w="30" w:type="dxa"/>
            </w:tcMar>
            <w:vAlign w:val="center"/>
          </w:tcPr>
          <w:p>
            <w:pPr>
              <w:pStyle w:val="Normal"/>
              <w:rPr/>
            </w:pPr>
            <w:r>
              <w:rPr/>
            </w:r>
          </w:p>
        </w:tc>
        <w:tc>
          <w:tcPr>
            <w:tcW w:w="106" w:type="dxa"/>
            <w:tcBorders/>
            <w:shd w:fill="auto" w:val="clear"/>
            <w:vAlign w:val="center"/>
          </w:tcPr>
          <w:p>
            <w:pPr>
              <w:pStyle w:val="TableContents"/>
              <w:spacing w:before="0" w:after="0"/>
              <w:ind w:left="0" w:right="0" w:firstLine="30"/>
              <w:rPr/>
            </w:pPr>
            <w:r>
              <w:rPr/>
              <w:t> </w:t>
            </w:r>
          </w:p>
        </w:tc>
        <w:tc>
          <w:tcPr>
            <w:tcW w:w="994" w:type="dxa"/>
            <w:gridSpan w:val="3"/>
            <w:vMerge w:val="continue"/>
            <w:tcBorders>
              <w:bottom w:val="single" w:sz="2" w:space="0" w:color="000000"/>
            </w:tcBorders>
            <w:shd w:fill="auto" w:val="clear"/>
            <w:tcMar>
              <w:bottom w:w="30" w:type="dxa"/>
            </w:tcMar>
            <w:vAlign w:val="center"/>
          </w:tcPr>
          <w:p>
            <w:pPr>
              <w:pStyle w:val="Normal"/>
              <w:rPr/>
            </w:pPr>
            <w:r>
              <w:rPr/>
            </w:r>
          </w:p>
        </w:tc>
        <w:tc>
          <w:tcPr>
            <w:tcW w:w="106" w:type="dxa"/>
            <w:tcBorders/>
            <w:shd w:fill="auto" w:val="clear"/>
            <w:vAlign w:val="center"/>
          </w:tcPr>
          <w:p>
            <w:pPr>
              <w:pStyle w:val="TableContents"/>
              <w:spacing w:before="0" w:after="0"/>
              <w:ind w:left="0" w:right="0" w:firstLine="30"/>
              <w:rPr/>
            </w:pPr>
            <w:r>
              <w:rPr/>
              <w:t> </w:t>
            </w:r>
          </w:p>
        </w:tc>
        <w:tc>
          <w:tcPr>
            <w:tcW w:w="902" w:type="dxa"/>
            <w:gridSpan w:val="3"/>
            <w:vMerge w:val="continue"/>
            <w:tcBorders>
              <w:bottom w:val="single" w:sz="2" w:space="0" w:color="000000"/>
            </w:tcBorders>
            <w:shd w:fill="auto" w:val="clear"/>
            <w:tcMar>
              <w:bottom w:w="30" w:type="dxa"/>
            </w:tcMar>
            <w:vAlign w:val="center"/>
          </w:tcPr>
          <w:p>
            <w:pPr>
              <w:pStyle w:val="Normal"/>
              <w:rPr/>
            </w:pPr>
            <w:r>
              <w:rPr/>
            </w:r>
          </w:p>
        </w:tc>
        <w:tc>
          <w:tcPr>
            <w:tcW w:w="106" w:type="dxa"/>
            <w:tcBorders/>
            <w:shd w:fill="auto" w:val="clear"/>
            <w:vAlign w:val="center"/>
          </w:tcPr>
          <w:p>
            <w:pPr>
              <w:pStyle w:val="TableContents"/>
              <w:spacing w:before="0" w:after="0"/>
              <w:ind w:left="0" w:right="0" w:firstLine="30"/>
              <w:rPr/>
            </w:pPr>
            <w:r>
              <w:rPr/>
              <w:t> </w:t>
            </w:r>
          </w:p>
        </w:tc>
        <w:tc>
          <w:tcPr>
            <w:tcW w:w="859" w:type="dxa"/>
            <w:gridSpan w:val="3"/>
            <w:vMerge w:val="continue"/>
            <w:tcBorders>
              <w:bottom w:val="single" w:sz="2" w:space="0" w:color="000000"/>
            </w:tcBorders>
            <w:shd w:fill="auto" w:val="clear"/>
            <w:tcMar>
              <w:bottom w:w="30" w:type="dxa"/>
            </w:tcMar>
            <w:vAlign w:val="center"/>
          </w:tcPr>
          <w:p>
            <w:pPr>
              <w:pStyle w:val="Normal"/>
              <w:rPr/>
            </w:pPr>
            <w:r>
              <w:rPr/>
            </w:r>
          </w:p>
        </w:tc>
        <w:tc>
          <w:tcPr>
            <w:tcW w:w="106" w:type="dxa"/>
            <w:tcBorders/>
            <w:shd w:fill="auto" w:val="clear"/>
            <w:vAlign w:val="center"/>
          </w:tcPr>
          <w:p>
            <w:pPr>
              <w:pStyle w:val="TableContents"/>
              <w:spacing w:before="0" w:after="0"/>
              <w:ind w:left="0" w:right="0" w:firstLine="30"/>
              <w:rPr/>
            </w:pPr>
            <w:r>
              <w:rPr/>
              <w:t> </w:t>
            </w:r>
          </w:p>
        </w:tc>
        <w:tc>
          <w:tcPr>
            <w:tcW w:w="1009"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708" w:type="dxa"/>
            <w:tcBorders/>
            <w:shd w:fill="auto" w:val="clear"/>
            <w:vAlign w:val="center"/>
          </w:tcPr>
          <w:p>
            <w:pPr>
              <w:pStyle w:val="TableContents"/>
              <w:spacing w:before="0" w:after="0"/>
              <w:ind w:left="0" w:right="0" w:firstLine="30"/>
              <w:jc w:val="left"/>
              <w:rPr/>
            </w:pPr>
            <w:r>
              <w:rPr/>
              <w:t> </w:t>
            </w:r>
          </w:p>
        </w:tc>
        <w:tc>
          <w:tcPr>
            <w:tcW w:w="9497" w:type="dxa"/>
            <w:gridSpan w:val="3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64" w:type="dxa"/>
            <w:gridSpan w:val="12"/>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Secured short-term consumer loans</w:t>
            </w:r>
          </w:p>
        </w:tc>
        <w:tc>
          <w:tcPr>
            <w:tcW w:w="106" w:type="dxa"/>
            <w:tcBorders/>
            <w:shd w:fill="CCEEFF" w:val="clear"/>
            <w:vAlign w:val="center"/>
          </w:tcPr>
          <w:p>
            <w:pPr>
              <w:pStyle w:val="TableContents"/>
              <w:spacing w:before="0" w:after="0"/>
              <w:ind w:left="0" w:right="0" w:firstLine="30"/>
              <w:rPr/>
            </w:pPr>
            <w:r>
              <w:rPr/>
              <w:t> </w:t>
            </w:r>
          </w:p>
        </w:tc>
        <w:tc>
          <w:tcPr>
            <w:tcW w:w="756"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877"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902"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994"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902"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859"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1009" w:type="dxa"/>
            <w:gridSpan w:val="3"/>
            <w:tcBorders/>
            <w:shd w:fill="CCEEFF" w:val="clear"/>
            <w:vAlign w:val="center"/>
          </w:tcPr>
          <w:p>
            <w:pPr>
              <w:pStyle w:val="TableContents"/>
              <w:spacing w:before="0" w:after="0"/>
              <w:ind w:left="0" w:right="0" w:firstLine="30"/>
              <w:rPr/>
            </w:pPr>
            <w:r>
              <w:rPr/>
              <w:t> </w:t>
            </w:r>
          </w:p>
        </w:tc>
      </w:tr>
      <w:tr>
        <w:trPr/>
        <w:tc>
          <w:tcPr>
            <w:tcW w:w="1464"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September 30,</w:t>
            </w:r>
          </w:p>
        </w:tc>
        <w:tc>
          <w:tcPr>
            <w:tcW w:w="106" w:type="dxa"/>
            <w:tcBorders/>
            <w:shd w:fill="auto" w:val="clear"/>
            <w:vAlign w:val="center"/>
          </w:tcPr>
          <w:p>
            <w:pPr>
              <w:pStyle w:val="TableContents"/>
              <w:spacing w:before="0" w:after="0"/>
              <w:ind w:left="0" w:right="0" w:firstLine="30"/>
              <w:rPr/>
            </w:pPr>
            <w:r>
              <w:rPr/>
              <w:t> </w:t>
            </w:r>
          </w:p>
        </w:tc>
        <w:tc>
          <w:tcPr>
            <w:tcW w:w="87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611"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756"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7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94"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59"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09" w:type="dxa"/>
            <w:gridSpan w:val="3"/>
            <w:tcBorders/>
            <w:shd w:fill="auto" w:val="clear"/>
            <w:vAlign w:val="center"/>
          </w:tcPr>
          <w:p>
            <w:pPr>
              <w:pStyle w:val="TableContents"/>
              <w:spacing w:before="0" w:after="0"/>
              <w:ind w:left="0" w:right="0" w:firstLine="30"/>
              <w:rPr/>
            </w:pPr>
            <w:r>
              <w:rPr/>
              <w:t> </w:t>
            </w:r>
          </w:p>
        </w:tc>
      </w:tr>
      <w:tr>
        <w:trPr/>
        <w:tc>
          <w:tcPr>
            <w:tcW w:w="70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68" w:type="dxa"/>
            <w:tcBorders/>
            <w:shd w:fill="CCEEFF" w:val="clear"/>
            <w:vAlign w:val="center"/>
          </w:tcPr>
          <w:p>
            <w:pPr>
              <w:pStyle w:val="TableContents"/>
              <w:spacing w:before="0" w:after="0"/>
              <w:jc w:val="right"/>
              <w:rPr>
                <w:rFonts w:ascii="inherit" w:hAnsi="inherit"/>
                <w:sz w:val="17"/>
              </w:rPr>
            </w:pPr>
            <w:r>
              <w:rPr>
                <w:rFonts w:ascii="inherit" w:hAnsi="inherit"/>
                <w:sz w:val="17"/>
              </w:rPr>
              <w:t>1,246</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9" w:type="dxa"/>
            <w:tcBorders/>
            <w:shd w:fill="CCEEFF" w:val="clear"/>
            <w:vAlign w:val="center"/>
          </w:tcPr>
          <w:p>
            <w:pPr>
              <w:pStyle w:val="TableContents"/>
              <w:spacing w:before="0" w:after="0"/>
              <w:jc w:val="right"/>
              <w:rPr>
                <w:rFonts w:ascii="inherit" w:hAnsi="inherit"/>
                <w:sz w:val="17"/>
              </w:rPr>
            </w:pPr>
            <w:r>
              <w:rPr>
                <w:rFonts w:ascii="inherit" w:hAnsi="inherit"/>
                <w:sz w:val="17"/>
              </w:rPr>
              <w:t>708</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3" w:type="dxa"/>
            <w:tcBorders/>
            <w:shd w:fill="CCEEFF" w:val="clear"/>
            <w:vAlign w:val="center"/>
          </w:tcPr>
          <w:p>
            <w:pPr>
              <w:pStyle w:val="TableContents"/>
              <w:spacing w:before="0" w:after="0"/>
              <w:jc w:val="right"/>
              <w:rPr>
                <w:rFonts w:ascii="inherit" w:hAnsi="inherit"/>
                <w:sz w:val="17"/>
              </w:rPr>
            </w:pPr>
            <w:r>
              <w:rPr>
                <w:rFonts w:ascii="inherit" w:hAnsi="inherit"/>
                <w:sz w:val="17"/>
              </w:rPr>
              <w:t>466</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68" w:type="dxa"/>
            <w:tcBorders/>
            <w:shd w:fill="CCEEFF" w:val="clear"/>
            <w:vAlign w:val="center"/>
          </w:tcPr>
          <w:p>
            <w:pPr>
              <w:pStyle w:val="TableContents"/>
              <w:spacing w:before="0" w:after="0"/>
              <w:jc w:val="right"/>
              <w:rPr>
                <w:rFonts w:ascii="inherit" w:hAnsi="inherit"/>
                <w:sz w:val="17"/>
              </w:rPr>
            </w:pPr>
            <w:r>
              <w:rPr>
                <w:rFonts w:ascii="inherit" w:hAnsi="inherit"/>
                <w:sz w:val="17"/>
              </w:rPr>
              <w:t>391</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9" w:type="dxa"/>
            <w:tcBorders/>
            <w:shd w:fill="CCEEFF" w:val="clear"/>
            <w:vAlign w:val="center"/>
          </w:tcPr>
          <w:p>
            <w:pPr>
              <w:pStyle w:val="TableContents"/>
              <w:spacing w:before="0" w:after="0"/>
              <w:jc w:val="right"/>
              <w:rPr>
                <w:rFonts w:ascii="inherit" w:hAnsi="inherit"/>
                <w:sz w:val="17"/>
              </w:rPr>
            </w:pPr>
            <w:r>
              <w:rPr>
                <w:rFonts w:ascii="inherit" w:hAnsi="inherit"/>
                <w:sz w:val="17"/>
              </w:rPr>
              <w:t>2,811</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8" w:type="dxa"/>
            <w:tcBorders/>
            <w:shd w:fill="CCEEFF" w:val="clear"/>
            <w:vAlign w:val="center"/>
          </w:tcPr>
          <w:p>
            <w:pPr>
              <w:pStyle w:val="TableContents"/>
              <w:spacing w:before="0" w:after="0"/>
              <w:jc w:val="right"/>
              <w:rPr>
                <w:rFonts w:ascii="inherit" w:hAnsi="inherit"/>
                <w:sz w:val="17"/>
              </w:rPr>
            </w:pPr>
            <w:r>
              <w:rPr>
                <w:rFonts w:ascii="inherit" w:hAnsi="inherit"/>
                <w:sz w:val="17"/>
              </w:rPr>
              <w:t>3,140</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8" w:type="dxa"/>
            <w:tcBorders/>
            <w:shd w:fill="CCEEFF" w:val="clear"/>
            <w:vAlign w:val="center"/>
          </w:tcPr>
          <w:p>
            <w:pPr>
              <w:pStyle w:val="TableContents"/>
              <w:spacing w:before="0" w:after="0"/>
              <w:jc w:val="right"/>
              <w:rPr>
                <w:rFonts w:ascii="inherit" w:hAnsi="inherit"/>
                <w:sz w:val="17"/>
              </w:rPr>
            </w:pPr>
            <w:r>
              <w:rPr>
                <w:rFonts w:ascii="inherit" w:hAnsi="inherit"/>
                <w:sz w:val="17"/>
              </w:rPr>
              <w:t>5,951</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9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8" w:type="dxa"/>
            <w:tcBorders/>
            <w:shd w:fill="CCEEFF" w:val="clear"/>
            <w:vAlign w:val="center"/>
          </w:tcPr>
          <w:p>
            <w:pPr>
              <w:pStyle w:val="TableContents"/>
              <w:spacing w:before="0" w:after="0"/>
              <w:jc w:val="right"/>
              <w:rPr>
                <w:rFonts w:ascii="inherit" w:hAnsi="inherit"/>
                <w:sz w:val="17"/>
              </w:rPr>
            </w:pPr>
            <w:r>
              <w:rPr>
                <w:rFonts w:ascii="inherit" w:hAnsi="inherit"/>
                <w:sz w:val="17"/>
              </w:rPr>
              <w:t>942</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3" w:type="dxa"/>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4" w:type="dxa"/>
            <w:gridSpan w:val="4"/>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7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611"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756"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7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94"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59"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09" w:type="dxa"/>
            <w:gridSpan w:val="3"/>
            <w:tcBorders/>
            <w:shd w:fill="auto" w:val="clear"/>
            <w:vAlign w:val="center"/>
          </w:tcPr>
          <w:p>
            <w:pPr>
              <w:pStyle w:val="TableContents"/>
              <w:spacing w:before="0" w:after="0"/>
              <w:ind w:left="0" w:right="0" w:firstLine="30"/>
              <w:rPr/>
            </w:pPr>
            <w:r>
              <w:rPr/>
              <w:t> </w:t>
            </w:r>
          </w:p>
        </w:tc>
      </w:tr>
      <w:tr>
        <w:trPr/>
        <w:tc>
          <w:tcPr>
            <w:tcW w:w="70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2011</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68" w:type="dxa"/>
            <w:tcBorders/>
            <w:shd w:fill="CCEEFF" w:val="clear"/>
            <w:vAlign w:val="center"/>
          </w:tcPr>
          <w:p>
            <w:pPr>
              <w:pStyle w:val="TableContents"/>
              <w:spacing w:before="0" w:after="0"/>
              <w:jc w:val="right"/>
              <w:rPr>
                <w:rFonts w:ascii="inherit" w:hAnsi="inherit"/>
                <w:sz w:val="17"/>
              </w:rPr>
            </w:pPr>
            <w:r>
              <w:rPr>
                <w:rFonts w:ascii="inherit" w:hAnsi="inherit"/>
                <w:sz w:val="17"/>
              </w:rPr>
              <w:t>840</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9" w:type="dxa"/>
            <w:tcBorders/>
            <w:shd w:fill="CCEEFF" w:val="clear"/>
            <w:vAlign w:val="center"/>
          </w:tcPr>
          <w:p>
            <w:pPr>
              <w:pStyle w:val="TableContents"/>
              <w:spacing w:before="0" w:after="0"/>
              <w:jc w:val="right"/>
              <w:rPr>
                <w:rFonts w:ascii="inherit" w:hAnsi="inherit"/>
                <w:sz w:val="17"/>
              </w:rPr>
            </w:pPr>
            <w:r>
              <w:rPr>
                <w:rFonts w:ascii="inherit" w:hAnsi="inherit"/>
                <w:sz w:val="17"/>
              </w:rPr>
              <w:t>479</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3" w:type="dxa"/>
            <w:tcBorders/>
            <w:shd w:fill="CCEEFF" w:val="clear"/>
            <w:vAlign w:val="center"/>
          </w:tcPr>
          <w:p>
            <w:pPr>
              <w:pStyle w:val="TableContents"/>
              <w:spacing w:before="0" w:after="0"/>
              <w:jc w:val="right"/>
              <w:rPr>
                <w:rFonts w:ascii="inherit" w:hAnsi="inherit"/>
                <w:sz w:val="17"/>
              </w:rPr>
            </w:pPr>
            <w:r>
              <w:rPr>
                <w:rFonts w:ascii="inherit" w:hAnsi="inherit"/>
                <w:sz w:val="17"/>
              </w:rPr>
              <w:t>283</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68" w:type="dxa"/>
            <w:tcBorders/>
            <w:shd w:fill="CCEEFF" w:val="clear"/>
            <w:vAlign w:val="center"/>
          </w:tcPr>
          <w:p>
            <w:pPr>
              <w:pStyle w:val="TableContents"/>
              <w:spacing w:before="0" w:after="0"/>
              <w:jc w:val="right"/>
              <w:rPr>
                <w:rFonts w:ascii="inherit" w:hAnsi="inherit"/>
                <w:sz w:val="17"/>
              </w:rPr>
            </w:pPr>
            <w:r>
              <w:rPr>
                <w:rFonts w:ascii="inherit" w:hAnsi="inherit"/>
                <w:sz w:val="17"/>
              </w:rPr>
              <w:t>219</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9" w:type="dxa"/>
            <w:tcBorders/>
            <w:shd w:fill="CCEEFF" w:val="clear"/>
            <w:vAlign w:val="center"/>
          </w:tcPr>
          <w:p>
            <w:pPr>
              <w:pStyle w:val="TableContents"/>
              <w:spacing w:before="0" w:after="0"/>
              <w:jc w:val="right"/>
              <w:rPr>
                <w:rFonts w:ascii="inherit" w:hAnsi="inherit"/>
                <w:sz w:val="17"/>
              </w:rPr>
            </w:pPr>
            <w:r>
              <w:rPr>
                <w:rFonts w:ascii="inherit" w:hAnsi="inherit"/>
                <w:sz w:val="17"/>
              </w:rPr>
              <w:t>1,821</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8" w:type="dxa"/>
            <w:tcBorders/>
            <w:shd w:fill="CCEEFF" w:val="clear"/>
            <w:vAlign w:val="center"/>
          </w:tcPr>
          <w:p>
            <w:pPr>
              <w:pStyle w:val="TableContents"/>
              <w:spacing w:before="0" w:after="0"/>
              <w:jc w:val="right"/>
              <w:rPr>
                <w:rFonts w:ascii="inherit" w:hAnsi="inherit"/>
                <w:sz w:val="17"/>
              </w:rPr>
            </w:pPr>
            <w:r>
              <w:rPr>
                <w:rFonts w:ascii="inherit" w:hAnsi="inherit"/>
                <w:sz w:val="17"/>
              </w:rPr>
              <w:t>1,939</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8" w:type="dxa"/>
            <w:tcBorders/>
            <w:shd w:fill="CCEEFF" w:val="clear"/>
            <w:vAlign w:val="center"/>
          </w:tcPr>
          <w:p>
            <w:pPr>
              <w:pStyle w:val="TableContents"/>
              <w:spacing w:before="0" w:after="0"/>
              <w:jc w:val="right"/>
              <w:rPr>
                <w:rFonts w:ascii="inherit" w:hAnsi="inherit"/>
                <w:sz w:val="17"/>
              </w:rPr>
            </w:pPr>
            <w:r>
              <w:rPr>
                <w:rFonts w:ascii="inherit" w:hAnsi="inherit"/>
                <w:sz w:val="17"/>
              </w:rPr>
              <w:t>3,760</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9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8" w:type="dxa"/>
            <w:tcBorders/>
            <w:shd w:fill="CCEEFF" w:val="clear"/>
            <w:vAlign w:val="center"/>
          </w:tcPr>
          <w:p>
            <w:pPr>
              <w:pStyle w:val="TableContents"/>
              <w:spacing w:before="0" w:after="0"/>
              <w:jc w:val="right"/>
              <w:rPr>
                <w:rFonts w:ascii="inherit" w:hAnsi="inherit"/>
                <w:sz w:val="17"/>
              </w:rPr>
            </w:pPr>
            <w:r>
              <w:rPr>
                <w:rFonts w:ascii="inherit" w:hAnsi="inherit"/>
                <w:sz w:val="17"/>
              </w:rPr>
              <w:t>538</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3" w:type="dxa"/>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8" w:type="dxa"/>
            <w:tcBorders/>
            <w:shd w:fill="auto" w:val="clear"/>
            <w:vAlign w:val="center"/>
          </w:tcPr>
          <w:p>
            <w:pPr>
              <w:pStyle w:val="TableContents"/>
              <w:spacing w:before="0" w:after="0"/>
              <w:ind w:left="0" w:right="0" w:firstLine="30"/>
              <w:rPr/>
            </w:pPr>
            <w:r>
              <w:rPr/>
              <w:t> </w:t>
            </w:r>
          </w:p>
        </w:tc>
        <w:tc>
          <w:tcPr>
            <w:tcW w:w="756"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7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611"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756"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7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94"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59"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09" w:type="dxa"/>
            <w:gridSpan w:val="3"/>
            <w:tcBorders/>
            <w:shd w:fill="auto" w:val="clear"/>
            <w:vAlign w:val="center"/>
          </w:tcPr>
          <w:p>
            <w:pPr>
              <w:pStyle w:val="TableContents"/>
              <w:spacing w:before="0" w:after="0"/>
              <w:ind w:left="0" w:right="0" w:firstLine="30"/>
              <w:rPr/>
            </w:pPr>
            <w:r>
              <w:rPr/>
              <w:t> </w:t>
            </w:r>
          </w:p>
        </w:tc>
      </w:tr>
      <w:tr>
        <w:trPr/>
        <w:tc>
          <w:tcPr>
            <w:tcW w:w="3164" w:type="dxa"/>
            <w:gridSpan w:val="1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Unsecured long-term consumer loans: *</w:t>
            </w:r>
          </w:p>
        </w:tc>
        <w:tc>
          <w:tcPr>
            <w:tcW w:w="106" w:type="dxa"/>
            <w:tcBorders/>
            <w:shd w:fill="auto" w:val="clear"/>
            <w:vAlign w:val="center"/>
          </w:tcPr>
          <w:p>
            <w:pPr>
              <w:pStyle w:val="TableContents"/>
              <w:spacing w:before="0" w:after="0"/>
              <w:ind w:left="0" w:right="0" w:firstLine="30"/>
              <w:rPr/>
            </w:pPr>
            <w:r>
              <w:rPr/>
              <w:t> </w:t>
            </w:r>
          </w:p>
        </w:tc>
        <w:tc>
          <w:tcPr>
            <w:tcW w:w="756"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77"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94"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859" w:type="dxa"/>
            <w:gridSpan w:val="3"/>
            <w:tcBorders/>
            <w:shd w:fill="auto" w:val="clear"/>
            <w:vAlign w:val="center"/>
          </w:tcPr>
          <w:p>
            <w:pPr>
              <w:pStyle w:val="TableContents"/>
              <w:spacing w:before="0" w:after="0"/>
              <w:ind w:left="0" w:right="0" w:firstLine="30"/>
              <w:rPr/>
            </w:pPr>
            <w:r>
              <w:rPr/>
              <w:t> </w:t>
            </w:r>
          </w:p>
        </w:tc>
        <w:tc>
          <w:tcPr>
            <w:tcW w:w="106" w:type="dxa"/>
            <w:tcBorders/>
            <w:shd w:fill="auto" w:val="clear"/>
            <w:vAlign w:val="center"/>
          </w:tcPr>
          <w:p>
            <w:pPr>
              <w:pStyle w:val="TableContents"/>
              <w:spacing w:before="0" w:after="0"/>
              <w:ind w:left="0" w:right="0" w:firstLine="30"/>
              <w:rPr/>
            </w:pPr>
            <w:r>
              <w:rPr/>
              <w:t> </w:t>
            </w:r>
          </w:p>
        </w:tc>
        <w:tc>
          <w:tcPr>
            <w:tcW w:w="1009" w:type="dxa"/>
            <w:gridSpan w:val="3"/>
            <w:tcBorders/>
            <w:shd w:fill="auto" w:val="clear"/>
            <w:vAlign w:val="center"/>
          </w:tcPr>
          <w:p>
            <w:pPr>
              <w:pStyle w:val="TableContents"/>
              <w:spacing w:before="0" w:after="0"/>
              <w:ind w:left="0" w:right="0" w:firstLine="30"/>
              <w:rPr/>
            </w:pPr>
            <w:r>
              <w:rPr/>
              <w:t> </w:t>
            </w:r>
          </w:p>
        </w:tc>
      </w:tr>
      <w:tr>
        <w:trPr/>
        <w:tc>
          <w:tcPr>
            <w:tcW w:w="1464" w:type="dxa"/>
            <w:gridSpan w:val="4"/>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September 30,</w:t>
            </w:r>
          </w:p>
        </w:tc>
        <w:tc>
          <w:tcPr>
            <w:tcW w:w="106" w:type="dxa"/>
            <w:tcBorders/>
            <w:shd w:fill="CCEEFF" w:val="clear"/>
            <w:vAlign w:val="center"/>
          </w:tcPr>
          <w:p>
            <w:pPr>
              <w:pStyle w:val="TableContents"/>
              <w:spacing w:before="0" w:after="0"/>
              <w:ind w:left="0" w:right="0" w:firstLine="30"/>
              <w:rPr/>
            </w:pPr>
            <w:r>
              <w:rPr/>
              <w:t> </w:t>
            </w:r>
          </w:p>
        </w:tc>
        <w:tc>
          <w:tcPr>
            <w:tcW w:w="877"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611"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756"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877"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902"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994"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902"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859" w:type="dxa"/>
            <w:gridSpan w:val="3"/>
            <w:tcBorders/>
            <w:shd w:fill="CCEEFF" w:val="clear"/>
            <w:vAlign w:val="center"/>
          </w:tcPr>
          <w:p>
            <w:pPr>
              <w:pStyle w:val="TableContents"/>
              <w:spacing w:before="0" w:after="0"/>
              <w:ind w:left="0" w:right="0" w:firstLine="30"/>
              <w:rPr/>
            </w:pPr>
            <w:r>
              <w:rPr/>
              <w:t> </w:t>
            </w:r>
          </w:p>
        </w:tc>
        <w:tc>
          <w:tcPr>
            <w:tcW w:w="106" w:type="dxa"/>
            <w:tcBorders/>
            <w:shd w:fill="CCEEFF" w:val="clear"/>
            <w:vAlign w:val="center"/>
          </w:tcPr>
          <w:p>
            <w:pPr>
              <w:pStyle w:val="TableContents"/>
              <w:spacing w:before="0" w:after="0"/>
              <w:ind w:left="0" w:right="0" w:firstLine="30"/>
              <w:rPr/>
            </w:pPr>
            <w:r>
              <w:rPr/>
              <w:t> </w:t>
            </w:r>
          </w:p>
        </w:tc>
        <w:tc>
          <w:tcPr>
            <w:tcW w:w="1009" w:type="dxa"/>
            <w:gridSpan w:val="3"/>
            <w:tcBorders/>
            <w:shd w:fill="CCEEFF" w:val="clear"/>
            <w:vAlign w:val="center"/>
          </w:tcPr>
          <w:p>
            <w:pPr>
              <w:pStyle w:val="TableContents"/>
              <w:spacing w:before="0" w:after="0"/>
              <w:ind w:left="0" w:right="0" w:firstLine="30"/>
              <w:rPr/>
            </w:pPr>
            <w:r>
              <w:rPr/>
              <w:t> </w:t>
            </w:r>
          </w:p>
        </w:tc>
      </w:tr>
      <w:tr>
        <w:trPr/>
        <w:tc>
          <w:tcPr>
            <w:tcW w:w="70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68" w:type="dxa"/>
            <w:tcBorders/>
            <w:shd w:fill="auto" w:val="clear"/>
            <w:vAlign w:val="center"/>
          </w:tcPr>
          <w:p>
            <w:pPr>
              <w:pStyle w:val="TableContents"/>
              <w:spacing w:before="0" w:after="0"/>
              <w:jc w:val="right"/>
              <w:rPr>
                <w:rFonts w:ascii="inherit" w:hAnsi="inherit"/>
                <w:sz w:val="17"/>
              </w:rPr>
            </w:pPr>
            <w:r>
              <w:rPr>
                <w:rFonts w:ascii="inherit" w:hAnsi="inherit"/>
                <w:sz w:val="17"/>
              </w:rPr>
              <w:t>2,465</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89" w:type="dxa"/>
            <w:tcBorders/>
            <w:shd w:fill="auto" w:val="clear"/>
            <w:vAlign w:val="center"/>
          </w:tcPr>
          <w:p>
            <w:pPr>
              <w:pStyle w:val="TableContents"/>
              <w:spacing w:before="0" w:after="0"/>
              <w:jc w:val="right"/>
              <w:rPr>
                <w:rFonts w:ascii="inherit" w:hAnsi="inherit"/>
                <w:sz w:val="17"/>
              </w:rPr>
            </w:pPr>
            <w:r>
              <w:rPr>
                <w:rFonts w:ascii="inherit" w:hAnsi="inherit"/>
                <w:sz w:val="17"/>
              </w:rPr>
              <w:t>28,783</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23" w:type="dxa"/>
            <w:tcBorders/>
            <w:shd w:fill="auto" w:val="clear"/>
            <w:vAlign w:val="center"/>
          </w:tcPr>
          <w:p>
            <w:pPr>
              <w:pStyle w:val="TableContents"/>
              <w:spacing w:before="0" w:after="0"/>
              <w:jc w:val="right"/>
              <w:rPr>
                <w:rFonts w:ascii="inherit" w:hAnsi="inherit"/>
                <w:sz w:val="17"/>
              </w:rPr>
            </w:pPr>
            <w:r>
              <w:rPr>
                <w:rFonts w:ascii="inherit" w:hAnsi="inherit"/>
                <w:sz w:val="17"/>
              </w:rPr>
              <w:t>949</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68" w:type="dxa"/>
            <w:tcBorders/>
            <w:shd w:fill="auto" w:val="clear"/>
            <w:vAlign w:val="center"/>
          </w:tcPr>
          <w:p>
            <w:pPr>
              <w:pStyle w:val="TableContents"/>
              <w:spacing w:before="0" w:after="0"/>
              <w:jc w:val="right"/>
              <w:rPr>
                <w:rFonts w:ascii="inherit" w:hAnsi="inherit"/>
                <w:sz w:val="17"/>
              </w:rPr>
            </w:pPr>
            <w:r>
              <w:rPr>
                <w:rFonts w:ascii="inherit" w:hAnsi="inherit"/>
                <w:sz w:val="17"/>
              </w:rPr>
              <w:t>7,507</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89" w:type="dxa"/>
            <w:tcBorders/>
            <w:shd w:fill="auto" w:val="clear"/>
            <w:vAlign w:val="center"/>
          </w:tcPr>
          <w:p>
            <w:pPr>
              <w:pStyle w:val="TableContents"/>
              <w:spacing w:before="0" w:after="0"/>
              <w:jc w:val="right"/>
              <w:rPr>
                <w:rFonts w:ascii="inherit" w:hAnsi="inherit"/>
                <w:sz w:val="17"/>
              </w:rPr>
            </w:pPr>
            <w:r>
              <w:rPr>
                <w:rFonts w:ascii="inherit" w:hAnsi="inherit"/>
                <w:sz w:val="17"/>
              </w:rPr>
              <w:t>39,704</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08" w:type="dxa"/>
            <w:tcBorders/>
            <w:shd w:fill="auto" w:val="clear"/>
            <w:vAlign w:val="center"/>
          </w:tcPr>
          <w:p>
            <w:pPr>
              <w:pStyle w:val="TableContents"/>
              <w:spacing w:before="0" w:after="0"/>
              <w:jc w:val="right"/>
              <w:rPr>
                <w:rFonts w:ascii="inherit" w:hAnsi="inherit"/>
                <w:sz w:val="17"/>
              </w:rPr>
            </w:pPr>
            <w:r>
              <w:rPr>
                <w:rFonts w:ascii="inherit" w:hAnsi="inherit"/>
                <w:sz w:val="17"/>
              </w:rPr>
              <w:t>37,120</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auto" w:val="clear"/>
            <w:vAlign w:val="center"/>
          </w:tcPr>
          <w:p>
            <w:pPr>
              <w:pStyle w:val="TableContents"/>
              <w:spacing w:before="0" w:after="0"/>
              <w:jc w:val="right"/>
              <w:rPr>
                <w:rFonts w:ascii="inherit" w:hAnsi="inherit"/>
                <w:sz w:val="17"/>
              </w:rPr>
            </w:pPr>
            <w:r>
              <w:rPr>
                <w:rFonts w:ascii="inherit" w:hAnsi="inherit"/>
                <w:sz w:val="17"/>
              </w:rPr>
              <w:t>(2,779</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08" w:type="dxa"/>
            <w:tcBorders/>
            <w:shd w:fill="auto" w:val="clear"/>
            <w:vAlign w:val="center"/>
          </w:tcPr>
          <w:p>
            <w:pPr>
              <w:pStyle w:val="TableContents"/>
              <w:spacing w:before="0" w:after="0"/>
              <w:jc w:val="right"/>
              <w:rPr>
                <w:rFonts w:ascii="inherit" w:hAnsi="inherit"/>
                <w:sz w:val="17"/>
              </w:rPr>
            </w:pPr>
            <w:r>
              <w:rPr>
                <w:rFonts w:ascii="inherit" w:hAnsi="inherit"/>
                <w:sz w:val="17"/>
              </w:rPr>
              <w:t>74,045</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8" w:type="dxa"/>
            <w:tcBorders/>
            <w:shd w:fill="auto" w:val="clear"/>
            <w:vAlign w:val="center"/>
          </w:tcPr>
          <w:p>
            <w:pPr>
              <w:pStyle w:val="TableContents"/>
              <w:spacing w:before="0" w:after="0"/>
              <w:jc w:val="right"/>
              <w:rPr>
                <w:rFonts w:ascii="inherit" w:hAnsi="inherit"/>
                <w:sz w:val="17"/>
              </w:rPr>
            </w:pPr>
            <w:r>
              <w:rPr>
                <w:rFonts w:ascii="inherit" w:hAnsi="inherit"/>
                <w:sz w:val="17"/>
              </w:rPr>
              <w:t>623</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3" w:type="dxa"/>
            <w:tcBorders/>
            <w:shd w:fill="auto" w:val="clear"/>
            <w:vAlign w:val="center"/>
          </w:tcPr>
          <w:p>
            <w:pPr>
              <w:pStyle w:val="TableContents"/>
              <w:spacing w:before="0" w:after="0"/>
              <w:jc w:val="right"/>
              <w:rPr>
                <w:rFonts w:ascii="inherit" w:hAnsi="inherit"/>
                <w:sz w:val="17"/>
              </w:rPr>
            </w:pPr>
            <w:r>
              <w:rPr>
                <w:rFonts w:ascii="inherit" w:hAnsi="inherit"/>
                <w:sz w:val="17"/>
              </w:rPr>
              <w:t>7,506</w:t>
            </w:r>
          </w:p>
        </w:tc>
        <w:tc>
          <w:tcPr>
            <w:tcW w:w="10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5"/>
        </w:rPr>
        <w:t xml:space="preserve">* </w:t>
      </w:r>
      <w:r>
        <w:rPr>
          <w:rFonts w:ascii="inherit" w:hAnsi="inherit"/>
          <w:sz w:val="17"/>
        </w:rPr>
        <w:t>Unsecured long-term consumer loans amounts only existed in periods after the acquisition of Crediamigo.</w:t>
      </w:r>
    </w:p>
    <w:p>
      <w:pPr>
        <w:pStyle w:val="TextBody"/>
        <w:spacing w:lineRule="auto" w:line="288" w:before="0" w:after="0"/>
        <w:jc w:val="left"/>
        <w:rPr>
          <w:rFonts w:ascii="inherit" w:hAnsi="inherit"/>
          <w:b/>
          <w:sz w:val="17"/>
        </w:rPr>
      </w:pPr>
      <w:bookmarkStart w:id="83" w:name="sB7077474ABB464038F830F13B7E95C8F"/>
      <w:bookmarkEnd w:id="83"/>
      <w:r>
        <w:rPr>
          <w:rFonts w:ascii="inherit" w:hAnsi="inherit"/>
          <w:b/>
          <w:sz w:val="17"/>
        </w:rPr>
        <w:t>NOTE 21: FAIR VALUE MEASUREMENTS</w:t>
      </w:r>
    </w:p>
    <w:p>
      <w:pPr>
        <w:pStyle w:val="TextBody"/>
        <w:spacing w:lineRule="auto" w:line="288" w:before="0" w:after="0"/>
        <w:jc w:val="left"/>
        <w:rPr>
          <w:rFonts w:ascii="inherit" w:hAnsi="inherit"/>
          <w:sz w:val="17"/>
        </w:rPr>
      </w:pPr>
      <w:r>
        <w:rPr>
          <w:rFonts w:ascii="inherit" w:hAnsi="inherit"/>
          <w:sz w:val="17"/>
        </w:rPr>
        <w:t>In accordance with FASB ASC 820-10, Fair Value Measurements and Disclosures, our assets and liabilities, which are carried at fair value, are classified in one of the following three categories:</w:t>
      </w:r>
    </w:p>
    <w:p>
      <w:pPr>
        <w:pStyle w:val="TextBody"/>
        <w:spacing w:lineRule="auto" w:line="288" w:before="0" w:after="0"/>
        <w:ind w:left="0" w:right="0" w:firstLine="720"/>
        <w:jc w:val="left"/>
        <w:rPr>
          <w:rFonts w:ascii="inherit" w:hAnsi="inherit"/>
          <w:sz w:val="17"/>
        </w:rPr>
      </w:pPr>
      <w:r>
        <w:rPr>
          <w:rFonts w:ascii="inherit" w:hAnsi="inherit"/>
          <w:sz w:val="17"/>
        </w:rPr>
        <w:t>Level 1: Quoted market prices in active markets for identical assets or liabilities.</w:t>
      </w:r>
    </w:p>
    <w:p>
      <w:pPr>
        <w:pStyle w:val="TextBody"/>
        <w:spacing w:lineRule="auto" w:line="288" w:before="0" w:after="0"/>
        <w:ind w:left="0" w:right="0" w:firstLine="720"/>
        <w:jc w:val="left"/>
        <w:rPr>
          <w:rFonts w:ascii="inherit" w:hAnsi="inherit"/>
          <w:sz w:val="17"/>
        </w:rPr>
      </w:pPr>
      <w:r>
        <w:rPr>
          <w:rFonts w:ascii="inherit" w:hAnsi="inherit"/>
          <w:sz w:val="17"/>
        </w:rPr>
        <w:t>Level 2: Other observable inputs other than quoted market prices.</w:t>
      </w:r>
    </w:p>
    <w:p>
      <w:pPr>
        <w:pStyle w:val="TextBody"/>
        <w:spacing w:lineRule="auto" w:line="288" w:before="0" w:after="0"/>
        <w:ind w:left="0" w:right="0" w:firstLine="720"/>
        <w:jc w:val="left"/>
        <w:rPr>
          <w:rFonts w:ascii="inherit" w:hAnsi="inherit"/>
          <w:sz w:val="17"/>
        </w:rPr>
      </w:pPr>
      <w:r>
        <w:rPr>
          <w:rFonts w:ascii="inherit" w:hAnsi="inherit"/>
          <w:sz w:val="17"/>
        </w:rPr>
        <w:t>Level 3: Unobservable inputs that are not corroborated by market data.</w:t>
      </w:r>
    </w:p>
    <w:p>
      <w:pPr>
        <w:pStyle w:val="TextBody"/>
        <w:spacing w:lineRule="auto" w:line="288" w:before="0" w:after="0"/>
        <w:jc w:val="left"/>
        <w:rPr>
          <w:rFonts w:ascii="inherit" w:hAnsi="inherit"/>
          <w:sz w:val="17"/>
        </w:rPr>
      </w:pPr>
      <w:r>
        <w:rPr>
          <w:rFonts w:ascii="inherit" w:hAnsi="inherit"/>
          <w:sz w:val="17"/>
        </w:rPr>
        <w:t>The tables below present our financial assets that are measured at fair value on a recurring basis as of September 30, 2012 and 2011: </w:t>
      </w:r>
    </w:p>
    <w:tbl>
      <w:tblPr>
        <w:tblW w:w="10205" w:type="dxa"/>
        <w:jc w:val="left"/>
        <w:tblInd w:w="0" w:type="dxa"/>
        <w:tblCellMar>
          <w:top w:w="0" w:type="dxa"/>
          <w:left w:w="0" w:type="dxa"/>
          <w:bottom w:w="0" w:type="dxa"/>
          <w:right w:w="0" w:type="dxa"/>
        </w:tblCellMar>
      </w:tblPr>
      <w:tblGrid>
        <w:gridCol w:w="3034"/>
        <w:gridCol w:w="196"/>
        <w:gridCol w:w="1456"/>
        <w:gridCol w:w="99"/>
        <w:gridCol w:w="138"/>
        <w:gridCol w:w="207"/>
        <w:gridCol w:w="1499"/>
        <w:gridCol w:w="101"/>
        <w:gridCol w:w="168"/>
        <w:gridCol w:w="207"/>
        <w:gridCol w:w="1249"/>
        <w:gridCol w:w="101"/>
        <w:gridCol w:w="168"/>
        <w:gridCol w:w="207"/>
        <w:gridCol w:w="1249"/>
        <w:gridCol w:w="12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0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34" w:type="dxa"/>
            <w:tcBorders/>
            <w:shd w:fill="auto" w:val="clear"/>
            <w:vAlign w:val="center"/>
          </w:tcPr>
          <w:p>
            <w:pPr>
              <w:pStyle w:val="TableContents"/>
              <w:spacing w:before="0" w:after="0"/>
              <w:ind w:left="0" w:right="0" w:firstLine="30"/>
              <w:jc w:val="left"/>
              <w:rPr/>
            </w:pPr>
            <w:r>
              <w:rPr/>
              <w:t> </w:t>
            </w:r>
          </w:p>
        </w:tc>
        <w:tc>
          <w:tcPr>
            <w:tcW w:w="175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c>
          <w:tcPr>
            <w:tcW w:w="138" w:type="dxa"/>
            <w:vMerge w:val="restart"/>
            <w:tcBorders/>
            <w:shd w:fill="auto" w:val="clear"/>
            <w:vAlign w:val="center"/>
          </w:tcPr>
          <w:p>
            <w:pPr>
              <w:pStyle w:val="TableContents"/>
              <w:spacing w:before="0" w:after="0"/>
              <w:ind w:left="0" w:right="0" w:firstLine="30"/>
              <w:rPr/>
            </w:pPr>
            <w:r>
              <w:rPr/>
              <w:t> </w:t>
            </w:r>
          </w:p>
        </w:tc>
        <w:tc>
          <w:tcPr>
            <w:tcW w:w="528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034"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Financial assets:</w:t>
            </w:r>
          </w:p>
        </w:tc>
        <w:tc>
          <w:tcPr>
            <w:tcW w:w="1751" w:type="dxa"/>
            <w:gridSpan w:val="3"/>
            <w:vMerge w:val="continue"/>
            <w:tcBorders>
              <w:bottom w:val="single" w:sz="2" w:space="0" w:color="000000"/>
            </w:tcBorders>
            <w:shd w:fill="auto" w:val="clear"/>
            <w:tcMar>
              <w:bottom w:w="30" w:type="dxa"/>
            </w:tcMar>
            <w:vAlign w:val="center"/>
          </w:tcPr>
          <w:p>
            <w:pPr>
              <w:pStyle w:val="Normal"/>
              <w:rPr/>
            </w:pPr>
            <w:r>
              <w:rPr/>
            </w:r>
          </w:p>
        </w:tc>
        <w:tc>
          <w:tcPr>
            <w:tcW w:w="138" w:type="dxa"/>
            <w:vMerge w:val="continue"/>
            <w:tcBorders/>
            <w:shd w:fill="auto" w:val="clear"/>
            <w:vAlign w:val="center"/>
          </w:tcPr>
          <w:p>
            <w:pPr>
              <w:pStyle w:val="Normal"/>
              <w:rPr/>
            </w:pPr>
            <w:r>
              <w:rPr/>
            </w:r>
          </w:p>
        </w:tc>
        <w:tc>
          <w:tcPr>
            <w:tcW w:w="18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68" w:type="dxa"/>
            <w:tcBorders/>
            <w:shd w:fill="auto" w:val="clear"/>
            <w:vAlign w:val="center"/>
          </w:tcPr>
          <w:p>
            <w:pPr>
              <w:pStyle w:val="TableContents"/>
              <w:spacing w:before="0" w:after="0"/>
              <w:ind w:left="0" w:right="0" w:firstLine="30"/>
              <w:rPr/>
            </w:pPr>
            <w:r>
              <w:rPr/>
              <w:t> </w:t>
            </w:r>
          </w:p>
        </w:tc>
        <w:tc>
          <w:tcPr>
            <w:tcW w:w="15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68" w:type="dxa"/>
            <w:tcBorders/>
            <w:shd w:fill="auto" w:val="clear"/>
            <w:vAlign w:val="center"/>
          </w:tcPr>
          <w:p>
            <w:pPr>
              <w:pStyle w:val="TableContents"/>
              <w:spacing w:before="0" w:after="0"/>
              <w:ind w:left="0" w:right="0" w:firstLine="30"/>
              <w:rPr/>
            </w:pPr>
            <w:r>
              <w:rPr/>
              <w:t> </w:t>
            </w:r>
          </w:p>
        </w:tc>
        <w:tc>
          <w:tcPr>
            <w:tcW w:w="15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034" w:type="dxa"/>
            <w:tcBorders/>
            <w:shd w:fill="auto" w:val="clear"/>
            <w:vAlign w:val="center"/>
          </w:tcPr>
          <w:p>
            <w:pPr>
              <w:pStyle w:val="TableContents"/>
              <w:spacing w:before="0" w:after="0"/>
              <w:ind w:left="0" w:right="0" w:firstLine="30"/>
              <w:jc w:val="left"/>
              <w:rPr/>
            </w:pPr>
            <w:r>
              <w:rPr/>
              <w:t> </w:t>
            </w:r>
          </w:p>
        </w:tc>
        <w:tc>
          <w:tcPr>
            <w:tcW w:w="717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0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56" w:type="dxa"/>
            <w:tcBorders/>
            <w:shd w:fill="CCEEFF" w:val="clear"/>
            <w:vAlign w:val="center"/>
          </w:tcPr>
          <w:p>
            <w:pPr>
              <w:pStyle w:val="TableContents"/>
              <w:spacing w:before="0" w:after="0"/>
              <w:jc w:val="right"/>
              <w:rPr>
                <w:rFonts w:ascii="inherit" w:hAnsi="inherit"/>
                <w:sz w:val="17"/>
              </w:rPr>
            </w:pPr>
            <w:r>
              <w:rPr>
                <w:rFonts w:ascii="inherit" w:hAnsi="inherit"/>
                <w:sz w:val="17"/>
              </w:rPr>
              <w:t>4,631</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2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99" w:type="dxa"/>
            <w:tcBorders/>
            <w:shd w:fill="CCEEFF" w:val="clear"/>
            <w:vAlign w:val="center"/>
          </w:tcPr>
          <w:p>
            <w:pPr>
              <w:pStyle w:val="TableContents"/>
              <w:spacing w:before="0" w:after="0"/>
              <w:jc w:val="right"/>
              <w:rPr>
                <w:rFonts w:ascii="inherit" w:hAnsi="inherit"/>
                <w:sz w:val="17"/>
              </w:rPr>
            </w:pPr>
            <w:r>
              <w:rPr>
                <w:rFonts w:ascii="inherit" w:hAnsi="inherit"/>
                <w:sz w:val="17"/>
              </w:rPr>
              <w:t>4,631</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2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shd w:fill="CCEEFF" w:val="clear"/>
            <w:vAlign w:val="center"/>
          </w:tcPr>
          <w:p>
            <w:pPr>
              <w:pStyle w:val="TableContents"/>
              <w:spacing w:before="0" w:after="0"/>
              <w:jc w:val="right"/>
              <w:rPr/>
            </w:pPr>
            <w:r>
              <w:rPr/>
              <w:t>—</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2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34" w:type="dxa"/>
            <w:tcBorders/>
            <w:shd w:fill="auto" w:val="clear"/>
            <w:vAlign w:val="center"/>
          </w:tcPr>
          <w:p>
            <w:pPr>
              <w:pStyle w:val="TableContents"/>
              <w:spacing w:before="0" w:after="0"/>
              <w:ind w:left="0" w:right="0" w:firstLine="30"/>
              <w:jc w:val="left"/>
              <w:rPr/>
            </w:pPr>
            <w:r>
              <w:rPr/>
              <w:t> </w:t>
            </w:r>
          </w:p>
        </w:tc>
        <w:tc>
          <w:tcPr>
            <w:tcW w:w="175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2011</w:t>
            </w:r>
          </w:p>
        </w:tc>
        <w:tc>
          <w:tcPr>
            <w:tcW w:w="138" w:type="dxa"/>
            <w:vMerge w:val="restart"/>
            <w:tcBorders/>
            <w:shd w:fill="auto" w:val="clear"/>
            <w:vAlign w:val="center"/>
          </w:tcPr>
          <w:p>
            <w:pPr>
              <w:pStyle w:val="TableContents"/>
              <w:spacing w:before="0" w:after="0"/>
              <w:ind w:left="0" w:right="0" w:firstLine="30"/>
              <w:rPr/>
            </w:pPr>
            <w:r>
              <w:rPr/>
              <w:t> </w:t>
            </w:r>
          </w:p>
        </w:tc>
        <w:tc>
          <w:tcPr>
            <w:tcW w:w="528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034"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Financial assets:</w:t>
            </w:r>
          </w:p>
        </w:tc>
        <w:tc>
          <w:tcPr>
            <w:tcW w:w="1751" w:type="dxa"/>
            <w:gridSpan w:val="3"/>
            <w:vMerge w:val="continue"/>
            <w:tcBorders>
              <w:bottom w:val="single" w:sz="2" w:space="0" w:color="000000"/>
            </w:tcBorders>
            <w:shd w:fill="auto" w:val="clear"/>
            <w:tcMar>
              <w:bottom w:w="30" w:type="dxa"/>
            </w:tcMar>
            <w:vAlign w:val="center"/>
          </w:tcPr>
          <w:p>
            <w:pPr>
              <w:pStyle w:val="Normal"/>
              <w:rPr/>
            </w:pPr>
            <w:r>
              <w:rPr/>
            </w:r>
          </w:p>
        </w:tc>
        <w:tc>
          <w:tcPr>
            <w:tcW w:w="138" w:type="dxa"/>
            <w:vMerge w:val="continue"/>
            <w:tcBorders/>
            <w:shd w:fill="auto" w:val="clear"/>
            <w:vAlign w:val="center"/>
          </w:tcPr>
          <w:p>
            <w:pPr>
              <w:pStyle w:val="Normal"/>
              <w:rPr/>
            </w:pPr>
            <w:r>
              <w:rPr/>
            </w:r>
          </w:p>
        </w:tc>
        <w:tc>
          <w:tcPr>
            <w:tcW w:w="18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68" w:type="dxa"/>
            <w:tcBorders/>
            <w:shd w:fill="auto" w:val="clear"/>
            <w:vAlign w:val="center"/>
          </w:tcPr>
          <w:p>
            <w:pPr>
              <w:pStyle w:val="TableContents"/>
              <w:spacing w:before="0" w:after="0"/>
              <w:ind w:left="0" w:right="0" w:firstLine="30"/>
              <w:rPr/>
            </w:pPr>
            <w:r>
              <w:rPr/>
              <w:t> </w:t>
            </w:r>
          </w:p>
        </w:tc>
        <w:tc>
          <w:tcPr>
            <w:tcW w:w="15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68" w:type="dxa"/>
            <w:tcBorders/>
            <w:shd w:fill="auto" w:val="clear"/>
            <w:vAlign w:val="center"/>
          </w:tcPr>
          <w:p>
            <w:pPr>
              <w:pStyle w:val="TableContents"/>
              <w:spacing w:before="0" w:after="0"/>
              <w:ind w:left="0" w:right="0" w:firstLine="30"/>
              <w:rPr/>
            </w:pPr>
            <w:r>
              <w:rPr/>
              <w:t> </w:t>
            </w:r>
          </w:p>
        </w:tc>
        <w:tc>
          <w:tcPr>
            <w:tcW w:w="15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034" w:type="dxa"/>
            <w:tcBorders/>
            <w:shd w:fill="auto" w:val="clear"/>
            <w:vAlign w:val="center"/>
          </w:tcPr>
          <w:p>
            <w:pPr>
              <w:pStyle w:val="TableContents"/>
              <w:spacing w:before="0" w:after="0"/>
              <w:ind w:left="0" w:right="0" w:firstLine="30"/>
              <w:jc w:val="left"/>
              <w:rPr/>
            </w:pPr>
            <w:r>
              <w:rPr/>
              <w:t> </w:t>
            </w:r>
          </w:p>
        </w:tc>
        <w:tc>
          <w:tcPr>
            <w:tcW w:w="717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0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56" w:type="dxa"/>
            <w:tcBorders/>
            <w:shd w:fill="CCEEFF" w:val="clear"/>
            <w:vAlign w:val="center"/>
          </w:tcPr>
          <w:p>
            <w:pPr>
              <w:pStyle w:val="TableContents"/>
              <w:spacing w:before="0" w:after="0"/>
              <w:jc w:val="right"/>
              <w:rPr>
                <w:rFonts w:ascii="inherit" w:hAnsi="inherit"/>
                <w:sz w:val="17"/>
              </w:rPr>
            </w:pPr>
            <w:r>
              <w:rPr>
                <w:rFonts w:ascii="inherit" w:hAnsi="inherit"/>
                <w:sz w:val="17"/>
              </w:rPr>
              <w:t>5,366</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2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99" w:type="dxa"/>
            <w:tcBorders/>
            <w:shd w:fill="CCEEFF" w:val="clear"/>
            <w:vAlign w:val="center"/>
          </w:tcPr>
          <w:p>
            <w:pPr>
              <w:pStyle w:val="TableContents"/>
              <w:spacing w:before="0" w:after="0"/>
              <w:jc w:val="right"/>
              <w:rPr>
                <w:rFonts w:ascii="inherit" w:hAnsi="inherit"/>
                <w:sz w:val="17"/>
              </w:rPr>
            </w:pPr>
            <w:r>
              <w:rPr>
                <w:rFonts w:ascii="inherit" w:hAnsi="inherit"/>
                <w:sz w:val="17"/>
              </w:rPr>
              <w:t>5,366</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2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shd w:fill="CCEEFF" w:val="clear"/>
            <w:vAlign w:val="center"/>
          </w:tcPr>
          <w:p>
            <w:pPr>
              <w:pStyle w:val="TableContents"/>
              <w:spacing w:before="0" w:after="0"/>
              <w:jc w:val="right"/>
              <w:rPr/>
            </w:pPr>
            <w:r>
              <w:rPr/>
              <w:t>—</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2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We measure the value of our marketable equity securities under a Level 1 input. These assets are publicly traded equity securities for which market prices are readily available. There were no transfers of assets in or out of Level 1 fair value measurements in the periods presented.</w:t>
      </w:r>
    </w:p>
    <w:p>
      <w:pPr>
        <w:pStyle w:val="TextBody"/>
        <w:spacing w:lineRule="auto" w:line="288" w:before="0" w:after="0"/>
        <w:jc w:val="left"/>
        <w:rPr>
          <w:rFonts w:ascii="inherit" w:hAnsi="inherit"/>
          <w:b/>
          <w:sz w:val="17"/>
        </w:rPr>
      </w:pPr>
      <w:bookmarkStart w:id="84" w:name="sA89E40275D5E50C7139F0F13B731A088"/>
      <w:bookmarkEnd w:id="84"/>
      <w:r>
        <w:rPr>
          <w:rFonts w:ascii="inherit" w:hAnsi="inherit"/>
          <w:b/>
          <w:sz w:val="17"/>
        </w:rPr>
        <w:t>NOTE 22: DERIVATIVE INSTRUMENTS AND HEDGING ACTIVITIES</w:t>
      </w:r>
    </w:p>
    <w:p>
      <w:pPr>
        <w:pStyle w:val="TextBody"/>
        <w:spacing w:lineRule="auto" w:line="288" w:before="0" w:after="0"/>
        <w:jc w:val="left"/>
        <w:rPr>
          <w:sz w:val="17"/>
        </w:rPr>
      </w:pPr>
      <w:r>
        <w:rPr>
          <w:rFonts w:ascii="inherit" w:hAnsi="inherit"/>
          <w:sz w:val="17"/>
        </w:rPr>
        <w:t xml:space="preserve">Our earnings and financial position are affected by changes in gold values. In fiscal year </w:t>
      </w:r>
      <w:r>
        <w:rPr>
          <w:rFonts w:ascii="Times New Roman" w:hAnsi="Times New Roman"/>
          <w:strike w:val="false"/>
          <w:dstrike w:val="false"/>
          <w:color w:val="000000"/>
          <w:sz w:val="17"/>
          <w:u w:val="none"/>
          <w:effect w:val="none"/>
        </w:rPr>
        <w:t>2012</w:t>
      </w:r>
      <w:r>
        <w:rPr>
          <w:rFonts w:ascii="inherit" w:hAnsi="inherit"/>
          <w:sz w:val="17"/>
        </w:rPr>
        <w:t xml:space="preserve">, we began using derivative financial instruments in order to manage our commodity price risk associated with the forecasted sales of gold scrap. These derivatives are not designated as hedges, and according to FASB ASC 815-20-25, “Derivatives and Hedging — Recognition,” changes in their fair value are recorded directly in earnings. As of </w:t>
      </w:r>
      <w:r>
        <w:rPr>
          <w:rFonts w:ascii="Times New Roman" w:hAnsi="Times New Roman"/>
          <w:strike w:val="false"/>
          <w:dstrike w:val="false"/>
          <w:color w:val="000000"/>
          <w:sz w:val="17"/>
          <w:u w:val="none"/>
          <w:effect w:val="none"/>
        </w:rPr>
        <w:t>September 30, 2012</w:t>
      </w:r>
      <w:r>
        <w:rPr>
          <w:rFonts w:ascii="inherit" w:hAnsi="inherit"/>
          <w:sz w:val="17"/>
        </w:rPr>
        <w:t>, we no outstanding collars and therefore had no balance outstanding recorded on our balance sheet.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80</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table below presents the effect of our derivative financial instruments on the Consolidated Statements of Operations for fiscal years ended </w:t>
      </w:r>
      <w:r>
        <w:rPr>
          <w:rFonts w:ascii="Times New Roman" w:hAnsi="Times New Roman"/>
          <w:strike w:val="false"/>
          <w:dstrike w:val="false"/>
          <w:color w:val="000000"/>
          <w:sz w:val="17"/>
          <w:u w:val="none"/>
          <w:effect w:val="none"/>
        </w:rPr>
        <w:t>September 30, 2012</w:t>
      </w:r>
      <w:r>
        <w:rPr>
          <w:rFonts w:ascii="inherit" w:hAnsi="inherit"/>
          <w:sz w:val="17"/>
        </w:rPr>
        <w:t xml:space="preserve">, </w:t>
      </w:r>
      <w:r>
        <w:rPr>
          <w:rFonts w:ascii="Times New Roman" w:hAnsi="Times New Roman"/>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2010</w:t>
      </w:r>
      <w:r>
        <w:rPr>
          <w:rFonts w:ascii="inherit" w:hAnsi="inherit"/>
          <w:sz w:val="17"/>
        </w:rPr>
        <w:t>:</w:t>
      </w:r>
    </w:p>
    <w:tbl>
      <w:tblPr>
        <w:tblW w:w="10205" w:type="dxa"/>
        <w:jc w:val="left"/>
        <w:tblInd w:w="0" w:type="dxa"/>
        <w:tblCellMar>
          <w:top w:w="0" w:type="dxa"/>
          <w:left w:w="0" w:type="dxa"/>
          <w:bottom w:w="0" w:type="dxa"/>
          <w:right w:w="0" w:type="dxa"/>
        </w:tblCellMar>
      </w:tblPr>
      <w:tblGrid>
        <w:gridCol w:w="2874"/>
        <w:gridCol w:w="3046"/>
        <w:gridCol w:w="209"/>
        <w:gridCol w:w="1103"/>
        <w:gridCol w:w="190"/>
        <w:gridCol w:w="166"/>
        <w:gridCol w:w="209"/>
        <w:gridCol w:w="881"/>
        <w:gridCol w:w="92"/>
        <w:gridCol w:w="166"/>
        <w:gridCol w:w="209"/>
        <w:gridCol w:w="937"/>
        <w:gridCol w:w="123"/>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2874" w:type="dxa"/>
            <w:tcBorders/>
            <w:shd w:fill="auto" w:val="clear"/>
            <w:vAlign w:val="center"/>
          </w:tcPr>
          <w:p>
            <w:pPr>
              <w:pStyle w:val="TableContents"/>
              <w:spacing w:before="0" w:after="283"/>
              <w:rPr>
                <w:sz w:val="4"/>
                <w:szCs w:val="4"/>
              </w:rPr>
            </w:pPr>
            <w:r>
              <w:rPr>
                <w:sz w:val="4"/>
                <w:szCs w:val="4"/>
              </w:rPr>
            </w:r>
          </w:p>
        </w:tc>
        <w:tc>
          <w:tcPr>
            <w:tcW w:w="304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74" w:type="dxa"/>
            <w:tcBorders/>
            <w:shd w:fill="auto" w:val="clear"/>
            <w:vAlign w:val="center"/>
          </w:tcPr>
          <w:p>
            <w:pPr>
              <w:pStyle w:val="TableContents"/>
              <w:spacing w:before="0" w:after="0"/>
              <w:ind w:left="0" w:right="0" w:firstLine="30"/>
              <w:jc w:val="left"/>
              <w:rPr/>
            </w:pPr>
            <w:r>
              <w:rPr/>
              <w:t> </w:t>
            </w:r>
          </w:p>
        </w:tc>
        <w:tc>
          <w:tcPr>
            <w:tcW w:w="3046" w:type="dxa"/>
            <w:tcBorders/>
            <w:shd w:fill="auto" w:val="clear"/>
            <w:vAlign w:val="center"/>
          </w:tcPr>
          <w:p>
            <w:pPr>
              <w:pStyle w:val="TableContents"/>
              <w:spacing w:before="0" w:after="0"/>
              <w:ind w:left="0" w:right="0" w:firstLine="30"/>
              <w:jc w:val="left"/>
              <w:rPr/>
            </w:pPr>
            <w:r>
              <w:rPr/>
              <w:t> </w:t>
            </w:r>
          </w:p>
        </w:tc>
        <w:tc>
          <w:tcPr>
            <w:tcW w:w="428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(Gains) Losses Recognized in Income</w:t>
            </w:r>
          </w:p>
        </w:tc>
      </w:tr>
      <w:tr>
        <w:trPr/>
        <w:tc>
          <w:tcPr>
            <w:tcW w:w="2874" w:type="dxa"/>
            <w:tcBorders/>
            <w:shd w:fill="auto" w:val="clear"/>
            <w:vAlign w:val="center"/>
          </w:tcPr>
          <w:p>
            <w:pPr>
              <w:pStyle w:val="TableContents"/>
              <w:spacing w:before="0" w:after="0"/>
              <w:ind w:left="0" w:right="0" w:firstLine="30"/>
              <w:rPr/>
            </w:pPr>
            <w:r>
              <w:rPr/>
              <w:t>  </w:t>
            </w:r>
          </w:p>
        </w:tc>
        <w:tc>
          <w:tcPr>
            <w:tcW w:w="3046" w:type="dxa"/>
            <w:tcBorders/>
            <w:shd w:fill="auto" w:val="clear"/>
            <w:vAlign w:val="center"/>
          </w:tcPr>
          <w:p>
            <w:pPr>
              <w:pStyle w:val="TableContents"/>
              <w:spacing w:before="0" w:after="0"/>
              <w:ind w:left="0" w:right="0" w:firstLine="30"/>
              <w:jc w:val="left"/>
              <w:rPr/>
            </w:pPr>
            <w:r>
              <w:rPr/>
              <w:t> </w:t>
            </w:r>
          </w:p>
        </w:tc>
        <w:tc>
          <w:tcPr>
            <w:tcW w:w="428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287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304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(Gain) or Loss</w:t>
            </w:r>
          </w:p>
        </w:tc>
        <w:tc>
          <w:tcPr>
            <w:tcW w:w="15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66" w:type="dxa"/>
            <w:tcBorders/>
            <w:shd w:fill="auto" w:val="clear"/>
            <w:vAlign w:val="center"/>
          </w:tcPr>
          <w:p>
            <w:pPr>
              <w:pStyle w:val="TableContents"/>
              <w:spacing w:before="0" w:after="0"/>
              <w:ind w:left="0" w:right="0" w:firstLine="30"/>
              <w:rPr/>
            </w:pPr>
            <w:r>
              <w:rPr/>
              <w:t> </w:t>
            </w:r>
          </w:p>
        </w:tc>
        <w:tc>
          <w:tcPr>
            <w:tcW w:w="11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66" w:type="dxa"/>
            <w:tcBorders/>
            <w:shd w:fill="auto" w:val="clear"/>
            <w:vAlign w:val="center"/>
          </w:tcPr>
          <w:p>
            <w:pPr>
              <w:pStyle w:val="TableContents"/>
              <w:spacing w:before="0" w:after="0"/>
              <w:ind w:left="0" w:right="0" w:firstLine="30"/>
              <w:rPr/>
            </w:pPr>
            <w:r>
              <w:rPr/>
              <w:t> </w:t>
            </w:r>
          </w:p>
        </w:tc>
        <w:tc>
          <w:tcPr>
            <w:tcW w:w="12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2874" w:type="dxa"/>
            <w:tcBorders/>
            <w:shd w:fill="auto" w:val="clear"/>
            <w:vAlign w:val="center"/>
          </w:tcPr>
          <w:p>
            <w:pPr>
              <w:pStyle w:val="TableContents"/>
              <w:spacing w:before="0" w:after="0"/>
              <w:ind w:left="0" w:right="0" w:firstLine="30"/>
              <w:jc w:val="left"/>
              <w:rPr/>
            </w:pPr>
            <w:r>
              <w:rPr/>
              <w:t> </w:t>
            </w:r>
          </w:p>
        </w:tc>
        <w:tc>
          <w:tcPr>
            <w:tcW w:w="3046" w:type="dxa"/>
            <w:tcBorders/>
            <w:shd w:fill="auto" w:val="clear"/>
            <w:vAlign w:val="center"/>
          </w:tcPr>
          <w:p>
            <w:pPr>
              <w:pStyle w:val="TableContents"/>
              <w:spacing w:before="0" w:after="0"/>
              <w:ind w:left="0" w:right="0" w:firstLine="30"/>
              <w:jc w:val="left"/>
              <w:rPr/>
            </w:pPr>
            <w:r>
              <w:rPr/>
              <w:t> </w:t>
            </w:r>
          </w:p>
        </w:tc>
        <w:tc>
          <w:tcPr>
            <w:tcW w:w="428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8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Non-designated derivatives:</w:t>
            </w:r>
          </w:p>
        </w:tc>
        <w:tc>
          <w:tcPr>
            <w:tcW w:w="3046" w:type="dxa"/>
            <w:tcBorders/>
            <w:shd w:fill="CCEEFF" w:val="clear"/>
            <w:vAlign w:val="center"/>
          </w:tcPr>
          <w:p>
            <w:pPr>
              <w:pStyle w:val="TableContents"/>
              <w:spacing w:before="0" w:after="0"/>
              <w:ind w:left="0" w:right="0" w:firstLine="30"/>
              <w:rPr/>
            </w:pPr>
            <w:r>
              <w:rPr/>
              <w:t> </w:t>
            </w:r>
          </w:p>
        </w:tc>
        <w:tc>
          <w:tcPr>
            <w:tcW w:w="1502" w:type="dxa"/>
            <w:gridSpan w:val="3"/>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ind w:left="0" w:right="0" w:firstLine="30"/>
              <w:rPr/>
            </w:pPr>
            <w:r>
              <w:rPr/>
              <w:t> </w:t>
            </w:r>
          </w:p>
        </w:tc>
        <w:tc>
          <w:tcPr>
            <w:tcW w:w="1269" w:type="dxa"/>
            <w:gridSpan w:val="3"/>
            <w:tcBorders/>
            <w:shd w:fill="CCEEFF" w:val="clear"/>
            <w:vAlign w:val="center"/>
          </w:tcPr>
          <w:p>
            <w:pPr>
              <w:pStyle w:val="TableContents"/>
              <w:spacing w:before="0" w:after="0"/>
              <w:ind w:left="0" w:right="0" w:firstLine="180"/>
              <w:rPr/>
            </w:pPr>
            <w:r>
              <w:rPr/>
              <w:t> </w:t>
            </w:r>
          </w:p>
        </w:tc>
      </w:tr>
      <w:tr>
        <w:trPr/>
        <w:tc>
          <w:tcPr>
            <w:tcW w:w="2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Gold Collar</w:t>
            </w:r>
          </w:p>
        </w:tc>
        <w:tc>
          <w:tcPr>
            <w:tcW w:w="30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3" w:type="dxa"/>
            <w:tcBorders/>
            <w:shd w:fill="auto" w:val="clear"/>
            <w:vAlign w:val="center"/>
          </w:tcPr>
          <w:p>
            <w:pPr>
              <w:pStyle w:val="TableContents"/>
              <w:spacing w:before="0" w:after="0"/>
              <w:jc w:val="right"/>
              <w:rPr>
                <w:rFonts w:ascii="inherit" w:hAnsi="inherit"/>
                <w:sz w:val="17"/>
              </w:rPr>
            </w:pPr>
            <w:r>
              <w:rPr>
                <w:rFonts w:ascii="inherit" w:hAnsi="inherit"/>
                <w:sz w:val="17"/>
              </w:rPr>
              <w:t>(151</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66"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81" w:type="dxa"/>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6"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7" w:type="dxa"/>
            <w:tcBorders/>
            <w:shd w:fill="auto" w:val="clear"/>
            <w:vAlign w:val="center"/>
          </w:tcPr>
          <w:p>
            <w:pPr>
              <w:pStyle w:val="TableContents"/>
              <w:spacing w:before="0" w:after="0"/>
              <w:jc w:val="right"/>
              <w:rPr/>
            </w:pPr>
            <w:r>
              <w:rPr/>
              <w:t>—</w:t>
            </w:r>
          </w:p>
        </w:tc>
        <w:tc>
          <w:tcPr>
            <w:tcW w:w="12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85" w:name="sB346D1ABF1B6E02CF23F0F13B6EE79AF"/>
      <w:bookmarkEnd w:id="85"/>
      <w:r>
        <w:rPr>
          <w:rFonts w:ascii="inherit" w:hAnsi="inherit"/>
          <w:b/>
          <w:sz w:val="17"/>
        </w:rPr>
        <w:t>NOTE 23: CONDENSED CONSOLIDATING FINANCIAL INFORMATION</w:t>
      </w:r>
    </w:p>
    <w:p>
      <w:pPr>
        <w:pStyle w:val="TextBody"/>
        <w:spacing w:lineRule="auto" w:line="288" w:before="0" w:after="0"/>
        <w:jc w:val="left"/>
        <w:rPr>
          <w:rFonts w:ascii="inherit" w:hAnsi="inherit"/>
          <w:sz w:val="17"/>
        </w:rPr>
      </w:pPr>
      <w:r>
        <w:rPr>
          <w:rFonts w:ascii="inherit" w:hAnsi="inherit"/>
          <w:sz w:val="17"/>
        </w:rPr>
        <w:t>On February 3, 2012, we filed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100% owned domestic subsidiaries will fully and unconditionally guarantee on a joint and several basis our payment obligations under such debt securities issued by the parent.</w:t>
      </w:r>
    </w:p>
    <w:p>
      <w:pPr>
        <w:pStyle w:val="TextBody"/>
        <w:spacing w:lineRule="auto" w:line="288" w:before="0" w:after="0"/>
        <w:jc w:val="left"/>
        <w:rPr>
          <w:sz w:val="17"/>
        </w:rPr>
      </w:pPr>
      <w:r>
        <w:rPr>
          <w:rFonts w:ascii="inherit" w:hAnsi="inherit"/>
          <w:sz w:val="17"/>
        </w:rPr>
        <w:t xml:space="preserve">In accordance with Rule 3-10(f) of Regulation S-X, the following presents condensed consolidating financial information as of </w:t>
      </w:r>
      <w:r>
        <w:rPr>
          <w:rFonts w:ascii="Times New Roman" w:hAnsi="Times New Roman"/>
          <w:strike w:val="false"/>
          <w:dstrike w:val="false"/>
          <w:color w:val="000000"/>
          <w:sz w:val="17"/>
          <w:u w:val="none"/>
          <w:effect w:val="none"/>
        </w:rPr>
        <w:t>September 30, 2012</w:t>
      </w:r>
      <w:r>
        <w:rPr>
          <w:rFonts w:ascii="inherit" w:hAnsi="inherit"/>
          <w:sz w:val="17"/>
        </w:rPr>
        <w:t xml:space="preserve">, </w:t>
      </w:r>
      <w:r>
        <w:rPr>
          <w:rFonts w:ascii="Times New Roman" w:hAnsi="Times New Roman"/>
          <w:strike w:val="false"/>
          <w:dstrike w:val="false"/>
          <w:color w:val="000000"/>
          <w:sz w:val="17"/>
          <w:u w:val="none"/>
          <w:effect w:val="none"/>
        </w:rPr>
        <w:t>2011</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2010</w:t>
      </w:r>
      <w:r>
        <w:rPr>
          <w:sz w:val="17"/>
        </w:rPr>
        <w:t xml:space="preserve"> </w:t>
      </w:r>
      <w:r>
        <w:rPr>
          <w:rFonts w:ascii="inherit" w:hAnsi="inherit"/>
          <w:sz w:val="17"/>
        </w:rPr>
        <w:t>for EZCORP, Inc. (the “Parent”), each of the Parent's domestic subsidiaries (the “Subsidiary Guarantors”) on a combined basis and each of the Parent's other subsidiaries (the “Other Subsidiaries”) on a combined basis. Eliminating entries presented are necessary to consolidate the groups of entities.</w:t>
      </w:r>
    </w:p>
    <w:p>
      <w:pPr>
        <w:pStyle w:val="TextBody"/>
        <w:spacing w:lineRule="auto" w:line="288" w:before="0" w:after="0"/>
        <w:rPr>
          <w:sz w:val="17"/>
        </w:rPr>
      </w:pPr>
      <w:r>
        <w:rPr>
          <w:rFonts w:ascii="inherit" w:hAnsi="inherit"/>
          <w:sz w:val="17"/>
        </w:rPr>
        <w:t xml:space="preserve">Subsequent to the issuance of our consolidated financial statements for the year ended </w:t>
      </w:r>
      <w:r>
        <w:rPr>
          <w:rFonts w:ascii="inherit" w:hAnsi="inherit"/>
          <w:strike w:val="false"/>
          <w:dstrike w:val="false"/>
          <w:color w:val="000000"/>
          <w:sz w:val="17"/>
          <w:u w:val="none"/>
          <w:effect w:val="none"/>
        </w:rPr>
        <w:t>September 30, 2012</w:t>
      </w:r>
      <w:r>
        <w:rPr>
          <w:rFonts w:ascii="inherit" w:hAnsi="inherit"/>
          <w:sz w:val="17"/>
        </w:rPr>
        <w:t xml:space="preserve">, we identified certain errors in the presentation of the condensed consolidating financial statements contained in this footnote as of </w:t>
      </w:r>
      <w:r>
        <w:rPr>
          <w:rFonts w:ascii="inherit" w:hAnsi="inherit"/>
          <w:strike w:val="false"/>
          <w:dstrike w:val="false"/>
          <w:color w:val="000000"/>
          <w:sz w:val="17"/>
          <w:u w:val="none"/>
          <w:effect w:val="none"/>
        </w:rPr>
        <w:t>September 30, 2012</w:t>
      </w:r>
      <w:r>
        <w:rPr>
          <w:rFonts w:ascii="inherit" w:hAnsi="inherit"/>
          <w:sz w:val="17"/>
        </w:rPr>
        <w:t xml:space="preserve">, </w:t>
      </w:r>
      <w:r>
        <w:rPr>
          <w:rFonts w:ascii="Times New Roman" w:hAnsi="Times New Roman"/>
          <w:strike w:val="false"/>
          <w:dstrike w:val="false"/>
          <w:color w:val="000000"/>
          <w:sz w:val="17"/>
          <w:u w:val="none"/>
          <w:effect w:val="none"/>
        </w:rPr>
        <w:t>2011</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2010</w:t>
      </w:r>
      <w:r>
        <w:rPr>
          <w:rFonts w:ascii="inherit" w:hAnsi="inherit"/>
          <w:sz w:val="17"/>
        </w:rPr>
        <w:t xml:space="preserve">.  As originally presented, the condensed consolidating financial information presented did not comply with Rule 3-10(f) of Regulation S-X, which requires that the parent company should present its investments in all subsidiaries under the equity method of accounting. The condensed consolidating financial information presented on the following pages has been corrected to appropriately reflect investments in all subsidiaries under the equity method. These adjustments did not have an impact on the consolidated financial statements as of </w:t>
      </w:r>
      <w:r>
        <w:rPr>
          <w:rFonts w:ascii="inherit" w:hAnsi="inherit"/>
          <w:strike w:val="false"/>
          <w:dstrike w:val="false"/>
          <w:color w:val="000000"/>
          <w:sz w:val="17"/>
          <w:u w:val="none"/>
          <w:effect w:val="none"/>
        </w:rPr>
        <w:t>September 30, 2012</w:t>
      </w:r>
      <w:r>
        <w:rPr>
          <w:rFonts w:ascii="inherit" w:hAnsi="inherit"/>
          <w:sz w:val="17"/>
        </w:rPr>
        <w:t xml:space="preserve">, </w:t>
      </w:r>
      <w:r>
        <w:rPr>
          <w:rFonts w:ascii="Times New Roman" w:hAnsi="Times New Roman"/>
          <w:strike w:val="false"/>
          <w:dstrike w:val="false"/>
          <w:color w:val="000000"/>
          <w:sz w:val="17"/>
          <w:u w:val="none"/>
          <w:effect w:val="none"/>
        </w:rPr>
        <w:t>2011</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2010</w:t>
      </w:r>
      <w:r>
        <w:rPr>
          <w:sz w:val="17"/>
        </w:rPr>
        <w:t xml:space="preserve"> </w:t>
      </w:r>
      <w:r>
        <w:rPr>
          <w:rFonts w:ascii="inherit" w:hAnsi="inherit"/>
          <w:sz w:val="17"/>
        </w:rPr>
        <w:t xml:space="preserve">or for the fiscal years then ended.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81</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Condensed Consolidating Balance Sheets</w:t>
      </w:r>
    </w:p>
    <w:tbl>
      <w:tblPr>
        <w:tblW w:w="10205" w:type="dxa"/>
        <w:jc w:val="left"/>
        <w:tblInd w:w="0" w:type="dxa"/>
        <w:tblCellMar>
          <w:top w:w="0" w:type="dxa"/>
          <w:left w:w="0" w:type="dxa"/>
          <w:bottom w:w="0" w:type="dxa"/>
          <w:right w:w="0" w:type="dxa"/>
        </w:tblCellMar>
      </w:tblPr>
      <w:tblGrid>
        <w:gridCol w:w="2443"/>
        <w:gridCol w:w="138"/>
        <w:gridCol w:w="872"/>
        <w:gridCol w:w="138"/>
        <w:gridCol w:w="119"/>
        <w:gridCol w:w="142"/>
        <w:gridCol w:w="896"/>
        <w:gridCol w:w="144"/>
        <w:gridCol w:w="119"/>
        <w:gridCol w:w="152"/>
        <w:gridCol w:w="950"/>
        <w:gridCol w:w="154"/>
        <w:gridCol w:w="119"/>
        <w:gridCol w:w="146"/>
        <w:gridCol w:w="978"/>
        <w:gridCol w:w="147"/>
        <w:gridCol w:w="119"/>
        <w:gridCol w:w="138"/>
        <w:gridCol w:w="1004"/>
        <w:gridCol w:w="128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4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43" w:type="dxa"/>
            <w:tcBorders/>
            <w:shd w:fill="auto" w:val="clear"/>
            <w:vAlign w:val="center"/>
          </w:tcPr>
          <w:p>
            <w:pPr>
              <w:pStyle w:val="TableContents"/>
              <w:spacing w:before="0" w:after="0"/>
              <w:ind w:left="0" w:right="0" w:firstLine="30"/>
              <w:jc w:val="left"/>
              <w:rPr/>
            </w:pPr>
            <w:r>
              <w:rPr/>
              <w:t> </w:t>
            </w:r>
          </w:p>
        </w:tc>
        <w:tc>
          <w:tcPr>
            <w:tcW w:w="7762"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r>
      <w:tr>
        <w:trPr/>
        <w:tc>
          <w:tcPr>
            <w:tcW w:w="2443" w:type="dxa"/>
            <w:tcBorders/>
            <w:shd w:fill="auto" w:val="clear"/>
            <w:vAlign w:val="center"/>
          </w:tcPr>
          <w:p>
            <w:pPr>
              <w:pStyle w:val="TableContents"/>
              <w:spacing w:before="0" w:after="0"/>
              <w:ind w:left="0" w:right="0" w:firstLine="30"/>
              <w:jc w:val="left"/>
              <w:rPr/>
            </w:pPr>
            <w:r>
              <w:rPr/>
              <w:t> </w:t>
            </w:r>
          </w:p>
        </w:tc>
        <w:tc>
          <w:tcPr>
            <w:tcW w:w="11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43" w:type="dxa"/>
            <w:tcBorders/>
            <w:shd w:fill="auto" w:val="clear"/>
            <w:vAlign w:val="center"/>
          </w:tcPr>
          <w:p>
            <w:pPr>
              <w:pStyle w:val="TableContents"/>
              <w:spacing w:before="0" w:after="0"/>
              <w:ind w:left="0" w:right="0" w:firstLine="30"/>
              <w:jc w:val="left"/>
              <w:rPr/>
            </w:pPr>
            <w:r>
              <w:rPr/>
              <w:t>  </w:t>
            </w:r>
          </w:p>
        </w:tc>
        <w:tc>
          <w:tcPr>
            <w:tcW w:w="7762"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5"/>
              </w:rPr>
            </w:pPr>
            <w:r>
              <w:rPr>
                <w:rFonts w:ascii="inherit" w:hAnsi="inherit"/>
                <w:i/>
                <w:sz w:val="15"/>
              </w:rPr>
              <w:t>(in thousands)</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Assets:</w:t>
            </w:r>
          </w:p>
        </w:tc>
        <w:tc>
          <w:tcPr>
            <w:tcW w:w="114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shd w:fill="auto" w:val="clear"/>
            <w:vAlign w:val="center"/>
          </w:tcPr>
          <w:p>
            <w:pPr>
              <w:pStyle w:val="TableContents"/>
              <w:spacing w:before="0" w:after="0"/>
              <w:ind w:left="0" w:right="0" w:firstLine="420"/>
              <w:rPr/>
            </w:pPr>
            <w:r>
              <w:rPr/>
              <w:t> </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shd w:fill="auto" w:val="clear"/>
            <w:vAlign w:val="center"/>
          </w:tcPr>
          <w:p>
            <w:pPr>
              <w:pStyle w:val="TableContents"/>
              <w:spacing w:before="0" w:after="0"/>
              <w:jc w:val="right"/>
              <w:rPr>
                <w:rFonts w:ascii="inherit" w:hAnsi="inherit"/>
                <w:sz w:val="15"/>
              </w:rPr>
            </w:pPr>
            <w:r>
              <w:rPr>
                <w:rFonts w:ascii="inherit" w:hAnsi="inherit"/>
                <w:sz w:val="15"/>
              </w:rPr>
              <w:t>703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shd w:fill="auto" w:val="clear"/>
            <w:vAlign w:val="center"/>
          </w:tcPr>
          <w:p>
            <w:pPr>
              <w:pStyle w:val="TableContents"/>
              <w:spacing w:before="0" w:after="0"/>
              <w:jc w:val="right"/>
              <w:rPr>
                <w:rFonts w:ascii="inherit" w:hAnsi="inherit"/>
                <w:sz w:val="15"/>
              </w:rPr>
            </w:pPr>
            <w:r>
              <w:rPr>
                <w:rFonts w:ascii="inherit" w:hAnsi="inherit"/>
                <w:sz w:val="15"/>
              </w:rPr>
              <w:t>27,686</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shd w:fill="auto" w:val="clear"/>
            <w:vAlign w:val="center"/>
          </w:tcPr>
          <w:p>
            <w:pPr>
              <w:pStyle w:val="TableContents"/>
              <w:spacing w:before="0" w:after="0"/>
              <w:jc w:val="right"/>
              <w:rPr>
                <w:rFonts w:ascii="inherit" w:hAnsi="inherit"/>
                <w:sz w:val="15"/>
              </w:rPr>
            </w:pPr>
            <w:r>
              <w:rPr>
                <w:rFonts w:ascii="inherit" w:hAnsi="inherit"/>
                <w:sz w:val="15"/>
              </w:rPr>
              <w:t>20,088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shd w:fill="auto" w:val="clear"/>
            <w:vAlign w:val="center"/>
          </w:tcPr>
          <w:p>
            <w:pPr>
              <w:pStyle w:val="TableContents"/>
              <w:spacing w:before="0" w:after="0"/>
              <w:jc w:val="right"/>
              <w:rPr>
                <w:rFonts w:ascii="inherit" w:hAnsi="inherit"/>
                <w:sz w:val="15"/>
              </w:rPr>
            </w:pPr>
            <w:r>
              <w:rPr>
                <w:rFonts w:ascii="inherit" w:hAnsi="inherit"/>
                <w:sz w:val="15"/>
              </w:rPr>
              <w:t>48,477</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Restricted cash</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loans,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140,885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16,763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157,648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 net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16,562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17,590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34,152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 receivable,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26,663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2,738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29,401</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receivable, net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6,899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23,517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30,416</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Inventory,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93,165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16,049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109,214</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9,484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5,500</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14,984</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Receivable from affiliates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362,427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(362,427</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Federal income tax receivable</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10,209</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10,511</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assets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2,243</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38,629</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4,579</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45,451</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10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385,066</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355,989</w:t>
            </w:r>
          </w:p>
        </w:tc>
        <w:tc>
          <w:tcPr>
            <w:tcW w:w="14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102,771</w:t>
            </w:r>
          </w:p>
        </w:tc>
        <w:tc>
          <w:tcPr>
            <w:tcW w:w="1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(362,427</w:t>
            </w:r>
          </w:p>
        </w:tc>
        <w:tc>
          <w:tcPr>
            <w:tcW w:w="14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481,399</w:t>
            </w:r>
          </w:p>
        </w:tc>
        <w:tc>
          <w:tcPr>
            <w:tcW w:w="1287" w:type="dxa"/>
            <w:tcBorders>
              <w:top w:val="single" w:sz="2" w:space="0" w:color="000000"/>
            </w:tcBorders>
            <w:shd w:fill="CCEEFF"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unconsolidated affiliates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74,254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51,812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126,066</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subsidiaries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510,683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95,942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(606,625</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74,837</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33,294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108,131</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Restricted cash non-current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4,337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4,337</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224,275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150,388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374,663</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 net</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1,548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17,228</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26,409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45,185</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Non-current consumer loans,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61,997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61,997</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net</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8,585</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7,644</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16,229</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971,551</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828,668</w:t>
            </w:r>
          </w:p>
        </w:tc>
        <w:tc>
          <w:tcPr>
            <w:tcW w:w="14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386,840</w:t>
            </w:r>
          </w:p>
        </w:tc>
        <w:tc>
          <w:tcPr>
            <w:tcW w:w="15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(969,052</w:t>
            </w:r>
          </w:p>
        </w:tc>
        <w:tc>
          <w:tcPr>
            <w:tcW w:w="14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1,218,007</w:t>
            </w:r>
          </w:p>
        </w:tc>
        <w:tc>
          <w:tcPr>
            <w:tcW w:w="12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Liabilities and stockholders’ equity:</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42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liabilities:</w:t>
            </w:r>
          </w:p>
        </w:tc>
        <w:tc>
          <w:tcPr>
            <w:tcW w:w="114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shd w:fill="auto" w:val="clear"/>
            <w:vAlign w:val="center"/>
          </w:tcPr>
          <w:p>
            <w:pPr>
              <w:pStyle w:val="TableContents"/>
              <w:spacing w:before="0" w:after="0"/>
              <w:ind w:left="0" w:right="0" w:firstLine="780"/>
              <w:rPr/>
            </w:pPr>
            <w:r>
              <w:rPr/>
              <w:t> </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maturities of long-term debt</w:t>
            </w:r>
          </w:p>
        </w:tc>
        <w:tc>
          <w:tcPr>
            <w:tcW w:w="13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shd w:fill="CCEEFF" w:val="clear"/>
            <w:vAlign w:val="center"/>
          </w:tcPr>
          <w:p>
            <w:pPr>
              <w:pStyle w:val="TableContents"/>
              <w:spacing w:before="0" w:after="0"/>
              <w:jc w:val="right"/>
              <w:rPr>
                <w:rFonts w:ascii="inherit" w:hAnsi="inherit"/>
                <w:sz w:val="15"/>
              </w:rPr>
            </w:pPr>
            <w:r>
              <w:rPr>
                <w:rFonts w:ascii="inherit" w:hAnsi="inherit"/>
                <w:sz w:val="15"/>
              </w:rPr>
              <w:t>21,085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shd w:fill="CCEEFF" w:val="clear"/>
            <w:vAlign w:val="center"/>
          </w:tcPr>
          <w:p>
            <w:pPr>
              <w:pStyle w:val="TableContents"/>
              <w:spacing w:before="0" w:after="0"/>
              <w:jc w:val="right"/>
              <w:rPr>
                <w:rFonts w:ascii="inherit" w:hAnsi="inherit"/>
                <w:sz w:val="15"/>
              </w:rPr>
            </w:pPr>
            <w:r>
              <w:rPr>
                <w:rFonts w:ascii="inherit" w:hAnsi="inherit"/>
                <w:sz w:val="15"/>
              </w:rPr>
              <w:t>21,085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capital lease obligations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594</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594</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and other accrued expenses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56,094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22,703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78,925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6,251</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987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7,238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Intercompany payables</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255,223</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107,204</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(362,427</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101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128</w:t>
            </w:r>
          </w:p>
        </w:tc>
        <w:tc>
          <w:tcPr>
            <w:tcW w:w="13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318,162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151,979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(362,427</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107,842</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less current maturities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130,000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68,836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198,836</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capital lease obligations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995</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liability</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6,595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1,327</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7,922</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gains and other long-term liabilities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1,898</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12,005</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13,903</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136,723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322,382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232,820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(362,427</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329,498</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Commitments and contingencies</w:t>
            </w:r>
          </w:p>
        </w:tc>
        <w:tc>
          <w:tcPr>
            <w:tcW w:w="1148" w:type="dxa"/>
            <w:gridSpan w:val="3"/>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shd w:fill="auto" w:val="clear"/>
            <w:vAlign w:val="center"/>
          </w:tcPr>
          <w:p>
            <w:pPr>
              <w:pStyle w:val="TableContents"/>
              <w:spacing w:before="0" w:after="0"/>
              <w:ind w:left="0" w:right="0" w:firstLine="420"/>
              <w:jc w:val="left"/>
              <w:rPr>
                <w:rFonts w:ascii="inherit" w:hAnsi="inherit"/>
                <w:sz w:val="15"/>
              </w:rPr>
            </w:pPr>
            <w:r>
              <w:rPr>
                <w:rFonts w:ascii="inherit" w:hAnsi="inherit"/>
                <w:sz w:val="15"/>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Temporary equity:</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Redeemable noncontrolling interest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53,681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53,681</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Stockholders’ equity:</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$.01 per share;</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482</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Class B Voting Common Stock, convertible, par value $.01 per share;</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268,626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80,210</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102,188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(182,398</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268,626</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Retained earnings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565,803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427,372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663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(428,035</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565,803</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income (loss)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(1,309</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(2,512</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3,821</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1287"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5"/>
              </w:rPr>
            </w:pPr>
            <w:r>
              <w:rPr>
                <w:rFonts w:ascii="inherit" w:hAnsi="inherit"/>
                <w:sz w:val="15"/>
              </w:rPr>
              <w:t>)</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EZCORP, Inc. stockholders’ equity</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834,828</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506,286</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100,339</w:t>
            </w:r>
          </w:p>
        </w:tc>
        <w:tc>
          <w:tcPr>
            <w:tcW w:w="15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(606,625</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834,828</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971,551</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828,668</w:t>
            </w:r>
          </w:p>
        </w:tc>
        <w:tc>
          <w:tcPr>
            <w:tcW w:w="1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386,840</w:t>
            </w:r>
          </w:p>
        </w:tc>
        <w:tc>
          <w:tcPr>
            <w:tcW w:w="15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(969,052</w:t>
            </w:r>
          </w:p>
        </w:tc>
        <w:tc>
          <w:tcPr>
            <w:tcW w:w="147"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1,218,007</w:t>
            </w:r>
          </w:p>
        </w:tc>
        <w:tc>
          <w:tcPr>
            <w:tcW w:w="128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82</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70"/>
        <w:gridCol w:w="149"/>
        <w:gridCol w:w="928"/>
        <w:gridCol w:w="135"/>
        <w:gridCol w:w="115"/>
        <w:gridCol w:w="149"/>
        <w:gridCol w:w="928"/>
        <w:gridCol w:w="135"/>
        <w:gridCol w:w="115"/>
        <w:gridCol w:w="165"/>
        <w:gridCol w:w="901"/>
        <w:gridCol w:w="150"/>
        <w:gridCol w:w="115"/>
        <w:gridCol w:w="149"/>
        <w:gridCol w:w="987"/>
        <w:gridCol w:w="135"/>
        <w:gridCol w:w="115"/>
        <w:gridCol w:w="149"/>
        <w:gridCol w:w="928"/>
        <w:gridCol w:w="128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jc w:val="left"/>
              <w:rPr/>
            </w:pPr>
            <w:r>
              <w:rPr/>
              <w:t> </w:t>
            </w:r>
          </w:p>
        </w:tc>
        <w:tc>
          <w:tcPr>
            <w:tcW w:w="7735"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2011</w:t>
            </w:r>
          </w:p>
        </w:tc>
      </w:tr>
      <w:tr>
        <w:trPr/>
        <w:tc>
          <w:tcPr>
            <w:tcW w:w="2470" w:type="dxa"/>
            <w:tcBorders/>
            <w:shd w:fill="auto" w:val="clear"/>
            <w:vAlign w:val="center"/>
          </w:tcPr>
          <w:p>
            <w:pPr>
              <w:pStyle w:val="TableContents"/>
              <w:spacing w:before="0" w:after="0"/>
              <w:ind w:left="0" w:right="0" w:firstLine="30"/>
              <w:jc w:val="left"/>
              <w:rPr/>
            </w:pPr>
            <w:r>
              <w:rPr/>
              <w:t>  </w:t>
            </w:r>
          </w:p>
        </w:tc>
        <w:tc>
          <w:tcPr>
            <w:tcW w:w="12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5" w:type="dxa"/>
            <w:tcBorders/>
            <w:shd w:fill="auto" w:val="clear"/>
            <w:vAlign w:val="center"/>
          </w:tcPr>
          <w:p>
            <w:pPr>
              <w:pStyle w:val="TableContents"/>
              <w:spacing w:before="0" w:after="0"/>
              <w:ind w:left="0" w:right="0" w:firstLine="30"/>
              <w:rPr/>
            </w:pPr>
            <w:r>
              <w:rPr/>
              <w:t> </w:t>
            </w:r>
          </w:p>
        </w:tc>
        <w:tc>
          <w:tcPr>
            <w:tcW w:w="121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5" w:type="dxa"/>
            <w:tcBorders/>
            <w:shd w:fill="auto" w:val="clear"/>
            <w:vAlign w:val="center"/>
          </w:tcPr>
          <w:p>
            <w:pPr>
              <w:pStyle w:val="TableContents"/>
              <w:spacing w:before="0" w:after="0"/>
              <w:ind w:left="0" w:right="0" w:firstLine="30"/>
              <w:rPr/>
            </w:pPr>
            <w:r>
              <w:rPr/>
              <w:t> </w:t>
            </w:r>
          </w:p>
        </w:tc>
        <w:tc>
          <w:tcPr>
            <w:tcW w:w="12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5" w:type="dxa"/>
            <w:tcBorders/>
            <w:shd w:fill="auto" w:val="clear"/>
            <w:vAlign w:val="center"/>
          </w:tcPr>
          <w:p>
            <w:pPr>
              <w:pStyle w:val="TableContents"/>
              <w:spacing w:before="0" w:after="0"/>
              <w:ind w:left="0" w:right="0" w:firstLine="30"/>
              <w:rPr/>
            </w:pPr>
            <w:r>
              <w:rPr/>
              <w:t> </w:t>
            </w:r>
          </w:p>
        </w:tc>
        <w:tc>
          <w:tcPr>
            <w:tcW w:w="23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70" w:type="dxa"/>
            <w:tcBorders/>
            <w:shd w:fill="auto" w:val="clear"/>
            <w:vAlign w:val="center"/>
          </w:tcPr>
          <w:p>
            <w:pPr>
              <w:pStyle w:val="TableContents"/>
              <w:spacing w:before="0" w:after="0"/>
              <w:ind w:left="0" w:right="0" w:firstLine="30"/>
              <w:rPr/>
            </w:pPr>
            <w:r>
              <w:rPr/>
              <w:t>  </w:t>
            </w:r>
          </w:p>
        </w:tc>
        <w:tc>
          <w:tcPr>
            <w:tcW w:w="7735"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364" w:type="dxa"/>
            <w:gridSpan w:val="3"/>
            <w:tcBorders/>
            <w:shd w:fill="auto" w:val="clear"/>
            <w:vAlign w:val="center"/>
          </w:tcPr>
          <w:p>
            <w:pPr>
              <w:pStyle w:val="TableContents"/>
              <w:spacing w:before="0" w:after="0"/>
              <w:ind w:left="0" w:right="0" w:firstLine="420"/>
              <w:rPr/>
            </w:pPr>
            <w:r>
              <w:rPr/>
              <w:t> </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364" w:type="dxa"/>
            <w:gridSpan w:val="3"/>
            <w:tcBorders/>
            <w:shd w:fill="CCEEFF" w:val="clear"/>
            <w:vAlign w:val="center"/>
          </w:tcPr>
          <w:p>
            <w:pPr>
              <w:pStyle w:val="TableContents"/>
              <w:spacing w:before="0" w:after="0"/>
              <w:ind w:left="0" w:right="0" w:firstLine="78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4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auto" w:val="clear"/>
            <w:vAlign w:val="center"/>
          </w:tcPr>
          <w:p>
            <w:pPr>
              <w:pStyle w:val="TableContents"/>
              <w:spacing w:before="0" w:after="0"/>
              <w:jc w:val="right"/>
              <w:rPr>
                <w:rFonts w:ascii="inherit" w:hAnsi="inherit"/>
                <w:sz w:val="17"/>
              </w:rPr>
            </w:pPr>
            <w:r>
              <w:rPr>
                <w:rFonts w:ascii="inherit" w:hAnsi="inherit"/>
                <w:sz w:val="17"/>
              </w:rPr>
              <w:t>20,860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shd w:fill="auto" w:val="clear"/>
            <w:vAlign w:val="center"/>
          </w:tcPr>
          <w:p>
            <w:pPr>
              <w:pStyle w:val="TableContents"/>
              <w:spacing w:before="0" w:after="0"/>
              <w:jc w:val="right"/>
              <w:rPr>
                <w:rFonts w:ascii="inherit" w:hAnsi="inherit"/>
                <w:sz w:val="17"/>
              </w:rPr>
            </w:pPr>
            <w:r>
              <w:rPr>
                <w:rFonts w:ascii="inherit" w:hAnsi="inherit"/>
                <w:sz w:val="17"/>
              </w:rPr>
              <w:t>3,109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7"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auto" w:val="clear"/>
            <w:vAlign w:val="center"/>
          </w:tcPr>
          <w:p>
            <w:pPr>
              <w:pStyle w:val="TableContents"/>
              <w:spacing w:before="0" w:after="0"/>
              <w:jc w:val="right"/>
              <w:rPr>
                <w:rFonts w:ascii="inherit" w:hAnsi="inherit"/>
                <w:sz w:val="17"/>
              </w:rPr>
            </w:pPr>
            <w:r>
              <w:rPr>
                <w:rFonts w:ascii="inherit" w:hAnsi="inherit"/>
                <w:sz w:val="17"/>
              </w:rPr>
              <w:t>23,969</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134,457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10,861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145,318</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12,526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2,085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14,611</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24,792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26,455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6,775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81,277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9,096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90,373</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12,728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18,125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Intercompany receivables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256,078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(66,450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(189,628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25,976</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4,606</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30,611</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268,835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245,477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31,553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(189,628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356,237</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71,958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48,361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120,319</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subsidiaries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345,454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44,376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(389,830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59,434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19,064</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78,498</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163,897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9,309</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173,206</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2,147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15,183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2,460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19,790</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7,038</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1,362</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8,400</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688,394</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583,766</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63,748</w:t>
            </w:r>
          </w:p>
        </w:tc>
        <w:tc>
          <w:tcPr>
            <w:tcW w:w="1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(579,458</w:t>
            </w:r>
          </w:p>
        </w:tc>
        <w:tc>
          <w:tcPr>
            <w:tcW w:w="13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756,450</w:t>
            </w:r>
          </w:p>
        </w:tc>
        <w:tc>
          <w:tcPr>
            <w:tcW w:w="12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Liabilities and stockholders’ equity:</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364" w:type="dxa"/>
            <w:gridSpan w:val="3"/>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364" w:type="dxa"/>
            <w:gridSpan w:val="3"/>
            <w:tcBorders/>
            <w:shd w:fill="auto" w:val="clear"/>
            <w:vAlign w:val="center"/>
          </w:tcPr>
          <w:p>
            <w:pPr>
              <w:pStyle w:val="TableContents"/>
              <w:spacing w:before="0" w:after="0"/>
              <w:ind w:left="0" w:right="0" w:firstLine="780"/>
              <w:rPr/>
            </w:pPr>
            <w:r>
              <w:rPr/>
              <w:t> </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rFonts w:ascii="inherit" w:hAnsi="inherit"/>
                <w:sz w:val="17"/>
              </w:rPr>
            </w:pPr>
            <w:r>
              <w:rPr>
                <w:rFonts w:ascii="inherit" w:hAnsi="inherit"/>
                <w:sz w:val="17"/>
              </w:rPr>
              <w:t>50,871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shd w:fill="CCEEFF" w:val="clear"/>
            <w:vAlign w:val="center"/>
          </w:tcPr>
          <w:p>
            <w:pPr>
              <w:pStyle w:val="TableContents"/>
              <w:spacing w:before="0" w:after="0"/>
              <w:jc w:val="right"/>
              <w:rPr>
                <w:rFonts w:ascii="inherit" w:hAnsi="inherit"/>
                <w:sz w:val="17"/>
              </w:rPr>
            </w:pPr>
            <w:r>
              <w:rPr>
                <w:rFonts w:ascii="inherit" w:hAnsi="inherit"/>
                <w:sz w:val="17"/>
              </w:rPr>
              <w:t>6,516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7"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rFonts w:ascii="inherit" w:hAnsi="inherit"/>
                <w:sz w:val="17"/>
              </w:rPr>
            </w:pPr>
            <w:r>
              <w:rPr>
                <w:rFonts w:ascii="inherit" w:hAnsi="inherit"/>
                <w:sz w:val="17"/>
              </w:rPr>
              <w:t>57,400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5,711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6,176</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Intercompany payables</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170,631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18,997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(189,628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taxes payable</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693</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693</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227,213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25,978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(189,628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64,269</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17,500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17,500</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5,940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8,331</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2,102</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2,102</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24,146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230,878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26,806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(189,628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92,202</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w:t>
            </w:r>
          </w:p>
        </w:tc>
        <w:tc>
          <w:tcPr>
            <w:tcW w:w="1212"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2364" w:type="dxa"/>
            <w:gridSpan w:val="3"/>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Temporary equity:</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364" w:type="dxa"/>
            <w:gridSpan w:val="3"/>
            <w:tcBorders/>
            <w:shd w:fill="CCEEFF" w:val="clear"/>
            <w:vAlign w:val="center"/>
          </w:tcPr>
          <w:p>
            <w:pPr>
              <w:pStyle w:val="TableContents"/>
              <w:spacing w:before="0" w:after="0"/>
              <w:ind w:left="0" w:right="0" w:firstLine="78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364" w:type="dxa"/>
            <w:gridSpan w:val="3"/>
            <w:tcBorders/>
            <w:shd w:fill="CCEEFF" w:val="clear"/>
            <w:vAlign w:val="center"/>
          </w:tcPr>
          <w:p>
            <w:pPr>
              <w:pStyle w:val="TableContents"/>
              <w:spacing w:before="0" w:after="0"/>
              <w:ind w:left="0" w:right="0" w:firstLine="78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Class A Non-voting Common Stock, par value $.01 per share;</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471</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Class B Voting Common Stock, convertible, par value $.01 per share;</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Additional paid-in capital</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242,398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98,980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50,568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(149,548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242,398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Retained earnings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422,095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254,065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(6,126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(247,939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422,095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 (loss)</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(746</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(169</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(7,501</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7,670</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(746</w:t>
            </w:r>
          </w:p>
        </w:tc>
        <w:tc>
          <w:tcPr>
            <w:tcW w:w="1287"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EZCORP, Inc. stockholders’ equity</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664,248</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352,888</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36,942</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(389,830</w:t>
            </w:r>
          </w:p>
        </w:tc>
        <w:tc>
          <w:tcPr>
            <w:tcW w:w="13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664,248</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stockholders’ equity</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688,394</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583,766</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63,748</w:t>
            </w:r>
          </w:p>
        </w:tc>
        <w:tc>
          <w:tcPr>
            <w:tcW w:w="1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(579,458</w:t>
            </w:r>
          </w:p>
        </w:tc>
        <w:tc>
          <w:tcPr>
            <w:tcW w:w="13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756,450</w:t>
            </w:r>
          </w:p>
        </w:tc>
        <w:tc>
          <w:tcPr>
            <w:tcW w:w="128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83</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Statements of Operations</w:t>
      </w:r>
    </w:p>
    <w:tbl>
      <w:tblPr>
        <w:tblW w:w="10205" w:type="dxa"/>
        <w:jc w:val="left"/>
        <w:tblInd w:w="0" w:type="dxa"/>
        <w:tblCellMar>
          <w:top w:w="0" w:type="dxa"/>
          <w:left w:w="0" w:type="dxa"/>
          <w:bottom w:w="0" w:type="dxa"/>
          <w:right w:w="0" w:type="dxa"/>
        </w:tblCellMar>
      </w:tblPr>
      <w:tblGrid>
        <w:gridCol w:w="2639"/>
        <w:gridCol w:w="153"/>
        <w:gridCol w:w="965"/>
        <w:gridCol w:w="138"/>
        <w:gridCol w:w="119"/>
        <w:gridCol w:w="153"/>
        <w:gridCol w:w="965"/>
        <w:gridCol w:w="138"/>
        <w:gridCol w:w="119"/>
        <w:gridCol w:w="168"/>
        <w:gridCol w:w="939"/>
        <w:gridCol w:w="154"/>
        <w:gridCol w:w="119"/>
        <w:gridCol w:w="153"/>
        <w:gridCol w:w="1023"/>
        <w:gridCol w:w="138"/>
        <w:gridCol w:w="119"/>
        <w:gridCol w:w="153"/>
        <w:gridCol w:w="965"/>
        <w:gridCol w:w="88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3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39" w:type="dxa"/>
            <w:tcBorders/>
            <w:shd w:fill="auto" w:val="clear"/>
            <w:vAlign w:val="center"/>
          </w:tcPr>
          <w:p>
            <w:pPr>
              <w:pStyle w:val="TableContents"/>
              <w:spacing w:before="0" w:after="0"/>
              <w:ind w:left="0" w:right="0" w:firstLine="30"/>
              <w:jc w:val="left"/>
              <w:rPr/>
            </w:pPr>
            <w:r>
              <w:rPr/>
              <w:t> </w:t>
            </w:r>
          </w:p>
        </w:tc>
        <w:tc>
          <w:tcPr>
            <w:tcW w:w="7566"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2012</w:t>
            </w:r>
          </w:p>
        </w:tc>
      </w:tr>
      <w:tr>
        <w:trPr/>
        <w:tc>
          <w:tcPr>
            <w:tcW w:w="2639" w:type="dxa"/>
            <w:tcBorders/>
            <w:shd w:fill="auto" w:val="clear"/>
            <w:vAlign w:val="center"/>
          </w:tcPr>
          <w:p>
            <w:pPr>
              <w:pStyle w:val="TableContents"/>
              <w:spacing w:before="0" w:after="0"/>
              <w:ind w:left="0" w:right="0" w:firstLine="30"/>
              <w:jc w:val="left"/>
              <w:rPr/>
            </w:pPr>
            <w:r>
              <w:rPr/>
              <w:t> </w:t>
            </w:r>
          </w:p>
        </w:tc>
        <w:tc>
          <w:tcPr>
            <w:tcW w:w="12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9" w:type="dxa"/>
            <w:tcBorders/>
            <w:shd w:fill="auto" w:val="clear"/>
            <w:vAlign w:val="center"/>
          </w:tcPr>
          <w:p>
            <w:pPr>
              <w:pStyle w:val="TableContents"/>
              <w:spacing w:before="0" w:after="0"/>
              <w:ind w:left="0" w:right="0" w:firstLine="30"/>
              <w:rPr/>
            </w:pPr>
            <w:r>
              <w:rPr/>
              <w:t> </w:t>
            </w:r>
          </w:p>
        </w:tc>
        <w:tc>
          <w:tcPr>
            <w:tcW w:w="126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9" w:type="dxa"/>
            <w:tcBorders/>
            <w:shd w:fill="auto" w:val="clear"/>
            <w:vAlign w:val="center"/>
          </w:tcPr>
          <w:p>
            <w:pPr>
              <w:pStyle w:val="TableContents"/>
              <w:spacing w:before="0" w:after="0"/>
              <w:ind w:left="0" w:right="0" w:firstLine="30"/>
              <w:rPr/>
            </w:pPr>
            <w:r>
              <w:rPr/>
              <w:t> </w:t>
            </w:r>
          </w:p>
        </w:tc>
        <w:tc>
          <w:tcPr>
            <w:tcW w:w="13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9" w:type="dxa"/>
            <w:tcBorders/>
            <w:shd w:fill="auto" w:val="clear"/>
            <w:vAlign w:val="center"/>
          </w:tcPr>
          <w:p>
            <w:pPr>
              <w:pStyle w:val="TableContents"/>
              <w:spacing w:before="0" w:after="0"/>
              <w:ind w:left="0" w:right="0" w:firstLine="30"/>
              <w:rPr/>
            </w:pPr>
            <w:r>
              <w:rPr/>
              <w:t> </w:t>
            </w:r>
          </w:p>
        </w:tc>
        <w:tc>
          <w:tcPr>
            <w:tcW w:w="20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639" w:type="dxa"/>
            <w:tcBorders/>
            <w:shd w:fill="auto" w:val="clear"/>
            <w:vAlign w:val="center"/>
          </w:tcPr>
          <w:p>
            <w:pPr>
              <w:pStyle w:val="TableContents"/>
              <w:spacing w:before="0" w:after="0"/>
              <w:ind w:left="0" w:right="0" w:firstLine="30"/>
              <w:jc w:val="left"/>
              <w:rPr/>
            </w:pPr>
            <w:r>
              <w:rPr/>
              <w:t> </w:t>
            </w:r>
          </w:p>
        </w:tc>
        <w:tc>
          <w:tcPr>
            <w:tcW w:w="7566"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25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314"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003" w:type="dxa"/>
            <w:gridSpan w:val="3"/>
            <w:tcBorders/>
            <w:shd w:fill="auto" w:val="clear"/>
            <w:vAlign w:val="center"/>
          </w:tcPr>
          <w:p>
            <w:pPr>
              <w:pStyle w:val="TableContents"/>
              <w:spacing w:before="0" w:after="0"/>
              <w:ind w:left="0" w:right="0" w:firstLine="420"/>
              <w:rPr/>
            </w:pPr>
            <w:r>
              <w:rPr/>
              <w:t> </w:t>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shd w:fill="CCEEFF" w:val="clear"/>
            <w:vAlign w:val="center"/>
          </w:tcPr>
          <w:p>
            <w:pPr>
              <w:pStyle w:val="TableContents"/>
              <w:spacing w:before="0" w:after="0"/>
              <w:jc w:val="right"/>
              <w:rPr>
                <w:rFonts w:ascii="inherit" w:hAnsi="inherit"/>
                <w:sz w:val="17"/>
              </w:rPr>
            </w:pPr>
            <w:r>
              <w:rPr>
                <w:rFonts w:ascii="inherit" w:hAnsi="inherit"/>
                <w:sz w:val="17"/>
              </w:rPr>
              <w:t>290,040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39" w:type="dxa"/>
            <w:tcBorders/>
            <w:shd w:fill="CCEEFF" w:val="clear"/>
            <w:vAlign w:val="center"/>
          </w:tcPr>
          <w:p>
            <w:pPr>
              <w:pStyle w:val="TableContents"/>
              <w:spacing w:before="0" w:after="0"/>
              <w:jc w:val="right"/>
              <w:rPr>
                <w:rFonts w:ascii="inherit" w:hAnsi="inherit"/>
                <w:sz w:val="17"/>
              </w:rPr>
            </w:pPr>
            <w:r>
              <w:rPr>
                <w:rFonts w:ascii="inherit" w:hAnsi="inherit"/>
                <w:sz w:val="17"/>
              </w:rPr>
              <w:t>43,024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shd w:fill="CCEEFF" w:val="clear"/>
            <w:vAlign w:val="center"/>
          </w:tcPr>
          <w:p>
            <w:pPr>
              <w:pStyle w:val="TableContents"/>
              <w:spacing w:before="0" w:after="0"/>
              <w:jc w:val="right"/>
              <w:rPr>
                <w:rFonts w:ascii="inherit" w:hAnsi="inherit"/>
                <w:sz w:val="17"/>
              </w:rPr>
            </w:pPr>
            <w:r>
              <w:rPr>
                <w:rFonts w:ascii="inherit" w:hAnsi="inherit"/>
                <w:sz w:val="17"/>
              </w:rPr>
              <w:t>333,064</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18"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190,986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11,495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202,481</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18"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210,601</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22,937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233,538</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18"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156,285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44,396</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200,681</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6,048</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2,320</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(23,148</w:t>
            </w:r>
          </w:p>
        </w:tc>
        <w:tc>
          <w:tcPr>
            <w:tcW w:w="1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5,359</w:t>
            </w:r>
          </w:p>
        </w:tc>
        <w:tc>
          <w:tcPr>
            <w:tcW w:w="88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20,139</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853,960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124,172</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(23,148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975,123</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18"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167,281</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23,356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190,637</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18"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122,089</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8,626</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130,715</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33,645</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5,725</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39,370</w:t>
            </w:r>
          </w:p>
        </w:tc>
        <w:tc>
          <w:tcPr>
            <w:tcW w:w="88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20,139</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530,945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86,465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(23,148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614,401</w:t>
            </w:r>
          </w:p>
        </w:tc>
        <w:tc>
          <w:tcPr>
            <w:tcW w:w="88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003" w:type="dxa"/>
            <w:gridSpan w:val="3"/>
            <w:tcBorders/>
            <w:shd w:fill="CCEEFF" w:val="clear"/>
            <w:vAlign w:val="center"/>
          </w:tcPr>
          <w:p>
            <w:pPr>
              <w:pStyle w:val="TableContents"/>
              <w:spacing w:before="0" w:after="0"/>
              <w:ind w:left="0" w:right="0" w:firstLine="420"/>
              <w:rPr/>
            </w:pPr>
            <w:r>
              <w:rPr/>
              <w:t> </w:t>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118"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283,468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52,880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336,348</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118"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45,471</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5,450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(3,009</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47,912</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118"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17,760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4,251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22,011</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118"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1,956</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(281</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254</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885"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346,871</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64,338</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(3,009</w:t>
            </w:r>
          </w:p>
        </w:tc>
        <w:tc>
          <w:tcPr>
            <w:tcW w:w="1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408,200</w:t>
            </w:r>
          </w:p>
        </w:tc>
        <w:tc>
          <w:tcPr>
            <w:tcW w:w="88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20,139</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184,074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22,127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(20,139</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206,201</w:t>
            </w:r>
          </w:p>
        </w:tc>
        <w:tc>
          <w:tcPr>
            <w:tcW w:w="8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(income)</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3,192</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(3,568</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(1,550</w:t>
            </w:r>
          </w:p>
        </w:tc>
        <w:tc>
          <w:tcPr>
            <w:tcW w:w="8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(9,949</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(7,451</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(17,400</w:t>
            </w:r>
          </w:p>
        </w:tc>
        <w:tc>
          <w:tcPr>
            <w:tcW w:w="8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subsidiaries</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(180,500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180,500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pPr>
            <w:r>
              <w:rPr/>
              <w:t>—</w:t>
            </w:r>
          </w:p>
        </w:tc>
        <w:tc>
          <w:tcPr>
            <w:tcW w:w="8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(828</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(383</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(1,211</w:t>
            </w:r>
          </w:p>
        </w:tc>
        <w:tc>
          <w:tcPr>
            <w:tcW w:w="8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207,396</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193,527</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26,078</w:t>
            </w:r>
          </w:p>
        </w:tc>
        <w:tc>
          <w:tcPr>
            <w:tcW w:w="1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(200,639</w:t>
            </w:r>
          </w:p>
        </w:tc>
        <w:tc>
          <w:tcPr>
            <w:tcW w:w="13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226,362</w:t>
            </w:r>
          </w:p>
        </w:tc>
        <w:tc>
          <w:tcPr>
            <w:tcW w:w="8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63,526</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7,726</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8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143,870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173,388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18,352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(180,500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155,110</w:t>
            </w:r>
          </w:p>
        </w:tc>
        <w:tc>
          <w:tcPr>
            <w:tcW w:w="8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income from discontinued operations, net of tax</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(162</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323</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(4,694</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8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1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173,711</w:t>
            </w:r>
          </w:p>
        </w:tc>
        <w:tc>
          <w:tcPr>
            <w:tcW w:w="13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7"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13,658</w:t>
            </w:r>
          </w:p>
        </w:tc>
        <w:tc>
          <w:tcPr>
            <w:tcW w:w="15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6"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(180,500</w:t>
            </w:r>
          </w:p>
        </w:tc>
        <w:tc>
          <w:tcPr>
            <w:tcW w:w="13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18"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150,577</w:t>
            </w:r>
          </w:p>
        </w:tc>
        <w:tc>
          <w:tcPr>
            <w:tcW w:w="88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6,869</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6,869</w:t>
            </w:r>
          </w:p>
        </w:tc>
        <w:tc>
          <w:tcPr>
            <w:tcW w:w="8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173,711</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6,789</w:t>
            </w:r>
          </w:p>
        </w:tc>
        <w:tc>
          <w:tcPr>
            <w:tcW w:w="15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(180,500</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88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84</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677"/>
        <w:gridCol w:w="153"/>
        <w:gridCol w:w="972"/>
        <w:gridCol w:w="139"/>
        <w:gridCol w:w="120"/>
        <w:gridCol w:w="153"/>
        <w:gridCol w:w="972"/>
        <w:gridCol w:w="139"/>
        <w:gridCol w:w="120"/>
        <w:gridCol w:w="169"/>
        <w:gridCol w:w="946"/>
        <w:gridCol w:w="154"/>
        <w:gridCol w:w="120"/>
        <w:gridCol w:w="153"/>
        <w:gridCol w:w="1029"/>
        <w:gridCol w:w="139"/>
        <w:gridCol w:w="120"/>
        <w:gridCol w:w="153"/>
        <w:gridCol w:w="972"/>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7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77" w:type="dxa"/>
            <w:tcBorders/>
            <w:shd w:fill="auto" w:val="clear"/>
            <w:vAlign w:val="center"/>
          </w:tcPr>
          <w:p>
            <w:pPr>
              <w:pStyle w:val="TableContents"/>
              <w:spacing w:before="0" w:after="0"/>
              <w:ind w:left="0" w:right="0" w:firstLine="30"/>
              <w:jc w:val="left"/>
              <w:rPr/>
            </w:pPr>
            <w:r>
              <w:rPr/>
              <w:t> </w:t>
            </w:r>
          </w:p>
        </w:tc>
        <w:tc>
          <w:tcPr>
            <w:tcW w:w="7528"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2011</w:t>
            </w:r>
          </w:p>
        </w:tc>
      </w:tr>
      <w:tr>
        <w:trPr/>
        <w:tc>
          <w:tcPr>
            <w:tcW w:w="2677" w:type="dxa"/>
            <w:tcBorders/>
            <w:shd w:fill="auto" w:val="clear"/>
            <w:vAlign w:val="center"/>
          </w:tcPr>
          <w:p>
            <w:pPr>
              <w:pStyle w:val="TableContents"/>
              <w:spacing w:before="0" w:after="0"/>
              <w:ind w:left="0" w:right="0" w:firstLine="30"/>
              <w:jc w:val="left"/>
              <w:rPr/>
            </w:pPr>
            <w:r>
              <w:rPr/>
              <w:t> </w:t>
            </w:r>
          </w:p>
        </w:tc>
        <w:tc>
          <w:tcPr>
            <w:tcW w:w="12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0" w:type="dxa"/>
            <w:tcBorders/>
            <w:shd w:fill="auto" w:val="clear"/>
            <w:vAlign w:val="center"/>
          </w:tcPr>
          <w:p>
            <w:pPr>
              <w:pStyle w:val="TableContents"/>
              <w:spacing w:before="0" w:after="0"/>
              <w:ind w:left="0" w:right="0" w:firstLine="30"/>
              <w:rPr/>
            </w:pPr>
            <w:r>
              <w:rPr/>
              <w:t> </w:t>
            </w:r>
          </w:p>
        </w:tc>
        <w:tc>
          <w:tcPr>
            <w:tcW w:w="126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0" w:type="dxa"/>
            <w:tcBorders/>
            <w:shd w:fill="auto" w:val="clear"/>
            <w:vAlign w:val="center"/>
          </w:tcPr>
          <w:p>
            <w:pPr>
              <w:pStyle w:val="TableContents"/>
              <w:spacing w:before="0" w:after="0"/>
              <w:ind w:left="0" w:right="0" w:firstLine="30"/>
              <w:rPr/>
            </w:pPr>
            <w:r>
              <w:rPr/>
              <w:t> </w:t>
            </w:r>
          </w:p>
        </w:tc>
        <w:tc>
          <w:tcPr>
            <w:tcW w:w="126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0" w:type="dxa"/>
            <w:tcBorders/>
            <w:shd w:fill="auto" w:val="clear"/>
            <w:vAlign w:val="center"/>
          </w:tcPr>
          <w:p>
            <w:pPr>
              <w:pStyle w:val="TableContents"/>
              <w:spacing w:before="0" w:after="0"/>
              <w:ind w:left="0" w:right="0" w:firstLine="30"/>
              <w:rPr/>
            </w:pPr>
            <w:r>
              <w:rPr/>
              <w:t> </w:t>
            </w:r>
          </w:p>
        </w:tc>
        <w:tc>
          <w:tcPr>
            <w:tcW w:w="13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0" w:type="dxa"/>
            <w:tcBorders/>
            <w:shd w:fill="auto" w:val="clear"/>
            <w:vAlign w:val="center"/>
          </w:tcPr>
          <w:p>
            <w:pPr>
              <w:pStyle w:val="TableContents"/>
              <w:spacing w:before="0" w:after="0"/>
              <w:ind w:left="0" w:right="0" w:firstLine="30"/>
              <w:rPr/>
            </w:pPr>
            <w:r>
              <w:rPr/>
              <w:t> </w:t>
            </w:r>
          </w:p>
        </w:tc>
        <w:tc>
          <w:tcPr>
            <w:tcW w:w="1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677" w:type="dxa"/>
            <w:tcBorders/>
            <w:shd w:fill="auto" w:val="clear"/>
            <w:vAlign w:val="center"/>
          </w:tcPr>
          <w:p>
            <w:pPr>
              <w:pStyle w:val="TableContents"/>
              <w:spacing w:before="0" w:after="0"/>
              <w:ind w:left="0" w:right="0" w:firstLine="30"/>
              <w:jc w:val="left"/>
              <w:rPr/>
            </w:pPr>
            <w:r>
              <w:rPr/>
              <w:t> </w:t>
            </w:r>
          </w:p>
        </w:tc>
        <w:tc>
          <w:tcPr>
            <w:tcW w:w="7528"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264"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64"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69"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321"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930" w:type="dxa"/>
            <w:gridSpan w:val="3"/>
            <w:tcBorders/>
            <w:shd w:fill="auto" w:val="clear"/>
            <w:vAlign w:val="center"/>
          </w:tcPr>
          <w:p>
            <w:pPr>
              <w:pStyle w:val="TableContents"/>
              <w:spacing w:before="0" w:after="0"/>
              <w:ind w:left="0" w:right="0" w:firstLine="420"/>
              <w:rPr/>
            </w:pPr>
            <w:r>
              <w:rPr/>
              <w:t> </w:t>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shd w:fill="CCEEFF" w:val="clear"/>
            <w:vAlign w:val="center"/>
          </w:tcPr>
          <w:p>
            <w:pPr>
              <w:pStyle w:val="TableContents"/>
              <w:spacing w:before="0" w:after="0"/>
              <w:jc w:val="right"/>
              <w:rPr>
                <w:rFonts w:ascii="inherit" w:hAnsi="inherit"/>
                <w:sz w:val="17"/>
              </w:rPr>
            </w:pPr>
            <w:r>
              <w:rPr>
                <w:rFonts w:ascii="inherit" w:hAnsi="inherit"/>
                <w:sz w:val="17"/>
              </w:rPr>
              <w:t>256,500</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shd w:fill="CCEEFF" w:val="clear"/>
            <w:vAlign w:val="center"/>
          </w:tcPr>
          <w:p>
            <w:pPr>
              <w:pStyle w:val="TableContents"/>
              <w:spacing w:before="0" w:after="0"/>
              <w:jc w:val="right"/>
              <w:rPr>
                <w:rFonts w:ascii="inherit" w:hAnsi="inherit"/>
                <w:sz w:val="17"/>
              </w:rPr>
            </w:pPr>
            <w:r>
              <w:rPr>
                <w:rFonts w:ascii="inherit" w:hAnsi="inherit"/>
                <w:sz w:val="17"/>
              </w:rPr>
              <w:t>25,216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9" w:type="dxa"/>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shd w:fill="CCEEFF" w:val="clear"/>
            <w:vAlign w:val="center"/>
          </w:tcPr>
          <w:p>
            <w:pPr>
              <w:pStyle w:val="TableContents"/>
              <w:spacing w:before="0" w:after="0"/>
              <w:jc w:val="right"/>
              <w:rPr>
                <w:rFonts w:ascii="inherit" w:hAnsi="inherit"/>
                <w:sz w:val="17"/>
              </w:rPr>
            </w:pPr>
            <w:r>
              <w:rPr>
                <w:rFonts w:ascii="inherit" w:hAnsi="inherit"/>
                <w:sz w:val="17"/>
              </w:rPr>
              <w:t>281,716</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195,143</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9,715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204,858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184,204</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15,542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199,746</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158,947</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5,948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164,895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1,030</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553</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1,583</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795,824</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56,974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852,798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147,152</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14,682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161,834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120,656</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7,214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127,870</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35,048</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1,743</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36,791</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492,968</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33,335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526,303</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264"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64"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69"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321"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930" w:type="dxa"/>
            <w:gridSpan w:val="3"/>
            <w:tcBorders/>
            <w:shd w:fill="CCEEFF" w:val="clear"/>
            <w:vAlign w:val="center"/>
          </w:tcPr>
          <w:p>
            <w:pPr>
              <w:pStyle w:val="TableContents"/>
              <w:spacing w:before="0" w:after="0"/>
              <w:ind w:left="0" w:right="0" w:firstLine="420"/>
              <w:rPr/>
            </w:pPr>
            <w:r>
              <w:rPr/>
              <w:t> </w:t>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252,872</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29,523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282,395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50,025</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50,584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14,213</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2,543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16,756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400</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139</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154</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293</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317,649</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33,213</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350,862</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175,319</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175,441</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(8,451</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9,777</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1,653</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(8,945</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(7,292</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(16,237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subsidiaries</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(104,223</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104,223</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pPr>
            <w:r>
              <w:rPr/>
              <w:t>—</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(164</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(loss) from continuing operations before income taxes</w:t>
            </w:r>
          </w:p>
        </w:tc>
        <w:tc>
          <w:tcPr>
            <w:tcW w:w="112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188,069</w:t>
            </w:r>
          </w:p>
        </w:tc>
        <w:tc>
          <w:tcPr>
            <w:tcW w:w="13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173,002</w:t>
            </w:r>
          </w:p>
        </w:tc>
        <w:tc>
          <w:tcPr>
            <w:tcW w:w="13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(209</w:t>
            </w:r>
          </w:p>
        </w:tc>
        <w:tc>
          <w:tcPr>
            <w:tcW w:w="15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(170,673</w:t>
            </w:r>
          </w:p>
        </w:tc>
        <w:tc>
          <w:tcPr>
            <w:tcW w:w="139"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190,189</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65,506</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66,481</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935</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(66,450</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(loss) from continuing operations, net of tax</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122,563</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106,521</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(104,223</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123,717</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(loss) from discontinued operations, net of tax</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(404</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1,145</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(2,299</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12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3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107,666</w:t>
            </w:r>
          </w:p>
        </w:tc>
        <w:tc>
          <w:tcPr>
            <w:tcW w:w="13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(3,443</w:t>
            </w:r>
          </w:p>
        </w:tc>
        <w:tc>
          <w:tcPr>
            <w:tcW w:w="15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(104,223</w:t>
            </w:r>
          </w:p>
        </w:tc>
        <w:tc>
          <w:tcPr>
            <w:tcW w:w="13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80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 attributable to EZCORP, Inc.</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107,666</w:t>
            </w:r>
          </w:p>
        </w:tc>
        <w:tc>
          <w:tcPr>
            <w:tcW w:w="1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(3,443</w:t>
            </w:r>
          </w:p>
        </w:tc>
        <w:tc>
          <w:tcPr>
            <w:tcW w:w="15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(104,223</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80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85</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737"/>
        <w:gridCol w:w="155"/>
        <w:gridCol w:w="884"/>
        <w:gridCol w:w="140"/>
        <w:gridCol w:w="121"/>
        <w:gridCol w:w="155"/>
        <w:gridCol w:w="984"/>
        <w:gridCol w:w="140"/>
        <w:gridCol w:w="121"/>
        <w:gridCol w:w="170"/>
        <w:gridCol w:w="958"/>
        <w:gridCol w:w="156"/>
        <w:gridCol w:w="121"/>
        <w:gridCol w:w="163"/>
        <w:gridCol w:w="986"/>
        <w:gridCol w:w="149"/>
        <w:gridCol w:w="121"/>
        <w:gridCol w:w="155"/>
        <w:gridCol w:w="984"/>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7" w:type="dxa"/>
            <w:tcBorders/>
            <w:shd w:fill="auto" w:val="clear"/>
            <w:vAlign w:val="center"/>
          </w:tcPr>
          <w:p>
            <w:pPr>
              <w:pStyle w:val="TableContents"/>
              <w:spacing w:before="0" w:after="0"/>
              <w:ind w:left="0" w:right="0" w:firstLine="30"/>
              <w:jc w:val="left"/>
              <w:rPr/>
            </w:pPr>
            <w:r>
              <w:rPr/>
              <w:t> </w:t>
            </w:r>
          </w:p>
        </w:tc>
        <w:tc>
          <w:tcPr>
            <w:tcW w:w="7468"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2010</w:t>
            </w:r>
          </w:p>
        </w:tc>
      </w:tr>
      <w:tr>
        <w:trPr/>
        <w:tc>
          <w:tcPr>
            <w:tcW w:w="2737" w:type="dxa"/>
            <w:tcBorders/>
            <w:shd w:fill="auto" w:val="clear"/>
            <w:vAlign w:val="center"/>
          </w:tcPr>
          <w:p>
            <w:pPr>
              <w:pStyle w:val="TableContents"/>
              <w:spacing w:before="0" w:after="0"/>
              <w:ind w:left="0" w:right="0" w:firstLine="30"/>
              <w:jc w:val="left"/>
              <w:rPr/>
            </w:pPr>
            <w:r>
              <w:rPr/>
              <w:t> </w:t>
            </w:r>
          </w:p>
        </w:tc>
        <w:tc>
          <w:tcPr>
            <w:tcW w:w="11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1" w:type="dxa"/>
            <w:tcBorders/>
            <w:shd w:fill="auto" w:val="clear"/>
            <w:vAlign w:val="center"/>
          </w:tcPr>
          <w:p>
            <w:pPr>
              <w:pStyle w:val="TableContents"/>
              <w:spacing w:before="0" w:after="0"/>
              <w:ind w:left="0" w:right="0" w:firstLine="30"/>
              <w:rPr/>
            </w:pPr>
            <w:r>
              <w:rPr/>
              <w:t> </w:t>
            </w:r>
          </w:p>
        </w:tc>
        <w:tc>
          <w:tcPr>
            <w:tcW w:w="127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1" w:type="dxa"/>
            <w:tcBorders/>
            <w:shd w:fill="auto" w:val="clear"/>
            <w:vAlign w:val="center"/>
          </w:tcPr>
          <w:p>
            <w:pPr>
              <w:pStyle w:val="TableContents"/>
              <w:spacing w:before="0" w:after="0"/>
              <w:ind w:left="0" w:right="0" w:firstLine="30"/>
              <w:rPr/>
            </w:pPr>
            <w:r>
              <w:rPr/>
              <w:t> </w:t>
            </w:r>
          </w:p>
        </w:tc>
        <w:tc>
          <w:tcPr>
            <w:tcW w:w="128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1" w:type="dxa"/>
            <w:tcBorders/>
            <w:shd w:fill="auto" w:val="clear"/>
            <w:vAlign w:val="center"/>
          </w:tcPr>
          <w:p>
            <w:pPr>
              <w:pStyle w:val="TableContents"/>
              <w:spacing w:before="0" w:after="0"/>
              <w:ind w:left="0" w:right="0" w:firstLine="30"/>
              <w:rPr/>
            </w:pPr>
            <w:r>
              <w:rPr/>
              <w:t> </w:t>
            </w:r>
          </w:p>
        </w:tc>
        <w:tc>
          <w:tcPr>
            <w:tcW w:w="12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1" w:type="dxa"/>
            <w:tcBorders/>
            <w:shd w:fill="auto" w:val="clear"/>
            <w:vAlign w:val="center"/>
          </w:tcPr>
          <w:p>
            <w:pPr>
              <w:pStyle w:val="TableContents"/>
              <w:spacing w:before="0" w:after="0"/>
              <w:ind w:left="0" w:right="0" w:firstLine="30"/>
              <w:rPr/>
            </w:pPr>
            <w:r>
              <w:rPr/>
              <w:t> </w:t>
            </w:r>
          </w:p>
        </w:tc>
        <w:tc>
          <w:tcPr>
            <w:tcW w:w="19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737" w:type="dxa"/>
            <w:tcBorders/>
            <w:shd w:fill="auto" w:val="clear"/>
            <w:vAlign w:val="center"/>
          </w:tcPr>
          <w:p>
            <w:pPr>
              <w:pStyle w:val="TableContents"/>
              <w:spacing w:before="0" w:after="0"/>
              <w:ind w:left="0" w:right="0" w:firstLine="30"/>
              <w:jc w:val="left"/>
              <w:rPr/>
            </w:pPr>
            <w:r>
              <w:rPr/>
              <w:t> </w:t>
            </w:r>
          </w:p>
        </w:tc>
        <w:tc>
          <w:tcPr>
            <w:tcW w:w="7468"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79"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79"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84"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98"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944" w:type="dxa"/>
            <w:gridSpan w:val="3"/>
            <w:tcBorders/>
            <w:shd w:fill="auto" w:val="clear"/>
            <w:vAlign w:val="center"/>
          </w:tcPr>
          <w:p>
            <w:pPr>
              <w:pStyle w:val="TableContents"/>
              <w:spacing w:before="0" w:after="0"/>
              <w:ind w:left="0" w:right="0" w:firstLine="420"/>
              <w:rPr/>
            </w:pPr>
            <w:r>
              <w:rPr/>
              <w:t> </w:t>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shd w:fill="CCEEFF" w:val="clear"/>
            <w:vAlign w:val="center"/>
          </w:tcPr>
          <w:p>
            <w:pPr>
              <w:pStyle w:val="TableContents"/>
              <w:spacing w:before="0" w:after="0"/>
              <w:jc w:val="right"/>
              <w:rPr>
                <w:rFonts w:ascii="inherit" w:hAnsi="inherit"/>
                <w:sz w:val="17"/>
              </w:rPr>
            </w:pPr>
            <w:r>
              <w:rPr>
                <w:rFonts w:ascii="inherit" w:hAnsi="inherit"/>
                <w:sz w:val="17"/>
              </w:rPr>
              <w:t>226,404</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8" w:type="dxa"/>
            <w:tcBorders/>
            <w:shd w:fill="CCEEFF" w:val="clear"/>
            <w:vAlign w:val="center"/>
          </w:tcPr>
          <w:p>
            <w:pPr>
              <w:pStyle w:val="TableContents"/>
              <w:spacing w:before="0" w:after="0"/>
              <w:jc w:val="right"/>
              <w:rPr>
                <w:rFonts w:ascii="inherit" w:hAnsi="inherit"/>
                <w:sz w:val="17"/>
              </w:rPr>
            </w:pPr>
            <w:r>
              <w:rPr>
                <w:rFonts w:ascii="inherit" w:hAnsi="inherit"/>
                <w:sz w:val="17"/>
              </w:rPr>
              <w:t>13,937</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6" w:type="dxa"/>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shd w:fill="CCEEFF" w:val="clear"/>
            <w:vAlign w:val="center"/>
          </w:tcPr>
          <w:p>
            <w:pPr>
              <w:pStyle w:val="TableContents"/>
              <w:spacing w:before="0" w:after="0"/>
              <w:jc w:val="right"/>
              <w:rPr>
                <w:rFonts w:ascii="inherit" w:hAnsi="inherit"/>
                <w:sz w:val="17"/>
              </w:rPr>
            </w:pPr>
            <w:r>
              <w:rPr>
                <w:rFonts w:ascii="inherit" w:hAnsi="inherit"/>
                <w:sz w:val="17"/>
              </w:rPr>
              <w:t>240,341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163,804</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5,122</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168,926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39"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154,501</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8,778</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163,279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150,794</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1,369</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152,163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53,990</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454</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(53,990</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459</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53,990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695,957</w:t>
            </w:r>
          </w:p>
        </w:tc>
        <w:tc>
          <w:tcPr>
            <w:tcW w:w="14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29,211</w:t>
            </w:r>
          </w:p>
        </w:tc>
        <w:tc>
          <w:tcPr>
            <w:tcW w:w="15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(53,990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725,168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039"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131,808</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8,320</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140,128</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104,588</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4,228</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108,816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32,139</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830</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32,969</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53,990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427,422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15,833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(53,990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443,255</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179"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79"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84"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98"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944" w:type="dxa"/>
            <w:gridSpan w:val="3"/>
            <w:tcBorders/>
            <w:shd w:fill="CCEEFF" w:val="clear"/>
            <w:vAlign w:val="center"/>
          </w:tcPr>
          <w:p>
            <w:pPr>
              <w:pStyle w:val="TableContents"/>
              <w:spacing w:before="0" w:after="0"/>
              <w:ind w:left="0" w:right="0" w:firstLine="420"/>
              <w:rPr/>
            </w:pPr>
            <w:r>
              <w:rPr/>
              <w:t> </w:t>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235,613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15,312</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250,925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39"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33,346</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33,358</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12,247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1,435</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13,682</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039"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270</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352</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622</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0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1,469</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1,527</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282,945</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17,169</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300,114</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 (loss)</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53,990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144,477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(1,336</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(53,990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143,141</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(9,176</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10,141</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234</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1,199</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(3,928</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(6,822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(10,750</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subsidiaries</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(84,535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pPr>
            <w:r>
              <w:rPr/>
              <w:t>—</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84,535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0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w:t>
            </w:r>
          </w:p>
        </w:tc>
        <w:tc>
          <w:tcPr>
            <w:tcW w:w="1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(loss) from continuing operations before income taxes</w:t>
            </w:r>
          </w:p>
        </w:tc>
        <w:tc>
          <w:tcPr>
            <w:tcW w:w="103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151,629</w:t>
            </w:r>
          </w:p>
        </w:tc>
        <w:tc>
          <w:tcPr>
            <w:tcW w:w="1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141,251</w:t>
            </w:r>
          </w:p>
        </w:tc>
        <w:tc>
          <w:tcPr>
            <w:tcW w:w="1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(1,570</w:t>
            </w:r>
          </w:p>
        </w:tc>
        <w:tc>
          <w:tcPr>
            <w:tcW w:w="156"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(138,525</w:t>
            </w:r>
          </w:p>
        </w:tc>
        <w:tc>
          <w:tcPr>
            <w:tcW w:w="149"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152,785</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0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53,860</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54,026</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246</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(53,990</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54,142</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(loss) from continuing operations, net of tax</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97,769</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87,225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(1,816</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(84,535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98,643</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income from discontinued operations, net of tax</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(2,205</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(1,349</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039"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14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88,556</w:t>
            </w:r>
          </w:p>
        </w:tc>
        <w:tc>
          <w:tcPr>
            <w:tcW w:w="14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(4,021</w:t>
            </w:r>
          </w:p>
        </w:tc>
        <w:tc>
          <w:tcPr>
            <w:tcW w:w="156"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(84,535</w:t>
            </w:r>
          </w:p>
        </w:tc>
        <w:tc>
          <w:tcPr>
            <w:tcW w:w="149"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80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0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8"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5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4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 attributable to EZCORP, Inc.</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14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88,556</w:t>
            </w:r>
          </w:p>
        </w:tc>
        <w:tc>
          <w:tcPr>
            <w:tcW w:w="14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(4,021</w:t>
            </w:r>
          </w:p>
        </w:tc>
        <w:tc>
          <w:tcPr>
            <w:tcW w:w="1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(84,535</w:t>
            </w:r>
          </w:p>
        </w:tc>
        <w:tc>
          <w:tcPr>
            <w:tcW w:w="14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80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86</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 of Comprehensive Income</w:t>
      </w:r>
    </w:p>
    <w:tbl>
      <w:tblPr>
        <w:tblW w:w="10205" w:type="dxa"/>
        <w:jc w:val="left"/>
        <w:tblInd w:w="0" w:type="dxa"/>
        <w:tblCellMar>
          <w:top w:w="0" w:type="dxa"/>
          <w:left w:w="0" w:type="dxa"/>
          <w:bottom w:w="0" w:type="dxa"/>
          <w:right w:w="0" w:type="dxa"/>
        </w:tblCellMar>
      </w:tblPr>
      <w:tblGrid>
        <w:gridCol w:w="2711"/>
        <w:gridCol w:w="153"/>
        <w:gridCol w:w="967"/>
        <w:gridCol w:w="138"/>
        <w:gridCol w:w="119"/>
        <w:gridCol w:w="153"/>
        <w:gridCol w:w="967"/>
        <w:gridCol w:w="138"/>
        <w:gridCol w:w="119"/>
        <w:gridCol w:w="182"/>
        <w:gridCol w:w="1010"/>
        <w:gridCol w:w="70"/>
        <w:gridCol w:w="119"/>
        <w:gridCol w:w="153"/>
        <w:gridCol w:w="1024"/>
        <w:gridCol w:w="138"/>
        <w:gridCol w:w="119"/>
        <w:gridCol w:w="153"/>
        <w:gridCol w:w="967"/>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1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11" w:type="dxa"/>
            <w:tcBorders/>
            <w:shd w:fill="auto" w:val="clear"/>
            <w:vAlign w:val="center"/>
          </w:tcPr>
          <w:p>
            <w:pPr>
              <w:pStyle w:val="TableContents"/>
              <w:spacing w:before="0" w:after="0"/>
              <w:ind w:left="0" w:right="0" w:firstLine="30"/>
              <w:jc w:val="left"/>
              <w:rPr/>
            </w:pPr>
            <w:r>
              <w:rPr/>
              <w:t> </w:t>
            </w:r>
          </w:p>
        </w:tc>
        <w:tc>
          <w:tcPr>
            <w:tcW w:w="7494"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2012</w:t>
            </w:r>
          </w:p>
        </w:tc>
      </w:tr>
      <w:tr>
        <w:trPr/>
        <w:tc>
          <w:tcPr>
            <w:tcW w:w="2711" w:type="dxa"/>
            <w:tcBorders/>
            <w:shd w:fill="auto" w:val="clear"/>
            <w:vAlign w:val="center"/>
          </w:tcPr>
          <w:p>
            <w:pPr>
              <w:pStyle w:val="TableContents"/>
              <w:spacing w:before="0" w:after="0"/>
              <w:ind w:left="0" w:right="0" w:firstLine="30"/>
              <w:jc w:val="left"/>
              <w:rPr/>
            </w:pPr>
            <w:r>
              <w:rPr/>
              <w:t> </w:t>
            </w:r>
          </w:p>
        </w:tc>
        <w:tc>
          <w:tcPr>
            <w:tcW w:w="12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9" w:type="dxa"/>
            <w:tcBorders/>
            <w:shd w:fill="auto" w:val="clear"/>
            <w:vAlign w:val="center"/>
          </w:tcPr>
          <w:p>
            <w:pPr>
              <w:pStyle w:val="TableContents"/>
              <w:spacing w:before="0" w:after="0"/>
              <w:ind w:left="0" w:right="0" w:firstLine="30"/>
              <w:rPr/>
            </w:pPr>
            <w:r>
              <w:rPr/>
              <w:t> </w:t>
            </w:r>
          </w:p>
        </w:tc>
        <w:tc>
          <w:tcPr>
            <w:tcW w:w="12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9" w:type="dxa"/>
            <w:tcBorders/>
            <w:shd w:fill="auto" w:val="clear"/>
            <w:vAlign w:val="center"/>
          </w:tcPr>
          <w:p>
            <w:pPr>
              <w:pStyle w:val="TableContents"/>
              <w:spacing w:before="0" w:after="0"/>
              <w:ind w:left="0" w:right="0" w:firstLine="30"/>
              <w:rPr/>
            </w:pPr>
            <w:r>
              <w:rPr/>
              <w:t> </w:t>
            </w:r>
          </w:p>
        </w:tc>
        <w:tc>
          <w:tcPr>
            <w:tcW w:w="126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9" w:type="dxa"/>
            <w:tcBorders/>
            <w:shd w:fill="auto" w:val="clear"/>
            <w:vAlign w:val="center"/>
          </w:tcPr>
          <w:p>
            <w:pPr>
              <w:pStyle w:val="TableContents"/>
              <w:spacing w:before="0" w:after="0"/>
              <w:ind w:left="0" w:right="0" w:firstLine="30"/>
              <w:rPr/>
            </w:pPr>
            <w:r>
              <w:rPr/>
              <w:t> </w:t>
            </w:r>
          </w:p>
        </w:tc>
        <w:tc>
          <w:tcPr>
            <w:tcW w:w="13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9" w:type="dxa"/>
            <w:tcBorders/>
            <w:shd w:fill="auto" w:val="clear"/>
            <w:vAlign w:val="center"/>
          </w:tcPr>
          <w:p>
            <w:pPr>
              <w:pStyle w:val="TableContents"/>
              <w:spacing w:before="0" w:after="0"/>
              <w:ind w:left="0" w:right="0" w:firstLine="30"/>
              <w:rPr/>
            </w:pPr>
            <w:r>
              <w:rPr/>
              <w:t> </w:t>
            </w:r>
          </w:p>
        </w:tc>
        <w:tc>
          <w:tcPr>
            <w:tcW w:w="19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711" w:type="dxa"/>
            <w:tcBorders/>
            <w:shd w:fill="auto" w:val="clear"/>
            <w:vAlign w:val="center"/>
          </w:tcPr>
          <w:p>
            <w:pPr>
              <w:pStyle w:val="TableContents"/>
              <w:spacing w:before="0" w:after="0"/>
              <w:ind w:left="0" w:right="0" w:firstLine="30"/>
              <w:jc w:val="left"/>
              <w:rPr/>
            </w:pPr>
            <w:r>
              <w:rPr/>
              <w:t> </w:t>
            </w:r>
          </w:p>
        </w:tc>
        <w:tc>
          <w:tcPr>
            <w:tcW w:w="7494"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shd w:fill="auto" w:val="clear"/>
            <w:vAlign w:val="center"/>
          </w:tcPr>
          <w:p>
            <w:pPr>
              <w:pStyle w:val="TableContents"/>
              <w:spacing w:before="0" w:after="0"/>
              <w:jc w:val="right"/>
              <w:rPr>
                <w:rFonts w:ascii="inherit" w:hAnsi="inherit"/>
                <w:sz w:val="17"/>
              </w:rPr>
            </w:pPr>
            <w:r>
              <w:rPr>
                <w:rFonts w:ascii="inherit" w:hAnsi="inherit"/>
                <w:sz w:val="17"/>
              </w:rPr>
              <w:t>143,708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shd w:fill="auto" w:val="clear"/>
            <w:vAlign w:val="center"/>
          </w:tcPr>
          <w:p>
            <w:pPr>
              <w:pStyle w:val="TableContents"/>
              <w:spacing w:before="0" w:after="0"/>
              <w:jc w:val="right"/>
              <w:rPr>
                <w:rFonts w:ascii="inherit" w:hAnsi="inherit"/>
                <w:sz w:val="17"/>
              </w:rPr>
            </w:pPr>
            <w:r>
              <w:rPr>
                <w:rFonts w:ascii="inherit" w:hAnsi="inherit"/>
                <w:sz w:val="17"/>
              </w:rPr>
              <w:t>173,711</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0" w:type="dxa"/>
            <w:tcBorders/>
            <w:shd w:fill="auto" w:val="clear"/>
            <w:vAlign w:val="center"/>
          </w:tcPr>
          <w:p>
            <w:pPr>
              <w:pStyle w:val="TableContents"/>
              <w:spacing w:before="0" w:after="0"/>
              <w:jc w:val="right"/>
              <w:rPr>
                <w:rFonts w:ascii="inherit" w:hAnsi="inherit"/>
                <w:sz w:val="17"/>
              </w:rPr>
            </w:pPr>
            <w:r>
              <w:rPr>
                <w:rFonts w:ascii="inherit" w:hAnsi="inherit"/>
                <w:sz w:val="17"/>
              </w:rPr>
              <w:t>13,658</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4" w:type="dxa"/>
            <w:tcBorders/>
            <w:shd w:fill="auto" w:val="clear"/>
            <w:vAlign w:val="center"/>
          </w:tcPr>
          <w:p>
            <w:pPr>
              <w:pStyle w:val="TableContents"/>
              <w:spacing w:before="0" w:after="0"/>
              <w:jc w:val="right"/>
              <w:rPr>
                <w:rFonts w:ascii="inherit" w:hAnsi="inherit"/>
                <w:sz w:val="17"/>
              </w:rPr>
            </w:pPr>
            <w:r>
              <w:rPr>
                <w:rFonts w:ascii="inherit" w:hAnsi="inherit"/>
                <w:sz w:val="17"/>
              </w:rPr>
              <w:t>(180,500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shd w:fill="auto" w:val="clear"/>
            <w:vAlign w:val="center"/>
          </w:tcPr>
          <w:p>
            <w:pPr>
              <w:pStyle w:val="TableContents"/>
              <w:spacing w:before="0" w:after="0"/>
              <w:jc w:val="right"/>
              <w:rPr>
                <w:rFonts w:ascii="inherit" w:hAnsi="inherit"/>
                <w:sz w:val="17"/>
              </w:rPr>
            </w:pPr>
            <w:r>
              <w:rPr>
                <w:rFonts w:ascii="inherit" w:hAnsi="inherit"/>
                <w:sz w:val="17"/>
              </w:rPr>
              <w:t>150,577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125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6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315"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925" w:type="dxa"/>
            <w:gridSpan w:val="3"/>
            <w:tcBorders/>
            <w:shd w:fill="CCEEFF" w:val="clear"/>
            <w:vAlign w:val="center"/>
          </w:tcPr>
          <w:p>
            <w:pPr>
              <w:pStyle w:val="TableContents"/>
              <w:spacing w:before="0" w:after="0"/>
              <w:ind w:left="0" w:right="0" w:firstLine="420"/>
              <w:rPr/>
            </w:pPr>
            <w:r>
              <w:rPr/>
              <w:t> </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 (loss)</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5,945</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Unrealized holding loss arising during period</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pPr>
            <w:r>
              <w:rPr/>
              <w:t>—</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(735</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2,330</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597</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2,330</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633</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(1,140</w:t>
            </w:r>
          </w:p>
        </w:tc>
        <w:tc>
          <w:tcPr>
            <w:tcW w:w="1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9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5,945</w:t>
            </w:r>
          </w:p>
        </w:tc>
        <w:tc>
          <w:tcPr>
            <w:tcW w:w="7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7"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(3,850</w:t>
            </w:r>
          </w:p>
        </w:tc>
        <w:tc>
          <w:tcPr>
            <w:tcW w:w="13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1,588</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144,341</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172,571</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19,603</w:t>
            </w:r>
          </w:p>
        </w:tc>
        <w:tc>
          <w:tcPr>
            <w:tcW w:w="7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(184,350</w:t>
            </w:r>
          </w:p>
        </w:tc>
        <w:tc>
          <w:tcPr>
            <w:tcW w:w="138"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152,165</w:t>
            </w:r>
          </w:p>
        </w:tc>
        <w:tc>
          <w:tcPr>
            <w:tcW w:w="805"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redeemable noncontrolling interest:</w:t>
            </w:r>
          </w:p>
        </w:tc>
        <w:tc>
          <w:tcPr>
            <w:tcW w:w="125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6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315"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925" w:type="dxa"/>
            <w:gridSpan w:val="3"/>
            <w:tcBorders/>
            <w:shd w:fill="CCEEFF" w:val="clear"/>
            <w:vAlign w:val="center"/>
          </w:tcPr>
          <w:p>
            <w:pPr>
              <w:pStyle w:val="TableContents"/>
              <w:spacing w:before="0" w:after="0"/>
              <w:ind w:left="0" w:right="0" w:firstLine="780"/>
              <w:rPr/>
            </w:pPr>
            <w:r>
              <w:rPr/>
              <w:t> </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12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6,869</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6,869</w:t>
            </w:r>
          </w:p>
        </w:tc>
        <w:tc>
          <w:tcPr>
            <w:tcW w:w="80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9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955</w:t>
            </w:r>
          </w:p>
        </w:tc>
        <w:tc>
          <w:tcPr>
            <w:tcW w:w="7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7"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955</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7,824</w:t>
            </w:r>
          </w:p>
        </w:tc>
        <w:tc>
          <w:tcPr>
            <w:tcW w:w="7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3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7,824</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 attributable to EZCORP, Inc.</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144,341</w:t>
            </w:r>
          </w:p>
        </w:tc>
        <w:tc>
          <w:tcPr>
            <w:tcW w:w="1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172,571</w:t>
            </w:r>
          </w:p>
        </w:tc>
        <w:tc>
          <w:tcPr>
            <w:tcW w:w="1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11,779</w:t>
            </w:r>
          </w:p>
        </w:tc>
        <w:tc>
          <w:tcPr>
            <w:tcW w:w="7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(184,350</w:t>
            </w:r>
          </w:p>
        </w:tc>
        <w:tc>
          <w:tcPr>
            <w:tcW w:w="138"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144,341</w:t>
            </w:r>
          </w:p>
        </w:tc>
        <w:tc>
          <w:tcPr>
            <w:tcW w:w="80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711"/>
        <w:gridCol w:w="153"/>
        <w:gridCol w:w="967"/>
        <w:gridCol w:w="138"/>
        <w:gridCol w:w="119"/>
        <w:gridCol w:w="153"/>
        <w:gridCol w:w="967"/>
        <w:gridCol w:w="138"/>
        <w:gridCol w:w="119"/>
        <w:gridCol w:w="176"/>
        <w:gridCol w:w="926"/>
        <w:gridCol w:w="160"/>
        <w:gridCol w:w="119"/>
        <w:gridCol w:w="153"/>
        <w:gridCol w:w="1024"/>
        <w:gridCol w:w="138"/>
        <w:gridCol w:w="119"/>
        <w:gridCol w:w="153"/>
        <w:gridCol w:w="967"/>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1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11" w:type="dxa"/>
            <w:tcBorders/>
            <w:shd w:fill="auto" w:val="clear"/>
            <w:vAlign w:val="center"/>
          </w:tcPr>
          <w:p>
            <w:pPr>
              <w:pStyle w:val="TableContents"/>
              <w:spacing w:before="0" w:after="0"/>
              <w:ind w:left="0" w:right="0" w:firstLine="30"/>
              <w:jc w:val="left"/>
              <w:rPr/>
            </w:pPr>
            <w:r>
              <w:rPr/>
              <w:t> </w:t>
            </w:r>
          </w:p>
        </w:tc>
        <w:tc>
          <w:tcPr>
            <w:tcW w:w="7494"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2011</w:t>
            </w:r>
          </w:p>
        </w:tc>
      </w:tr>
      <w:tr>
        <w:trPr/>
        <w:tc>
          <w:tcPr>
            <w:tcW w:w="2711" w:type="dxa"/>
            <w:tcBorders/>
            <w:shd w:fill="auto" w:val="clear"/>
            <w:vAlign w:val="center"/>
          </w:tcPr>
          <w:p>
            <w:pPr>
              <w:pStyle w:val="TableContents"/>
              <w:spacing w:before="0" w:after="0"/>
              <w:ind w:left="0" w:right="0" w:firstLine="30"/>
              <w:jc w:val="left"/>
              <w:rPr/>
            </w:pPr>
            <w:r>
              <w:rPr/>
              <w:t> </w:t>
            </w:r>
          </w:p>
        </w:tc>
        <w:tc>
          <w:tcPr>
            <w:tcW w:w="12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9" w:type="dxa"/>
            <w:tcBorders/>
            <w:shd w:fill="auto" w:val="clear"/>
            <w:vAlign w:val="center"/>
          </w:tcPr>
          <w:p>
            <w:pPr>
              <w:pStyle w:val="TableContents"/>
              <w:spacing w:before="0" w:after="0"/>
              <w:ind w:left="0" w:right="0" w:firstLine="30"/>
              <w:rPr/>
            </w:pPr>
            <w:r>
              <w:rPr/>
              <w:t> </w:t>
            </w:r>
          </w:p>
        </w:tc>
        <w:tc>
          <w:tcPr>
            <w:tcW w:w="12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9" w:type="dxa"/>
            <w:tcBorders/>
            <w:shd w:fill="auto" w:val="clear"/>
            <w:vAlign w:val="center"/>
          </w:tcPr>
          <w:p>
            <w:pPr>
              <w:pStyle w:val="TableContents"/>
              <w:spacing w:before="0" w:after="0"/>
              <w:ind w:left="0" w:right="0" w:firstLine="30"/>
              <w:rPr/>
            </w:pPr>
            <w:r>
              <w:rPr/>
              <w:t> </w:t>
            </w:r>
          </w:p>
        </w:tc>
        <w:tc>
          <w:tcPr>
            <w:tcW w:w="126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9" w:type="dxa"/>
            <w:tcBorders/>
            <w:shd w:fill="auto" w:val="clear"/>
            <w:vAlign w:val="center"/>
          </w:tcPr>
          <w:p>
            <w:pPr>
              <w:pStyle w:val="TableContents"/>
              <w:spacing w:before="0" w:after="0"/>
              <w:ind w:left="0" w:right="0" w:firstLine="30"/>
              <w:rPr/>
            </w:pPr>
            <w:r>
              <w:rPr/>
              <w:t> </w:t>
            </w:r>
          </w:p>
        </w:tc>
        <w:tc>
          <w:tcPr>
            <w:tcW w:w="131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9" w:type="dxa"/>
            <w:tcBorders/>
            <w:shd w:fill="auto" w:val="clear"/>
            <w:vAlign w:val="center"/>
          </w:tcPr>
          <w:p>
            <w:pPr>
              <w:pStyle w:val="TableContents"/>
              <w:spacing w:before="0" w:after="0"/>
              <w:ind w:left="0" w:right="0" w:firstLine="30"/>
              <w:rPr/>
            </w:pPr>
            <w:r>
              <w:rPr/>
              <w:t> </w:t>
            </w:r>
          </w:p>
        </w:tc>
        <w:tc>
          <w:tcPr>
            <w:tcW w:w="19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711" w:type="dxa"/>
            <w:tcBorders/>
            <w:shd w:fill="auto" w:val="clear"/>
            <w:vAlign w:val="center"/>
          </w:tcPr>
          <w:p>
            <w:pPr>
              <w:pStyle w:val="TableContents"/>
              <w:spacing w:before="0" w:after="0"/>
              <w:ind w:left="0" w:right="0" w:firstLine="30"/>
              <w:jc w:val="left"/>
              <w:rPr/>
            </w:pPr>
            <w:r>
              <w:rPr/>
              <w:t> </w:t>
            </w:r>
          </w:p>
        </w:tc>
        <w:tc>
          <w:tcPr>
            <w:tcW w:w="7494"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shd w:fill="auto" w:val="clear"/>
            <w:vAlign w:val="center"/>
          </w:tcPr>
          <w:p>
            <w:pPr>
              <w:pStyle w:val="TableContents"/>
              <w:spacing w:before="0" w:after="0"/>
              <w:jc w:val="right"/>
              <w:rPr>
                <w:rFonts w:ascii="inherit" w:hAnsi="inherit"/>
                <w:sz w:val="17"/>
              </w:rPr>
            </w:pPr>
            <w:r>
              <w:rPr>
                <w:rFonts w:ascii="inherit" w:hAnsi="inherit"/>
                <w:sz w:val="17"/>
              </w:rPr>
              <w:t>122,159</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shd w:fill="auto" w:val="clear"/>
            <w:vAlign w:val="center"/>
          </w:tcPr>
          <w:p>
            <w:pPr>
              <w:pStyle w:val="TableContents"/>
              <w:spacing w:before="0" w:after="0"/>
              <w:jc w:val="right"/>
              <w:rPr>
                <w:rFonts w:ascii="inherit" w:hAnsi="inherit"/>
                <w:sz w:val="17"/>
              </w:rPr>
            </w:pPr>
            <w:r>
              <w:rPr>
                <w:rFonts w:ascii="inherit" w:hAnsi="inherit"/>
                <w:sz w:val="17"/>
              </w:rPr>
              <w:t>107,666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7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shd w:fill="auto" w:val="clear"/>
            <w:vAlign w:val="center"/>
          </w:tcPr>
          <w:p>
            <w:pPr>
              <w:pStyle w:val="TableContents"/>
              <w:spacing w:before="0" w:after="0"/>
              <w:jc w:val="right"/>
              <w:rPr>
                <w:rFonts w:ascii="inherit" w:hAnsi="inherit"/>
                <w:sz w:val="17"/>
              </w:rPr>
            </w:pPr>
            <w:r>
              <w:rPr>
                <w:rFonts w:ascii="inherit" w:hAnsi="inherit"/>
                <w:sz w:val="17"/>
              </w:rPr>
              <w:t>(3,443</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4" w:type="dxa"/>
            <w:tcBorders/>
            <w:shd w:fill="auto" w:val="clear"/>
            <w:vAlign w:val="center"/>
          </w:tcPr>
          <w:p>
            <w:pPr>
              <w:pStyle w:val="TableContents"/>
              <w:spacing w:before="0" w:after="0"/>
              <w:jc w:val="right"/>
              <w:rPr>
                <w:rFonts w:ascii="inherit" w:hAnsi="inherit"/>
                <w:sz w:val="17"/>
              </w:rPr>
            </w:pPr>
            <w:r>
              <w:rPr>
                <w:rFonts w:ascii="inherit" w:hAnsi="inherit"/>
                <w:sz w:val="17"/>
              </w:rPr>
              <w:t>(104,223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shd w:fill="auto" w:val="clear"/>
            <w:vAlign w:val="center"/>
          </w:tcPr>
          <w:p>
            <w:pPr>
              <w:pStyle w:val="TableContents"/>
              <w:spacing w:before="0" w:after="0"/>
              <w:jc w:val="right"/>
              <w:rPr>
                <w:rFonts w:ascii="inherit" w:hAnsi="inherit"/>
                <w:sz w:val="17"/>
              </w:rPr>
            </w:pPr>
            <w:r>
              <w:rPr>
                <w:rFonts w:ascii="inherit" w:hAnsi="inherit"/>
                <w:sz w:val="17"/>
              </w:rPr>
              <w:t>122,159</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125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6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315"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925" w:type="dxa"/>
            <w:gridSpan w:val="3"/>
            <w:tcBorders/>
            <w:shd w:fill="CCEEFF" w:val="clear"/>
            <w:vAlign w:val="center"/>
          </w:tcPr>
          <w:p>
            <w:pPr>
              <w:pStyle w:val="TableContents"/>
              <w:spacing w:before="0" w:after="0"/>
              <w:ind w:left="0" w:right="0" w:firstLine="420"/>
              <w:rPr/>
            </w:pPr>
            <w:r>
              <w:rPr/>
              <w:t> </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 (loss)</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10,393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1,691</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(4,948</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3,257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10,393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Unrealized holding loss arising during period</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provision</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(5,694</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(917</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(5,694</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5,629</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1,704</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(4,948</w:t>
            </w:r>
          </w:p>
        </w:tc>
        <w:tc>
          <w:tcPr>
            <w:tcW w:w="1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77"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3,244</w:t>
            </w:r>
          </w:p>
        </w:tc>
        <w:tc>
          <w:tcPr>
            <w:tcW w:w="13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5,629</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127,788</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109,370</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7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(8,391</w:t>
            </w:r>
          </w:p>
        </w:tc>
        <w:tc>
          <w:tcPr>
            <w:tcW w:w="16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(100,979</w:t>
            </w:r>
          </w:p>
        </w:tc>
        <w:tc>
          <w:tcPr>
            <w:tcW w:w="138"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127,788</w:t>
            </w:r>
          </w:p>
        </w:tc>
        <w:tc>
          <w:tcPr>
            <w:tcW w:w="805"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redeemable noncontrolling interest:</w:t>
            </w:r>
          </w:p>
        </w:tc>
        <w:tc>
          <w:tcPr>
            <w:tcW w:w="125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6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315"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925" w:type="dxa"/>
            <w:gridSpan w:val="3"/>
            <w:tcBorders/>
            <w:shd w:fill="CCEEFF" w:val="clear"/>
            <w:vAlign w:val="center"/>
          </w:tcPr>
          <w:p>
            <w:pPr>
              <w:pStyle w:val="TableContents"/>
              <w:spacing w:before="0" w:after="0"/>
              <w:ind w:left="0" w:right="0" w:firstLine="780"/>
              <w:rPr/>
            </w:pPr>
            <w:r>
              <w:rPr/>
              <w:t> </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12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pPr>
            <w:r>
              <w:rPr/>
              <w:t>—</w:t>
            </w:r>
          </w:p>
        </w:tc>
        <w:tc>
          <w:tcPr>
            <w:tcW w:w="80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 (loss)</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77"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7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3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 attributable to EZCORP, Inc.</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127,788</w:t>
            </w:r>
          </w:p>
        </w:tc>
        <w:tc>
          <w:tcPr>
            <w:tcW w:w="1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109,370</w:t>
            </w:r>
          </w:p>
        </w:tc>
        <w:tc>
          <w:tcPr>
            <w:tcW w:w="1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7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(8,391</w:t>
            </w:r>
          </w:p>
        </w:tc>
        <w:tc>
          <w:tcPr>
            <w:tcW w:w="16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(100,979</w:t>
            </w:r>
          </w:p>
        </w:tc>
        <w:tc>
          <w:tcPr>
            <w:tcW w:w="138"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127,788</w:t>
            </w:r>
          </w:p>
        </w:tc>
        <w:tc>
          <w:tcPr>
            <w:tcW w:w="80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87</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844"/>
        <w:gridCol w:w="156"/>
        <w:gridCol w:w="894"/>
        <w:gridCol w:w="141"/>
        <w:gridCol w:w="122"/>
        <w:gridCol w:w="160"/>
        <w:gridCol w:w="917"/>
        <w:gridCol w:w="146"/>
        <w:gridCol w:w="122"/>
        <w:gridCol w:w="178"/>
        <w:gridCol w:w="954"/>
        <w:gridCol w:w="163"/>
        <w:gridCol w:w="122"/>
        <w:gridCol w:w="164"/>
        <w:gridCol w:w="996"/>
        <w:gridCol w:w="150"/>
        <w:gridCol w:w="122"/>
        <w:gridCol w:w="156"/>
        <w:gridCol w:w="894"/>
        <w:gridCol w:w="804"/>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84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44" w:type="dxa"/>
            <w:tcBorders/>
            <w:shd w:fill="auto" w:val="clear"/>
            <w:vAlign w:val="center"/>
          </w:tcPr>
          <w:p>
            <w:pPr>
              <w:pStyle w:val="TableContents"/>
              <w:spacing w:before="0" w:after="0"/>
              <w:ind w:left="0" w:right="0" w:firstLine="30"/>
              <w:jc w:val="left"/>
              <w:rPr/>
            </w:pPr>
            <w:r>
              <w:rPr/>
              <w:t> </w:t>
            </w:r>
          </w:p>
        </w:tc>
        <w:tc>
          <w:tcPr>
            <w:tcW w:w="7361"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2010</w:t>
            </w:r>
          </w:p>
        </w:tc>
      </w:tr>
      <w:tr>
        <w:trPr/>
        <w:tc>
          <w:tcPr>
            <w:tcW w:w="2844" w:type="dxa"/>
            <w:tcBorders/>
            <w:shd w:fill="auto" w:val="clear"/>
            <w:vAlign w:val="center"/>
          </w:tcPr>
          <w:p>
            <w:pPr>
              <w:pStyle w:val="TableContents"/>
              <w:spacing w:before="0" w:after="0"/>
              <w:ind w:left="0" w:right="0" w:firstLine="30"/>
              <w:jc w:val="left"/>
              <w:rPr/>
            </w:pPr>
            <w:r>
              <w:rPr/>
              <w:t> </w:t>
            </w:r>
          </w:p>
        </w:tc>
        <w:tc>
          <w:tcPr>
            <w:tcW w:w="11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2" w:type="dxa"/>
            <w:tcBorders/>
            <w:shd w:fill="auto" w:val="clear"/>
            <w:vAlign w:val="center"/>
          </w:tcPr>
          <w:p>
            <w:pPr>
              <w:pStyle w:val="TableContents"/>
              <w:spacing w:before="0" w:after="0"/>
              <w:ind w:left="0" w:right="0" w:firstLine="30"/>
              <w:rPr/>
            </w:pPr>
            <w:r>
              <w:rPr/>
              <w:t> </w:t>
            </w:r>
          </w:p>
        </w:tc>
        <w:tc>
          <w:tcPr>
            <w:tcW w:w="122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2" w:type="dxa"/>
            <w:tcBorders/>
            <w:shd w:fill="auto" w:val="clear"/>
            <w:vAlign w:val="center"/>
          </w:tcPr>
          <w:p>
            <w:pPr>
              <w:pStyle w:val="TableContents"/>
              <w:spacing w:before="0" w:after="0"/>
              <w:ind w:left="0" w:right="0" w:firstLine="30"/>
              <w:rPr/>
            </w:pPr>
            <w:r>
              <w:rPr/>
              <w:t> </w:t>
            </w:r>
          </w:p>
        </w:tc>
        <w:tc>
          <w:tcPr>
            <w:tcW w:w="12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2" w:type="dxa"/>
            <w:tcBorders/>
            <w:shd w:fill="auto" w:val="clear"/>
            <w:vAlign w:val="center"/>
          </w:tcPr>
          <w:p>
            <w:pPr>
              <w:pStyle w:val="TableContents"/>
              <w:spacing w:before="0" w:after="0"/>
              <w:ind w:left="0" w:right="0" w:firstLine="30"/>
              <w:rPr/>
            </w:pPr>
            <w:r>
              <w:rPr/>
              <w:t> </w:t>
            </w:r>
          </w:p>
        </w:tc>
        <w:tc>
          <w:tcPr>
            <w:tcW w:w="13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2" w:type="dxa"/>
            <w:tcBorders/>
            <w:shd w:fill="auto" w:val="clear"/>
            <w:vAlign w:val="center"/>
          </w:tcPr>
          <w:p>
            <w:pPr>
              <w:pStyle w:val="TableContents"/>
              <w:spacing w:before="0" w:after="0"/>
              <w:ind w:left="0" w:right="0" w:firstLine="30"/>
              <w:rPr/>
            </w:pPr>
            <w:r>
              <w:rPr/>
              <w:t> </w:t>
            </w:r>
          </w:p>
        </w:tc>
        <w:tc>
          <w:tcPr>
            <w:tcW w:w="18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844" w:type="dxa"/>
            <w:tcBorders/>
            <w:shd w:fill="auto" w:val="clear"/>
            <w:vAlign w:val="center"/>
          </w:tcPr>
          <w:p>
            <w:pPr>
              <w:pStyle w:val="TableContents"/>
              <w:spacing w:before="0" w:after="0"/>
              <w:ind w:left="0" w:right="0" w:firstLine="30"/>
              <w:jc w:val="left"/>
              <w:rPr/>
            </w:pPr>
            <w:r>
              <w:rPr/>
              <w:t> </w:t>
            </w:r>
          </w:p>
        </w:tc>
        <w:tc>
          <w:tcPr>
            <w:tcW w:w="7361"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8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97,294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7" w:type="dxa"/>
            <w:tcBorders/>
            <w:shd w:fill="auto" w:val="clear"/>
            <w:vAlign w:val="center"/>
          </w:tcPr>
          <w:p>
            <w:pPr>
              <w:pStyle w:val="TableContents"/>
              <w:spacing w:before="0" w:after="0"/>
              <w:jc w:val="right"/>
              <w:rPr>
                <w:rFonts w:ascii="inherit" w:hAnsi="inherit"/>
                <w:sz w:val="17"/>
              </w:rPr>
            </w:pPr>
            <w:r>
              <w:rPr>
                <w:rFonts w:ascii="inherit" w:hAnsi="inherit"/>
                <w:sz w:val="17"/>
              </w:rPr>
              <w:t>88,556</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4" w:type="dxa"/>
            <w:tcBorders/>
            <w:shd w:fill="auto" w:val="clear"/>
            <w:vAlign w:val="center"/>
          </w:tcPr>
          <w:p>
            <w:pPr>
              <w:pStyle w:val="TableContents"/>
              <w:spacing w:before="0" w:after="0"/>
              <w:jc w:val="right"/>
              <w:rPr>
                <w:rFonts w:ascii="inherit" w:hAnsi="inherit"/>
                <w:sz w:val="17"/>
              </w:rPr>
            </w:pPr>
            <w:r>
              <w:rPr>
                <w:rFonts w:ascii="inherit" w:hAnsi="inherit"/>
                <w:sz w:val="17"/>
              </w:rPr>
              <w:t>(4,021</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auto" w:val="clear"/>
            <w:vAlign w:val="center"/>
          </w:tcPr>
          <w:p>
            <w:pPr>
              <w:pStyle w:val="TableContents"/>
              <w:spacing w:before="0" w:after="0"/>
              <w:jc w:val="right"/>
              <w:rPr>
                <w:rFonts w:ascii="inherit" w:hAnsi="inherit"/>
                <w:sz w:val="17"/>
              </w:rPr>
            </w:pPr>
            <w:r>
              <w:rPr>
                <w:rFonts w:ascii="inherit" w:hAnsi="inherit"/>
                <w:sz w:val="17"/>
              </w:rPr>
              <w:t>(84,535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97,294</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119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23"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9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0"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854" w:type="dxa"/>
            <w:gridSpan w:val="3"/>
            <w:tcBorders/>
            <w:shd w:fill="CCEEFF" w:val="clear"/>
            <w:vAlign w:val="center"/>
          </w:tcPr>
          <w:p>
            <w:pPr>
              <w:pStyle w:val="TableContents"/>
              <w:spacing w:before="0" w:after="0"/>
              <w:ind w:left="0" w:right="0" w:firstLine="420"/>
              <w:rPr/>
            </w:pPr>
            <w:r>
              <w:rPr/>
              <w:t> </w:t>
            </w:r>
          </w:p>
        </w:tc>
      </w:tr>
      <w:tr>
        <w:trPr/>
        <w:tc>
          <w:tcPr>
            <w:tcW w:w="28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adjustments</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(3,673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(2,483</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1,806</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677</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(3,673</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8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Unrealized holding loss arising during period</w:t>
            </w:r>
          </w:p>
        </w:tc>
        <w:tc>
          <w:tcPr>
            <w:tcW w:w="1050"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pPr>
            <w:r>
              <w:rPr/>
              <w:t>—</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60"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pPr>
            <w:r>
              <w:rPr/>
              <w:t>—</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1,918</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869</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1,918</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(1,755</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(1,614</w:t>
            </w:r>
          </w:p>
        </w:tc>
        <w:tc>
          <w:tcPr>
            <w:tcW w:w="14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1,806</w:t>
            </w:r>
          </w:p>
        </w:tc>
        <w:tc>
          <w:tcPr>
            <w:tcW w:w="16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6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(192</w:t>
            </w:r>
          </w:p>
        </w:tc>
        <w:tc>
          <w:tcPr>
            <w:tcW w:w="15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(1,755</w:t>
            </w:r>
          </w:p>
        </w:tc>
        <w:tc>
          <w:tcPr>
            <w:tcW w:w="80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95,539</w:t>
            </w:r>
          </w:p>
        </w:tc>
        <w:tc>
          <w:tcPr>
            <w:tcW w:w="1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86,942</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7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(2,215</w:t>
            </w:r>
          </w:p>
        </w:tc>
        <w:tc>
          <w:tcPr>
            <w:tcW w:w="16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(84,727</w:t>
            </w:r>
          </w:p>
        </w:tc>
        <w:tc>
          <w:tcPr>
            <w:tcW w:w="15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95,539</w:t>
            </w:r>
          </w:p>
        </w:tc>
        <w:tc>
          <w:tcPr>
            <w:tcW w:w="804"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redeemable noncontrolling interest:</w:t>
            </w:r>
          </w:p>
        </w:tc>
        <w:tc>
          <w:tcPr>
            <w:tcW w:w="119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23"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9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0"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854" w:type="dxa"/>
            <w:gridSpan w:val="3"/>
            <w:tcBorders/>
            <w:shd w:fill="CCEEFF" w:val="clear"/>
            <w:vAlign w:val="center"/>
          </w:tcPr>
          <w:p>
            <w:pPr>
              <w:pStyle w:val="TableContents"/>
              <w:spacing w:before="0" w:after="0"/>
              <w:ind w:left="0" w:right="0" w:firstLine="780"/>
              <w:rPr/>
            </w:pPr>
            <w:r>
              <w:rPr/>
              <w:t> </w:t>
            </w:r>
          </w:p>
        </w:tc>
      </w:tr>
      <w:tr>
        <w:trPr/>
        <w:tc>
          <w:tcPr>
            <w:tcW w:w="28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050"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pPr>
            <w:r>
              <w:rPr/>
              <w:t>—</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60"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80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8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adjustments</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60"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6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5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 attributable to EZCORP, Inc.</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95,539</w:t>
            </w:r>
          </w:p>
        </w:tc>
        <w:tc>
          <w:tcPr>
            <w:tcW w:w="1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6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86,942</w:t>
            </w:r>
          </w:p>
        </w:tc>
        <w:tc>
          <w:tcPr>
            <w:tcW w:w="14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(2,215</w:t>
            </w:r>
          </w:p>
        </w:tc>
        <w:tc>
          <w:tcPr>
            <w:tcW w:w="16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6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(84,727</w:t>
            </w:r>
          </w:p>
        </w:tc>
        <w:tc>
          <w:tcPr>
            <w:tcW w:w="15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95,539</w:t>
            </w:r>
          </w:p>
        </w:tc>
        <w:tc>
          <w:tcPr>
            <w:tcW w:w="804"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88</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 of Cash Flows</w:t>
      </w:r>
    </w:p>
    <w:tbl>
      <w:tblPr>
        <w:tblW w:w="10205" w:type="dxa"/>
        <w:jc w:val="left"/>
        <w:tblInd w:w="0" w:type="dxa"/>
        <w:tblCellMar>
          <w:top w:w="0" w:type="dxa"/>
          <w:left w:w="0" w:type="dxa"/>
          <w:bottom w:w="0" w:type="dxa"/>
          <w:right w:w="0" w:type="dxa"/>
        </w:tblCellMar>
      </w:tblPr>
      <w:tblGrid>
        <w:gridCol w:w="2504"/>
        <w:gridCol w:w="138"/>
        <w:gridCol w:w="901"/>
        <w:gridCol w:w="138"/>
        <w:gridCol w:w="119"/>
        <w:gridCol w:w="138"/>
        <w:gridCol w:w="901"/>
        <w:gridCol w:w="138"/>
        <w:gridCol w:w="119"/>
        <w:gridCol w:w="144"/>
        <w:gridCol w:w="937"/>
        <w:gridCol w:w="145"/>
        <w:gridCol w:w="119"/>
        <w:gridCol w:w="159"/>
        <w:gridCol w:w="922"/>
        <w:gridCol w:w="160"/>
        <w:gridCol w:w="119"/>
        <w:gridCol w:w="138"/>
        <w:gridCol w:w="901"/>
        <w:gridCol w:w="136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50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04" w:type="dxa"/>
            <w:tcBorders/>
            <w:shd w:fill="auto" w:val="clear"/>
            <w:vAlign w:val="center"/>
          </w:tcPr>
          <w:p>
            <w:pPr>
              <w:pStyle w:val="TableContents"/>
              <w:spacing w:before="0" w:after="0"/>
              <w:ind w:left="0" w:right="0" w:firstLine="30"/>
              <w:jc w:val="left"/>
              <w:rPr/>
            </w:pPr>
            <w:r>
              <w:rPr/>
              <w:t> </w:t>
            </w:r>
          </w:p>
        </w:tc>
        <w:tc>
          <w:tcPr>
            <w:tcW w:w="7701"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2012</w:t>
            </w:r>
          </w:p>
        </w:tc>
      </w:tr>
      <w:tr>
        <w:trPr/>
        <w:tc>
          <w:tcPr>
            <w:tcW w:w="2504" w:type="dxa"/>
            <w:tcBorders/>
            <w:shd w:fill="auto" w:val="clear"/>
            <w:vAlign w:val="center"/>
          </w:tcPr>
          <w:p>
            <w:pPr>
              <w:pStyle w:val="TableContents"/>
              <w:spacing w:before="0" w:after="0"/>
              <w:ind w:left="0" w:right="0" w:firstLine="30"/>
              <w:jc w:val="left"/>
              <w:rPr/>
            </w:pPr>
            <w:r>
              <w:rPr/>
              <w:t> </w:t>
            </w:r>
          </w:p>
        </w:tc>
        <w:tc>
          <w:tcPr>
            <w:tcW w:w="11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9" w:type="dxa"/>
            <w:tcBorders/>
            <w:shd w:fill="auto" w:val="clear"/>
            <w:vAlign w:val="center"/>
          </w:tcPr>
          <w:p>
            <w:pPr>
              <w:pStyle w:val="TableContents"/>
              <w:spacing w:before="0" w:after="0"/>
              <w:ind w:left="0" w:right="0" w:firstLine="30"/>
              <w:rPr/>
            </w:pPr>
            <w:r>
              <w:rPr/>
              <w:t> </w:t>
            </w:r>
          </w:p>
        </w:tc>
        <w:tc>
          <w:tcPr>
            <w:tcW w:w="117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9" w:type="dxa"/>
            <w:tcBorders/>
            <w:shd w:fill="auto" w:val="clear"/>
            <w:vAlign w:val="center"/>
          </w:tcPr>
          <w:p>
            <w:pPr>
              <w:pStyle w:val="TableContents"/>
              <w:spacing w:before="0" w:after="0"/>
              <w:ind w:left="0" w:right="0" w:firstLine="30"/>
              <w:rPr/>
            </w:pPr>
            <w:r>
              <w:rPr/>
              <w:t> </w:t>
            </w:r>
          </w:p>
        </w:tc>
        <w:tc>
          <w:tcPr>
            <w:tcW w:w="122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9" w:type="dxa"/>
            <w:tcBorders/>
            <w:shd w:fill="auto" w:val="clear"/>
            <w:vAlign w:val="center"/>
          </w:tcPr>
          <w:p>
            <w:pPr>
              <w:pStyle w:val="TableContents"/>
              <w:spacing w:before="0" w:after="0"/>
              <w:ind w:left="0" w:right="0" w:firstLine="30"/>
              <w:rPr/>
            </w:pPr>
            <w:r>
              <w:rPr/>
              <w:t> </w:t>
            </w:r>
          </w:p>
        </w:tc>
        <w:tc>
          <w:tcPr>
            <w:tcW w:w="124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9" w:type="dxa"/>
            <w:tcBorders/>
            <w:shd w:fill="auto" w:val="clear"/>
            <w:vAlign w:val="center"/>
          </w:tcPr>
          <w:p>
            <w:pPr>
              <w:pStyle w:val="TableContents"/>
              <w:spacing w:before="0" w:after="0"/>
              <w:ind w:left="0" w:right="0" w:firstLine="30"/>
              <w:rPr/>
            </w:pPr>
            <w:r>
              <w:rPr/>
              <w:t> </w:t>
            </w:r>
          </w:p>
        </w:tc>
        <w:tc>
          <w:tcPr>
            <w:tcW w:w="24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504" w:type="dxa"/>
            <w:tcBorders/>
            <w:shd w:fill="auto" w:val="clear"/>
            <w:vAlign w:val="center"/>
          </w:tcPr>
          <w:p>
            <w:pPr>
              <w:pStyle w:val="TableContents"/>
              <w:spacing w:before="0" w:after="0"/>
              <w:ind w:left="0" w:right="0" w:firstLine="30"/>
              <w:jc w:val="left"/>
              <w:rPr/>
            </w:pPr>
            <w:r>
              <w:rPr/>
              <w:t> </w:t>
            </w:r>
          </w:p>
        </w:tc>
        <w:tc>
          <w:tcPr>
            <w:tcW w:w="7701"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operating activities</w:t>
            </w:r>
          </w:p>
        </w:tc>
        <w:tc>
          <w:tcPr>
            <w:tcW w:w="13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(112,864</w:t>
            </w:r>
          </w:p>
        </w:tc>
        <w:tc>
          <w:tcPr>
            <w:tcW w:w="1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3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141,638</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4"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127,234</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5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156,008</w:t>
            </w:r>
          </w:p>
        </w:tc>
        <w:tc>
          <w:tcPr>
            <w:tcW w:w="13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1177"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177"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2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4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404" w:type="dxa"/>
            <w:gridSpan w:val="3"/>
            <w:tcBorders/>
            <w:shd w:fill="auto" w:val="clear"/>
            <w:vAlign w:val="center"/>
          </w:tcPr>
          <w:p>
            <w:pPr>
              <w:pStyle w:val="TableContents"/>
              <w:spacing w:before="0" w:after="0"/>
              <w:ind w:left="0" w:right="0" w:firstLine="780"/>
              <w:rPr/>
            </w:pPr>
            <w:r>
              <w:rPr/>
              <w:t> </w:t>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Loans made</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(638,121</w:t>
            </w:r>
          </w:p>
        </w:tc>
        <w:tc>
          <w:tcPr>
            <w:tcW w:w="13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(164,775</w:t>
            </w:r>
          </w:p>
        </w:tc>
        <w:tc>
          <w:tcPr>
            <w:tcW w:w="1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(802,896</w:t>
            </w:r>
          </w:p>
        </w:tc>
        <w:tc>
          <w:tcPr>
            <w:tcW w:w="1365"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Loans repaid</w:t>
            </w:r>
          </w:p>
        </w:tc>
        <w:tc>
          <w:tcPr>
            <w:tcW w:w="103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408,404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111,789</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520,193</w:t>
            </w:r>
          </w:p>
        </w:tc>
        <w:tc>
          <w:tcPr>
            <w:tcW w:w="136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Recovery of pawn loan principal through sale of forfeited collateral</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213,115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27,266</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240,381</w:t>
            </w:r>
          </w:p>
        </w:tc>
        <w:tc>
          <w:tcPr>
            <w:tcW w:w="136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Additions to property and equipment</w:t>
            </w:r>
          </w:p>
        </w:tc>
        <w:tc>
          <w:tcPr>
            <w:tcW w:w="103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(31,064</w:t>
            </w:r>
          </w:p>
        </w:tc>
        <w:tc>
          <w:tcPr>
            <w:tcW w:w="1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(14,732</w:t>
            </w:r>
          </w:p>
        </w:tc>
        <w:tc>
          <w:tcPr>
            <w:tcW w:w="1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(45,796</w:t>
            </w:r>
          </w:p>
        </w:tc>
        <w:tc>
          <w:tcPr>
            <w:tcW w:w="1365"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Acquisitions, net of cash acquired</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(66,317</w:t>
            </w:r>
          </w:p>
        </w:tc>
        <w:tc>
          <w:tcPr>
            <w:tcW w:w="13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(62,330</w:t>
            </w:r>
          </w:p>
        </w:tc>
        <w:tc>
          <w:tcPr>
            <w:tcW w:w="1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(128,647</w:t>
            </w:r>
          </w:p>
        </w:tc>
        <w:tc>
          <w:tcPr>
            <w:tcW w:w="1365"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Advances to subsidiaries</w:t>
            </w:r>
          </w:p>
        </w:tc>
        <w:tc>
          <w:tcPr>
            <w:tcW w:w="103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(20,648</w:t>
            </w:r>
          </w:p>
        </w:tc>
        <w:tc>
          <w:tcPr>
            <w:tcW w:w="1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20,648</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5"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investing activities</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(134,631</w:t>
            </w:r>
          </w:p>
        </w:tc>
        <w:tc>
          <w:tcPr>
            <w:tcW w:w="13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37" w:type="dxa"/>
            <w:tcBorders/>
            <w:shd w:fill="CCEEFF" w:val="clear"/>
            <w:vAlign w:val="center"/>
          </w:tcPr>
          <w:p>
            <w:pPr>
              <w:pStyle w:val="TableContents"/>
              <w:spacing w:before="0" w:after="0"/>
              <w:jc w:val="right"/>
              <w:rPr>
                <w:rFonts w:ascii="inherit" w:hAnsi="inherit"/>
                <w:sz w:val="13"/>
              </w:rPr>
            </w:pPr>
            <w:r>
              <w:rPr>
                <w:rFonts w:ascii="inherit" w:hAnsi="inherit"/>
                <w:sz w:val="13"/>
              </w:rPr>
              <w:t>(102,782</w:t>
            </w:r>
          </w:p>
        </w:tc>
        <w:tc>
          <w:tcPr>
            <w:tcW w:w="1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5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20,648</w:t>
            </w:r>
          </w:p>
        </w:tc>
        <w:tc>
          <w:tcPr>
            <w:tcW w:w="16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shd w:fill="CCEEFF" w:val="clear"/>
            <w:vAlign w:val="center"/>
          </w:tcPr>
          <w:p>
            <w:pPr>
              <w:pStyle w:val="TableContents"/>
              <w:spacing w:before="0" w:after="0"/>
              <w:jc w:val="right"/>
              <w:rPr>
                <w:rFonts w:ascii="inherit" w:hAnsi="inherit"/>
                <w:sz w:val="13"/>
              </w:rPr>
            </w:pPr>
            <w:r>
              <w:rPr>
                <w:rFonts w:ascii="inherit" w:hAnsi="inherit"/>
                <w:sz w:val="13"/>
              </w:rPr>
              <w:t>(216,765</w:t>
            </w:r>
          </w:p>
        </w:tc>
        <w:tc>
          <w:tcPr>
            <w:tcW w:w="136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1177"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177"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2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4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404" w:type="dxa"/>
            <w:gridSpan w:val="3"/>
            <w:tcBorders/>
            <w:shd w:fill="auto" w:val="clear"/>
            <w:vAlign w:val="center"/>
          </w:tcPr>
          <w:p>
            <w:pPr>
              <w:pStyle w:val="TableContents"/>
              <w:spacing w:before="0" w:after="0"/>
              <w:ind w:left="0" w:right="0" w:firstLine="780"/>
              <w:rPr/>
            </w:pPr>
            <w:r>
              <w:rPr/>
              <w:t> </w:t>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exercise of stock options</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649</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649</w:t>
            </w:r>
          </w:p>
        </w:tc>
        <w:tc>
          <w:tcPr>
            <w:tcW w:w="136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1,602</w:t>
            </w:r>
          </w:p>
        </w:tc>
        <w:tc>
          <w:tcPr>
            <w:tcW w:w="136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Debt issuance costs</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(3,225</w:t>
            </w:r>
          </w:p>
        </w:tc>
        <w:tc>
          <w:tcPr>
            <w:tcW w:w="1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(3,225</w:t>
            </w:r>
          </w:p>
        </w:tc>
        <w:tc>
          <w:tcPr>
            <w:tcW w:w="1365"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(1,184</w:t>
            </w:r>
          </w:p>
        </w:tc>
        <w:tc>
          <w:tcPr>
            <w:tcW w:w="1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(1,184</w:t>
            </w:r>
          </w:p>
        </w:tc>
        <w:tc>
          <w:tcPr>
            <w:tcW w:w="1365"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Change in restricted cash</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(5,482</w:t>
            </w:r>
          </w:p>
        </w:tc>
        <w:tc>
          <w:tcPr>
            <w:tcW w:w="1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(5,482</w:t>
            </w:r>
          </w:p>
        </w:tc>
        <w:tc>
          <w:tcPr>
            <w:tcW w:w="1365"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revolving line of credit</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753,200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60,375</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(20,648</w:t>
            </w:r>
          </w:p>
        </w:tc>
        <w:tc>
          <w:tcPr>
            <w:tcW w:w="1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792,927</w:t>
            </w:r>
          </w:p>
        </w:tc>
        <w:tc>
          <w:tcPr>
            <w:tcW w:w="136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revolving line of credit</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(640,700</w:t>
            </w:r>
          </w:p>
        </w:tc>
        <w:tc>
          <w:tcPr>
            <w:tcW w:w="13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(54,377</w:t>
            </w:r>
          </w:p>
        </w:tc>
        <w:tc>
          <w:tcPr>
            <w:tcW w:w="1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(695,077</w:t>
            </w:r>
          </w:p>
        </w:tc>
        <w:tc>
          <w:tcPr>
            <w:tcW w:w="1365"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bank borrowings</w:t>
            </w:r>
          </w:p>
        </w:tc>
        <w:tc>
          <w:tcPr>
            <w:tcW w:w="103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2,461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2,461</w:t>
            </w:r>
          </w:p>
        </w:tc>
        <w:tc>
          <w:tcPr>
            <w:tcW w:w="136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bank borrowings and capital lease obligations</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(181</w:t>
            </w:r>
          </w:p>
        </w:tc>
        <w:tc>
          <w:tcPr>
            <w:tcW w:w="1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(8,315</w:t>
            </w:r>
          </w:p>
        </w:tc>
        <w:tc>
          <w:tcPr>
            <w:tcW w:w="1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(8,496</w:t>
            </w:r>
          </w:p>
        </w:tc>
        <w:tc>
          <w:tcPr>
            <w:tcW w:w="1365" w:type="dxa"/>
            <w:tcBorders>
              <w:bottom w:val="single" w:sz="2" w:space="0" w:color="000000"/>
            </w:tcBorders>
            <w:shd w:fill="CCEEFF"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financing activities</w:t>
            </w:r>
          </w:p>
        </w:tc>
        <w:tc>
          <w:tcPr>
            <w:tcW w:w="13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shd w:fill="auto" w:val="clear"/>
            <w:vAlign w:val="center"/>
          </w:tcPr>
          <w:p>
            <w:pPr>
              <w:pStyle w:val="TableContents"/>
              <w:spacing w:before="0" w:after="0"/>
              <w:jc w:val="right"/>
              <w:rPr>
                <w:rFonts w:ascii="inherit" w:hAnsi="inherit"/>
                <w:sz w:val="13"/>
              </w:rPr>
            </w:pPr>
            <w:r>
              <w:rPr>
                <w:rFonts w:ascii="inherit" w:hAnsi="inherit"/>
                <w:sz w:val="13"/>
              </w:rPr>
              <w:t>113,567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shd w:fill="auto" w:val="clear"/>
            <w:vAlign w:val="center"/>
          </w:tcPr>
          <w:p>
            <w:pPr>
              <w:pStyle w:val="TableContents"/>
              <w:spacing w:before="0" w:after="0"/>
              <w:jc w:val="right"/>
              <w:rPr>
                <w:rFonts w:ascii="inherit" w:hAnsi="inherit"/>
                <w:sz w:val="13"/>
              </w:rPr>
            </w:pPr>
            <w:r>
              <w:rPr>
                <w:rFonts w:ascii="inherit" w:hAnsi="inherit"/>
                <w:sz w:val="13"/>
              </w:rPr>
              <w:t>(181</w:t>
            </w:r>
          </w:p>
        </w:tc>
        <w:tc>
          <w:tcPr>
            <w:tcW w:w="1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37" w:type="dxa"/>
            <w:tcBorders/>
            <w:shd w:fill="auto" w:val="clear"/>
            <w:vAlign w:val="center"/>
          </w:tcPr>
          <w:p>
            <w:pPr>
              <w:pStyle w:val="TableContents"/>
              <w:spacing w:before="0" w:after="0"/>
              <w:jc w:val="right"/>
              <w:rPr>
                <w:rFonts w:ascii="inherit" w:hAnsi="inherit"/>
                <w:sz w:val="13"/>
              </w:rPr>
            </w:pPr>
            <w:r>
              <w:rPr>
                <w:rFonts w:ascii="inherit" w:hAnsi="inherit"/>
                <w:sz w:val="13"/>
              </w:rPr>
              <w:t>(8,563</w:t>
            </w:r>
          </w:p>
        </w:tc>
        <w:tc>
          <w:tcPr>
            <w:tcW w:w="1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(20,648</w:t>
            </w:r>
          </w:p>
        </w:tc>
        <w:tc>
          <w:tcPr>
            <w:tcW w:w="16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shd w:fill="auto" w:val="clear"/>
            <w:vAlign w:val="center"/>
          </w:tcPr>
          <w:p>
            <w:pPr>
              <w:pStyle w:val="TableContents"/>
              <w:spacing w:before="0" w:after="0"/>
              <w:jc w:val="right"/>
              <w:rPr>
                <w:rFonts w:ascii="inherit" w:hAnsi="inherit"/>
                <w:sz w:val="13"/>
              </w:rPr>
            </w:pPr>
            <w:r>
              <w:rPr>
                <w:rFonts w:ascii="inherit" w:hAnsi="inherit"/>
                <w:sz w:val="13"/>
              </w:rPr>
              <w:t>84,175</w:t>
            </w:r>
          </w:p>
        </w:tc>
        <w:tc>
          <w:tcPr>
            <w:tcW w:w="13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Effect of exchange rate changes on cash and cash equivalents</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1,090</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1,090</w:t>
            </w:r>
          </w:p>
        </w:tc>
        <w:tc>
          <w:tcPr>
            <w:tcW w:w="13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increase in cash and cash equivalents</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703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6,826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16,979</w:t>
            </w:r>
          </w:p>
        </w:tc>
        <w:tc>
          <w:tcPr>
            <w:tcW w:w="14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81"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6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24,508</w:t>
            </w:r>
          </w:p>
        </w:tc>
        <w:tc>
          <w:tcPr>
            <w:tcW w:w="136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beginning of period</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20,860</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3,109</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13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end of period</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703</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27,686</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20,088</w:t>
            </w:r>
          </w:p>
        </w:tc>
        <w:tc>
          <w:tcPr>
            <w:tcW w:w="1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48,477</w:t>
            </w:r>
          </w:p>
        </w:tc>
        <w:tc>
          <w:tcPr>
            <w:tcW w:w="136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89</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325"/>
        <w:gridCol w:w="149"/>
        <w:gridCol w:w="943"/>
        <w:gridCol w:w="149"/>
        <w:gridCol w:w="130"/>
        <w:gridCol w:w="149"/>
        <w:gridCol w:w="1030"/>
        <w:gridCol w:w="149"/>
        <w:gridCol w:w="130"/>
        <w:gridCol w:w="167"/>
        <w:gridCol w:w="1041"/>
        <w:gridCol w:w="168"/>
        <w:gridCol w:w="130"/>
        <w:gridCol w:w="149"/>
        <w:gridCol w:w="1030"/>
        <w:gridCol w:w="136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32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25" w:type="dxa"/>
            <w:tcBorders/>
            <w:shd w:fill="auto" w:val="clear"/>
            <w:vAlign w:val="center"/>
          </w:tcPr>
          <w:p>
            <w:pPr>
              <w:pStyle w:val="TableContents"/>
              <w:spacing w:before="0" w:after="0"/>
              <w:ind w:left="0" w:right="0" w:firstLine="30"/>
              <w:jc w:val="left"/>
              <w:rPr/>
            </w:pPr>
            <w:r>
              <w:rPr/>
              <w:t> </w:t>
            </w:r>
          </w:p>
        </w:tc>
        <w:tc>
          <w:tcPr>
            <w:tcW w:w="688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2011</w:t>
            </w:r>
          </w:p>
        </w:tc>
      </w:tr>
      <w:tr>
        <w:trPr/>
        <w:tc>
          <w:tcPr>
            <w:tcW w:w="3325" w:type="dxa"/>
            <w:tcBorders/>
            <w:shd w:fill="auto" w:val="clear"/>
            <w:vAlign w:val="center"/>
          </w:tcPr>
          <w:p>
            <w:pPr>
              <w:pStyle w:val="TableContents"/>
              <w:spacing w:before="0" w:after="0"/>
              <w:ind w:left="0" w:right="0" w:firstLine="30"/>
              <w:jc w:val="left"/>
              <w:rPr/>
            </w:pPr>
            <w:r>
              <w:rPr/>
              <w:t> </w:t>
            </w:r>
          </w:p>
        </w:tc>
        <w:tc>
          <w:tcPr>
            <w:tcW w:w="12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30" w:type="dxa"/>
            <w:tcBorders/>
            <w:shd w:fill="auto" w:val="clear"/>
            <w:vAlign w:val="center"/>
          </w:tcPr>
          <w:p>
            <w:pPr>
              <w:pStyle w:val="TableContents"/>
              <w:spacing w:before="0" w:after="0"/>
              <w:ind w:left="0" w:right="0" w:firstLine="30"/>
              <w:rPr/>
            </w:pPr>
            <w:r>
              <w:rPr/>
              <w:t> </w:t>
            </w:r>
          </w:p>
        </w:tc>
        <w:tc>
          <w:tcPr>
            <w:tcW w:w="132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30" w:type="dxa"/>
            <w:tcBorders/>
            <w:shd w:fill="auto" w:val="clear"/>
            <w:vAlign w:val="center"/>
          </w:tcPr>
          <w:p>
            <w:pPr>
              <w:pStyle w:val="TableContents"/>
              <w:spacing w:before="0" w:after="0"/>
              <w:ind w:left="0" w:right="0" w:firstLine="30"/>
              <w:rPr/>
            </w:pPr>
            <w:r>
              <w:rPr/>
              <w:t> </w:t>
            </w:r>
          </w:p>
        </w:tc>
        <w:tc>
          <w:tcPr>
            <w:tcW w:w="137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30" w:type="dxa"/>
            <w:tcBorders/>
            <w:shd w:fill="auto" w:val="clear"/>
            <w:vAlign w:val="center"/>
          </w:tcPr>
          <w:p>
            <w:pPr>
              <w:pStyle w:val="TableContents"/>
              <w:spacing w:before="0" w:after="0"/>
              <w:ind w:left="0" w:right="0" w:firstLine="30"/>
              <w:rPr/>
            </w:pPr>
            <w:r>
              <w:rPr/>
              <w:t> </w:t>
            </w:r>
          </w:p>
        </w:tc>
        <w:tc>
          <w:tcPr>
            <w:tcW w:w="25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325" w:type="dxa"/>
            <w:tcBorders/>
            <w:shd w:fill="auto" w:val="clear"/>
            <w:vAlign w:val="center"/>
          </w:tcPr>
          <w:p>
            <w:pPr>
              <w:pStyle w:val="TableContents"/>
              <w:spacing w:before="0" w:after="0"/>
              <w:ind w:left="0" w:right="0" w:firstLine="30"/>
              <w:jc w:val="left"/>
              <w:rPr/>
            </w:pPr>
            <w:r>
              <w:rPr/>
              <w:t> </w:t>
            </w:r>
          </w:p>
        </w:tc>
        <w:tc>
          <w:tcPr>
            <w:tcW w:w="6880" w:type="dxa"/>
            <w:gridSpan w:val="15"/>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w:t>
            </w:r>
          </w:p>
        </w:tc>
        <w:tc>
          <w:tcPr>
            <w:tcW w:w="14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4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13,287</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3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116,011</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7"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4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3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153,267</w:t>
            </w:r>
          </w:p>
        </w:tc>
        <w:tc>
          <w:tcPr>
            <w:tcW w:w="13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1241"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8"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7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545" w:type="dxa"/>
            <w:gridSpan w:val="3"/>
            <w:tcBorders/>
            <w:shd w:fill="auto" w:val="clear"/>
            <w:vAlign w:val="center"/>
          </w:tcPr>
          <w:p>
            <w:pPr>
              <w:pStyle w:val="TableContents"/>
              <w:spacing w:before="0" w:after="0"/>
              <w:ind w:left="0" w:right="0" w:firstLine="780"/>
              <w:rPr/>
            </w:pPr>
            <w:r>
              <w:rPr/>
              <w:t> </w:t>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Loans made</w:t>
            </w:r>
          </w:p>
        </w:tc>
        <w:tc>
          <w:tcPr>
            <w:tcW w:w="1092"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(554,138</w:t>
            </w:r>
          </w:p>
        </w:tc>
        <w:tc>
          <w:tcPr>
            <w:tcW w:w="14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(95,111</w:t>
            </w:r>
          </w:p>
        </w:tc>
        <w:tc>
          <w:tcPr>
            <w:tcW w:w="16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(649,249</w:t>
            </w:r>
          </w:p>
        </w:tc>
        <w:tc>
          <w:tcPr>
            <w:tcW w:w="1366"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Loans repaid</w:t>
            </w:r>
          </w:p>
        </w:tc>
        <w:tc>
          <w:tcPr>
            <w:tcW w:w="1092"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339,574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0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64,818</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404,392</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Recovery of pawn loan principal through sale of forfeited collateral</w:t>
            </w:r>
          </w:p>
        </w:tc>
        <w:tc>
          <w:tcPr>
            <w:tcW w:w="1092"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183,441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22,221</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205,662</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Additions to property and equipment</w:t>
            </w:r>
          </w:p>
        </w:tc>
        <w:tc>
          <w:tcPr>
            <w:tcW w:w="1092"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(24,651</w:t>
            </w:r>
          </w:p>
        </w:tc>
        <w:tc>
          <w:tcPr>
            <w:tcW w:w="14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20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(9,471</w:t>
            </w:r>
          </w:p>
        </w:tc>
        <w:tc>
          <w:tcPr>
            <w:tcW w:w="16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(34,122</w:t>
            </w:r>
          </w:p>
        </w:tc>
        <w:tc>
          <w:tcPr>
            <w:tcW w:w="1366"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Acquisitions, net of cash acquired</w:t>
            </w:r>
          </w:p>
        </w:tc>
        <w:tc>
          <w:tcPr>
            <w:tcW w:w="1092"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(62,768</w:t>
            </w:r>
          </w:p>
        </w:tc>
        <w:tc>
          <w:tcPr>
            <w:tcW w:w="14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(5,152</w:t>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(67,920</w:t>
            </w:r>
          </w:p>
        </w:tc>
        <w:tc>
          <w:tcPr>
            <w:tcW w:w="1366" w:type="dxa"/>
            <w:tcBorders>
              <w:bottom w:val="single" w:sz="2" w:space="0" w:color="000000"/>
            </w:tcBorders>
            <w:shd w:fill="CCEEFF"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investing activities</w:t>
            </w:r>
          </w:p>
        </w:tc>
        <w:tc>
          <w:tcPr>
            <w:tcW w:w="149"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43" w:type="dxa"/>
            <w:tcBorders>
              <w:top w:val="single" w:sz="2" w:space="0" w:color="000000"/>
            </w:tcBorders>
            <w:shd w:fill="auto" w:val="clear"/>
            <w:tcMar>
              <w:top w:w="30" w:type="dxa"/>
            </w:tcMar>
            <w:vAlign w:val="center"/>
          </w:tcPr>
          <w:p>
            <w:pPr>
              <w:pStyle w:val="TableContents"/>
              <w:spacing w:before="0" w:after="0"/>
              <w:jc w:val="right"/>
              <w:rPr/>
            </w:pPr>
            <w:r>
              <w:rPr/>
              <w:t>—</w:t>
            </w:r>
          </w:p>
        </w:tc>
        <w:tc>
          <w:tcPr>
            <w:tcW w:w="14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9"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103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(118,542</w:t>
            </w:r>
          </w:p>
        </w:tc>
        <w:tc>
          <w:tcPr>
            <w:tcW w:w="149"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(22,695</w:t>
            </w:r>
          </w:p>
        </w:tc>
        <w:tc>
          <w:tcPr>
            <w:tcW w:w="16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30" w:type="dxa"/>
            <w:tcBorders/>
            <w:shd w:fill="auto" w:val="clear"/>
            <w:vAlign w:val="center"/>
          </w:tcPr>
          <w:p>
            <w:pPr>
              <w:pStyle w:val="TableContents"/>
              <w:spacing w:before="0" w:after="0"/>
              <w:jc w:val="right"/>
              <w:rPr>
                <w:rFonts w:ascii="inherit" w:hAnsi="inherit"/>
                <w:sz w:val="13"/>
              </w:rPr>
            </w:pPr>
            <w:r>
              <w:rPr>
                <w:rFonts w:ascii="inherit" w:hAnsi="inherit"/>
                <w:sz w:val="13"/>
              </w:rPr>
              <w:t>(141,237</w:t>
            </w:r>
          </w:p>
        </w:tc>
        <w:tc>
          <w:tcPr>
            <w:tcW w:w="136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1241"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8"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7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2545" w:type="dxa"/>
            <w:gridSpan w:val="3"/>
            <w:tcBorders/>
            <w:shd w:fill="CCEEFF" w:val="clear"/>
            <w:vAlign w:val="center"/>
          </w:tcPr>
          <w:p>
            <w:pPr>
              <w:pStyle w:val="TableContents"/>
              <w:spacing w:before="0" w:after="0"/>
              <w:ind w:left="0" w:right="0" w:firstLine="780"/>
              <w:rPr/>
            </w:pPr>
            <w:r>
              <w:rPr/>
              <w:t> </w:t>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exercise of stock options</w:t>
            </w:r>
          </w:p>
        </w:tc>
        <w:tc>
          <w:tcPr>
            <w:tcW w:w="10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397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08"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397</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09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3,230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3,230</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Debt issuance costs</w:t>
            </w:r>
          </w:p>
        </w:tc>
        <w:tc>
          <w:tcPr>
            <w:tcW w:w="10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(1,930</w:t>
            </w:r>
          </w:p>
        </w:tc>
        <w:tc>
          <w:tcPr>
            <w:tcW w:w="14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(467</w:t>
            </w:r>
          </w:p>
        </w:tc>
        <w:tc>
          <w:tcPr>
            <w:tcW w:w="14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208"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(2,397</w:t>
            </w:r>
          </w:p>
        </w:tc>
        <w:tc>
          <w:tcPr>
            <w:tcW w:w="1366"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109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(7,484</w:t>
            </w:r>
          </w:p>
        </w:tc>
        <w:tc>
          <w:tcPr>
            <w:tcW w:w="14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(7,484</w:t>
            </w:r>
          </w:p>
        </w:tc>
        <w:tc>
          <w:tcPr>
            <w:tcW w:w="1366"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revolving line of credit</w:t>
            </w:r>
          </w:p>
        </w:tc>
        <w:tc>
          <w:tcPr>
            <w:tcW w:w="1092"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164,500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08"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164,500</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revolving line of credit</w:t>
            </w:r>
          </w:p>
        </w:tc>
        <w:tc>
          <w:tcPr>
            <w:tcW w:w="1092"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(147,000</w:t>
            </w:r>
          </w:p>
        </w:tc>
        <w:tc>
          <w:tcPr>
            <w:tcW w:w="14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(147,000</w:t>
            </w:r>
          </w:p>
        </w:tc>
        <w:tc>
          <w:tcPr>
            <w:tcW w:w="1366"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bank borrowings</w:t>
            </w:r>
          </w:p>
        </w:tc>
        <w:tc>
          <w:tcPr>
            <w:tcW w:w="10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2,500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(2,500</w:t>
            </w:r>
          </w:p>
        </w:tc>
        <w:tc>
          <w:tcPr>
            <w:tcW w:w="14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208"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pPr>
            <w:r>
              <w:rPr/>
              <w:t>—</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bank borrowings and capital lease obligations</w:t>
            </w:r>
          </w:p>
        </w:tc>
        <w:tc>
          <w:tcPr>
            <w:tcW w:w="109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(10,000</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(15,004</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(25,004</w:t>
            </w:r>
          </w:p>
        </w:tc>
        <w:tc>
          <w:tcPr>
            <w:tcW w:w="1366" w:type="dxa"/>
            <w:tcBorders>
              <w:bottom w:val="single" w:sz="2" w:space="0" w:color="000000"/>
            </w:tcBorders>
            <w:shd w:fill="CCEEFF"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used in financing activities</w:t>
            </w:r>
          </w:p>
        </w:tc>
        <w:tc>
          <w:tcPr>
            <w:tcW w:w="149"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43" w:type="dxa"/>
            <w:tcBorders/>
            <w:shd w:fill="auto" w:val="clear"/>
            <w:vAlign w:val="center"/>
          </w:tcPr>
          <w:p>
            <w:pPr>
              <w:pStyle w:val="TableContents"/>
              <w:spacing w:before="0" w:after="0"/>
              <w:jc w:val="right"/>
              <w:rPr>
                <w:rFonts w:ascii="inherit" w:hAnsi="inherit"/>
                <w:sz w:val="13"/>
              </w:rPr>
            </w:pPr>
            <w:r>
              <w:rPr>
                <w:rFonts w:ascii="inherit" w:hAnsi="inherit"/>
                <w:sz w:val="13"/>
              </w:rPr>
              <w:t>(13,287</w:t>
            </w:r>
          </w:p>
        </w:tc>
        <w:tc>
          <w:tcPr>
            <w:tcW w:w="14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30" w:type="dxa"/>
            <w:tcBorders/>
            <w:shd w:fill="auto" w:val="clear"/>
            <w:vAlign w:val="center"/>
          </w:tcPr>
          <w:p>
            <w:pPr>
              <w:pStyle w:val="TableContents"/>
              <w:spacing w:before="0" w:after="0"/>
              <w:jc w:val="right"/>
              <w:rPr>
                <w:rFonts w:ascii="inherit" w:hAnsi="inherit"/>
                <w:sz w:val="13"/>
              </w:rPr>
            </w:pPr>
            <w:r>
              <w:rPr>
                <w:rFonts w:ascii="inherit" w:hAnsi="inherit"/>
                <w:sz w:val="13"/>
              </w:rPr>
              <w:t>(471</w:t>
            </w:r>
          </w:p>
        </w:tc>
        <w:tc>
          <w:tcPr>
            <w:tcW w:w="14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41" w:type="dxa"/>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30" w:type="dxa"/>
            <w:tcBorders/>
            <w:shd w:fill="auto" w:val="clear"/>
            <w:vAlign w:val="center"/>
          </w:tcPr>
          <w:p>
            <w:pPr>
              <w:pStyle w:val="TableContents"/>
              <w:spacing w:before="0" w:after="0"/>
              <w:jc w:val="right"/>
              <w:rPr>
                <w:rFonts w:ascii="inherit" w:hAnsi="inherit"/>
                <w:sz w:val="13"/>
              </w:rPr>
            </w:pPr>
            <w:r>
              <w:rPr>
                <w:rFonts w:ascii="inherit" w:hAnsi="inherit"/>
                <w:sz w:val="13"/>
              </w:rPr>
              <w:t>(13,758</w:t>
            </w:r>
          </w:p>
        </w:tc>
        <w:tc>
          <w:tcPr>
            <w:tcW w:w="136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Effect of exchange rate changes on cash and cash equivalents</w:t>
            </w:r>
          </w:p>
        </w:tc>
        <w:tc>
          <w:tcPr>
            <w:tcW w:w="109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(157</w:t>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(157</w:t>
            </w:r>
          </w:p>
        </w:tc>
        <w:tc>
          <w:tcPr>
            <w:tcW w:w="136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 in cash and cash equivalents</w:t>
            </w:r>
          </w:p>
        </w:tc>
        <w:tc>
          <w:tcPr>
            <w:tcW w:w="1092"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(3,002</w:t>
            </w:r>
          </w:p>
        </w:tc>
        <w:tc>
          <w:tcPr>
            <w:tcW w:w="14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0" w:type="dxa"/>
            <w:tcBorders/>
            <w:shd w:fill="auto" w:val="clear"/>
            <w:vAlign w:val="center"/>
          </w:tcPr>
          <w:p>
            <w:pPr>
              <w:pStyle w:val="TableContents"/>
              <w:spacing w:before="0" w:after="0"/>
              <w:ind w:left="0" w:right="0" w:firstLine="30"/>
              <w:rPr/>
            </w:pPr>
            <w:r>
              <w:rPr/>
              <w:t> </w:t>
            </w:r>
          </w:p>
        </w:tc>
        <w:tc>
          <w:tcPr>
            <w:tcW w:w="12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1,117</w:t>
            </w:r>
          </w:p>
        </w:tc>
        <w:tc>
          <w:tcPr>
            <w:tcW w:w="16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(1,885</w:t>
            </w:r>
          </w:p>
        </w:tc>
        <w:tc>
          <w:tcPr>
            <w:tcW w:w="1366"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32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beginning of period</w:t>
            </w:r>
          </w:p>
        </w:tc>
        <w:tc>
          <w:tcPr>
            <w:tcW w:w="109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23,862</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0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1,992</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25,854</w:t>
            </w:r>
          </w:p>
        </w:tc>
        <w:tc>
          <w:tcPr>
            <w:tcW w:w="13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end of period</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43"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20,860</w:t>
            </w:r>
          </w:p>
        </w:tc>
        <w:tc>
          <w:tcPr>
            <w:tcW w:w="14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3,109</w:t>
            </w:r>
          </w:p>
        </w:tc>
        <w:tc>
          <w:tcPr>
            <w:tcW w:w="16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1366"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90</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378"/>
        <w:gridCol w:w="148"/>
        <w:gridCol w:w="937"/>
        <w:gridCol w:w="148"/>
        <w:gridCol w:w="129"/>
        <w:gridCol w:w="156"/>
        <w:gridCol w:w="983"/>
        <w:gridCol w:w="158"/>
        <w:gridCol w:w="129"/>
        <w:gridCol w:w="167"/>
        <w:gridCol w:w="1035"/>
        <w:gridCol w:w="168"/>
        <w:gridCol w:w="129"/>
        <w:gridCol w:w="148"/>
        <w:gridCol w:w="1025"/>
        <w:gridCol w:w="136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37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78" w:type="dxa"/>
            <w:tcBorders/>
            <w:shd w:fill="auto" w:val="clear"/>
            <w:vAlign w:val="center"/>
          </w:tcPr>
          <w:p>
            <w:pPr>
              <w:pStyle w:val="TableContents"/>
              <w:spacing w:before="0" w:after="0"/>
              <w:ind w:left="0" w:right="0" w:firstLine="30"/>
              <w:jc w:val="left"/>
              <w:rPr/>
            </w:pPr>
            <w:r>
              <w:rPr/>
              <w:t> </w:t>
            </w:r>
          </w:p>
        </w:tc>
        <w:tc>
          <w:tcPr>
            <w:tcW w:w="682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2010</w:t>
            </w:r>
          </w:p>
        </w:tc>
      </w:tr>
      <w:tr>
        <w:trPr/>
        <w:tc>
          <w:tcPr>
            <w:tcW w:w="3378" w:type="dxa"/>
            <w:tcBorders/>
            <w:shd w:fill="auto" w:val="clear"/>
            <w:vAlign w:val="center"/>
          </w:tcPr>
          <w:p>
            <w:pPr>
              <w:pStyle w:val="TableContents"/>
              <w:spacing w:before="0" w:after="0"/>
              <w:ind w:left="0" w:right="0" w:firstLine="30"/>
              <w:jc w:val="left"/>
              <w:rPr/>
            </w:pPr>
            <w:r>
              <w:rPr/>
              <w:t> </w:t>
            </w:r>
          </w:p>
        </w:tc>
        <w:tc>
          <w:tcPr>
            <w:tcW w:w="12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9" w:type="dxa"/>
            <w:tcBorders/>
            <w:shd w:fill="auto" w:val="clear"/>
            <w:vAlign w:val="center"/>
          </w:tcPr>
          <w:p>
            <w:pPr>
              <w:pStyle w:val="TableContents"/>
              <w:spacing w:before="0" w:after="0"/>
              <w:ind w:left="0" w:right="0" w:firstLine="30"/>
              <w:rPr/>
            </w:pPr>
            <w:r>
              <w:rPr/>
              <w:t> </w:t>
            </w:r>
          </w:p>
        </w:tc>
        <w:tc>
          <w:tcPr>
            <w:tcW w:w="129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9" w:type="dxa"/>
            <w:tcBorders/>
            <w:shd w:fill="auto" w:val="clear"/>
            <w:vAlign w:val="center"/>
          </w:tcPr>
          <w:p>
            <w:pPr>
              <w:pStyle w:val="TableContents"/>
              <w:spacing w:before="0" w:after="0"/>
              <w:ind w:left="0" w:right="0" w:firstLine="30"/>
              <w:rPr/>
            </w:pPr>
            <w:r>
              <w:rPr/>
              <w:t> </w:t>
            </w:r>
          </w:p>
        </w:tc>
        <w:tc>
          <w:tcPr>
            <w:tcW w:w="137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9" w:type="dxa"/>
            <w:tcBorders/>
            <w:shd w:fill="auto" w:val="clear"/>
            <w:vAlign w:val="center"/>
          </w:tcPr>
          <w:p>
            <w:pPr>
              <w:pStyle w:val="TableContents"/>
              <w:spacing w:before="0" w:after="0"/>
              <w:ind w:left="0" w:right="0" w:firstLine="30"/>
              <w:rPr/>
            </w:pPr>
            <w:r>
              <w:rPr/>
              <w:t> </w:t>
            </w:r>
          </w:p>
        </w:tc>
        <w:tc>
          <w:tcPr>
            <w:tcW w:w="25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378" w:type="dxa"/>
            <w:tcBorders/>
            <w:shd w:fill="auto" w:val="clear"/>
            <w:vAlign w:val="center"/>
          </w:tcPr>
          <w:p>
            <w:pPr>
              <w:pStyle w:val="TableContents"/>
              <w:spacing w:before="0" w:after="0"/>
              <w:ind w:left="0" w:right="0" w:firstLine="30"/>
              <w:jc w:val="left"/>
              <w:rPr/>
            </w:pPr>
            <w:r>
              <w:rPr/>
              <w:t> </w:t>
            </w:r>
          </w:p>
        </w:tc>
        <w:tc>
          <w:tcPr>
            <w:tcW w:w="6827" w:type="dxa"/>
            <w:gridSpan w:val="15"/>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w:t>
            </w:r>
          </w:p>
        </w:tc>
        <w:tc>
          <w:tcPr>
            <w:tcW w:w="14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64,309</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5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8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47,161</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67"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3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17,096</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2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128,566</w:t>
            </w:r>
          </w:p>
        </w:tc>
        <w:tc>
          <w:tcPr>
            <w:tcW w:w="13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1233"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297"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2540" w:type="dxa"/>
            <w:gridSpan w:val="3"/>
            <w:tcBorders/>
            <w:shd w:fill="auto" w:val="clear"/>
            <w:vAlign w:val="center"/>
          </w:tcPr>
          <w:p>
            <w:pPr>
              <w:pStyle w:val="TableContents"/>
              <w:spacing w:before="0" w:after="0"/>
              <w:ind w:left="0" w:right="0" w:firstLine="780"/>
              <w:rPr/>
            </w:pPr>
            <w:r>
              <w:rPr/>
              <w:t> </w:t>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Loans made</w:t>
            </w:r>
          </w:p>
        </w:tc>
        <w:tc>
          <w:tcPr>
            <w:tcW w:w="1085"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(504,305</w:t>
            </w:r>
          </w:p>
        </w:tc>
        <w:tc>
          <w:tcPr>
            <w:tcW w:w="15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(41,274</w:t>
            </w:r>
          </w:p>
        </w:tc>
        <w:tc>
          <w:tcPr>
            <w:tcW w:w="16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(545,579</w:t>
            </w:r>
          </w:p>
        </w:tc>
        <w:tc>
          <w:tcPr>
            <w:tcW w:w="1367"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Loans repaid</w:t>
            </w:r>
          </w:p>
        </w:tc>
        <w:tc>
          <w:tcPr>
            <w:tcW w:w="1085"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313,255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22,577</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335,832</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Recovery of pawn loan principal through sale of forfeited collateral</w:t>
            </w:r>
          </w:p>
        </w:tc>
        <w:tc>
          <w:tcPr>
            <w:tcW w:w="1085"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162,407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11,817</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174,224</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Additions to property and equipment</w:t>
            </w:r>
          </w:p>
        </w:tc>
        <w:tc>
          <w:tcPr>
            <w:tcW w:w="1085"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(16,503</w:t>
            </w:r>
          </w:p>
        </w:tc>
        <w:tc>
          <w:tcPr>
            <w:tcW w:w="15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(9,238</w:t>
            </w:r>
          </w:p>
        </w:tc>
        <w:tc>
          <w:tcPr>
            <w:tcW w:w="16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auto" w:val="clear"/>
            <w:vAlign w:val="center"/>
          </w:tcPr>
          <w:p>
            <w:pPr>
              <w:pStyle w:val="TableContents"/>
              <w:spacing w:before="0" w:after="0"/>
              <w:ind w:left="0" w:right="0" w:firstLine="30"/>
              <w:rPr/>
            </w:pPr>
            <w:r>
              <w:rPr/>
              <w:t> </w:t>
            </w:r>
          </w:p>
        </w:tc>
        <w:tc>
          <w:tcPr>
            <w:tcW w:w="117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(25,741</w:t>
            </w:r>
          </w:p>
        </w:tc>
        <w:tc>
          <w:tcPr>
            <w:tcW w:w="1367"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on disposal of assets</w:t>
            </w:r>
          </w:p>
        </w:tc>
        <w:tc>
          <w:tcPr>
            <w:tcW w:w="1085"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1,347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1,347</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Acquisitions, net of cash acquired</w:t>
            </w:r>
          </w:p>
        </w:tc>
        <w:tc>
          <w:tcPr>
            <w:tcW w:w="1085"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(21,837</w:t>
            </w:r>
          </w:p>
        </w:tc>
        <w:tc>
          <w:tcPr>
            <w:tcW w:w="15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(21,837</w:t>
            </w:r>
          </w:p>
        </w:tc>
        <w:tc>
          <w:tcPr>
            <w:tcW w:w="1367"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0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(57,772</w:t>
            </w:r>
          </w:p>
        </w:tc>
        <w:tc>
          <w:tcPr>
            <w:tcW w:w="14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(1,416</w:t>
            </w:r>
          </w:p>
        </w:tc>
        <w:tc>
          <w:tcPr>
            <w:tcW w:w="15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(59,188</w:t>
            </w:r>
          </w:p>
        </w:tc>
        <w:tc>
          <w:tcPr>
            <w:tcW w:w="1367" w:type="dxa"/>
            <w:tcBorders>
              <w:bottom w:val="single" w:sz="2" w:space="0" w:color="000000"/>
            </w:tcBorders>
            <w:shd w:fill="CCEEFF"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used in investing activities</w:t>
            </w:r>
          </w:p>
        </w:tc>
        <w:tc>
          <w:tcPr>
            <w:tcW w:w="148"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3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(57,772</w:t>
            </w:r>
          </w:p>
        </w:tc>
        <w:tc>
          <w:tcPr>
            <w:tcW w:w="148"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auto" w:val="clear"/>
            <w:vAlign w:val="center"/>
          </w:tcPr>
          <w:p>
            <w:pPr>
              <w:pStyle w:val="TableContents"/>
              <w:spacing w:before="0" w:after="0"/>
              <w:ind w:left="0" w:right="0" w:firstLine="30"/>
              <w:rPr/>
            </w:pPr>
            <w:r>
              <w:rPr/>
              <w:t> </w:t>
            </w:r>
          </w:p>
        </w:tc>
        <w:tc>
          <w:tcPr>
            <w:tcW w:w="15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83"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(67,052</w:t>
            </w:r>
          </w:p>
        </w:tc>
        <w:tc>
          <w:tcPr>
            <w:tcW w:w="158"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35" w:type="dxa"/>
            <w:tcBorders/>
            <w:shd w:fill="auto" w:val="clear"/>
            <w:vAlign w:val="center"/>
          </w:tcPr>
          <w:p>
            <w:pPr>
              <w:pStyle w:val="TableContents"/>
              <w:spacing w:before="0" w:after="0"/>
              <w:jc w:val="right"/>
              <w:rPr>
                <w:rFonts w:ascii="inherit" w:hAnsi="inherit"/>
                <w:sz w:val="13"/>
              </w:rPr>
            </w:pPr>
            <w:r>
              <w:rPr>
                <w:rFonts w:ascii="inherit" w:hAnsi="inherit"/>
                <w:sz w:val="13"/>
              </w:rPr>
              <w:t>(16,118</w:t>
            </w:r>
          </w:p>
        </w:tc>
        <w:tc>
          <w:tcPr>
            <w:tcW w:w="16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25" w:type="dxa"/>
            <w:tcBorders/>
            <w:shd w:fill="auto" w:val="clear"/>
            <w:vAlign w:val="center"/>
          </w:tcPr>
          <w:p>
            <w:pPr>
              <w:pStyle w:val="TableContents"/>
              <w:spacing w:before="0" w:after="0"/>
              <w:jc w:val="right"/>
              <w:rPr>
                <w:rFonts w:ascii="inherit" w:hAnsi="inherit"/>
                <w:sz w:val="13"/>
              </w:rPr>
            </w:pPr>
            <w:r>
              <w:rPr>
                <w:rFonts w:ascii="inherit" w:hAnsi="inherit"/>
                <w:sz w:val="13"/>
              </w:rPr>
              <w:t>(140,942</w:t>
            </w:r>
          </w:p>
        </w:tc>
        <w:tc>
          <w:tcPr>
            <w:tcW w:w="13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1233"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297"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2540" w:type="dxa"/>
            <w:gridSpan w:val="3"/>
            <w:tcBorders/>
            <w:shd w:fill="CCEEFF" w:val="clear"/>
            <w:vAlign w:val="center"/>
          </w:tcPr>
          <w:p>
            <w:pPr>
              <w:pStyle w:val="TableContents"/>
              <w:spacing w:before="0" w:after="0"/>
              <w:ind w:left="0" w:right="0" w:firstLine="780"/>
              <w:rPr/>
            </w:pPr>
            <w:r>
              <w:rPr/>
              <w:t> </w:t>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exercise of stock options</w:t>
            </w:r>
          </w:p>
        </w:tc>
        <w:tc>
          <w:tcPr>
            <w:tcW w:w="10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1,602</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1,602</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0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1,861</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1,861</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1085"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3" w:type="dxa"/>
            <w:gridSpan w:val="2"/>
            <w:tcBorders/>
            <w:shd w:fill="auto" w:val="clear"/>
            <w:vAlign w:val="center"/>
          </w:tcPr>
          <w:p>
            <w:pPr>
              <w:pStyle w:val="TableContents"/>
              <w:spacing w:before="0" w:after="0"/>
              <w:jc w:val="right"/>
              <w:rPr/>
            </w:pPr>
            <w:r>
              <w:rPr/>
              <w:t>—</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Debt issuance costs</w:t>
            </w:r>
          </w:p>
        </w:tc>
        <w:tc>
          <w:tcPr>
            <w:tcW w:w="1085"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revolving line of credit</w:t>
            </w:r>
          </w:p>
        </w:tc>
        <w:tc>
          <w:tcPr>
            <w:tcW w:w="10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63,050</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63,050</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revolving line of credit</w:t>
            </w:r>
          </w:p>
        </w:tc>
        <w:tc>
          <w:tcPr>
            <w:tcW w:w="10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(63,050</w:t>
            </w:r>
          </w:p>
        </w:tc>
        <w:tc>
          <w:tcPr>
            <w:tcW w:w="14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(63,050</w:t>
            </w:r>
          </w:p>
        </w:tc>
        <w:tc>
          <w:tcPr>
            <w:tcW w:w="1367"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bank borrowings</w:t>
            </w:r>
          </w:p>
        </w:tc>
        <w:tc>
          <w:tcPr>
            <w:tcW w:w="1085"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3" w:type="dxa"/>
            <w:gridSpan w:val="2"/>
            <w:tcBorders/>
            <w:shd w:fill="auto" w:val="clear"/>
            <w:vAlign w:val="center"/>
          </w:tcPr>
          <w:p>
            <w:pPr>
              <w:pStyle w:val="TableContents"/>
              <w:spacing w:before="0" w:after="0"/>
              <w:jc w:val="right"/>
              <w:rPr/>
            </w:pPr>
            <w:r>
              <w:rPr/>
              <w:t>—</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bank borrowings and capital lease obligations</w:t>
            </w:r>
          </w:p>
        </w:tc>
        <w:tc>
          <w:tcPr>
            <w:tcW w:w="10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(10,000</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(10,000</w:t>
            </w:r>
          </w:p>
        </w:tc>
        <w:tc>
          <w:tcPr>
            <w:tcW w:w="1367" w:type="dxa"/>
            <w:tcBorders>
              <w:bottom w:val="single" w:sz="2" w:space="0" w:color="000000"/>
            </w:tcBorders>
            <w:shd w:fill="CCEEFF"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financing activities</w:t>
            </w:r>
          </w:p>
        </w:tc>
        <w:tc>
          <w:tcPr>
            <w:tcW w:w="14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37" w:type="dxa"/>
            <w:tcBorders/>
            <w:shd w:fill="auto" w:val="clear"/>
            <w:vAlign w:val="center"/>
          </w:tcPr>
          <w:p>
            <w:pPr>
              <w:pStyle w:val="TableContents"/>
              <w:spacing w:before="0" w:after="0"/>
              <w:jc w:val="right"/>
              <w:rPr>
                <w:rFonts w:ascii="inherit" w:hAnsi="inherit"/>
                <w:sz w:val="13"/>
              </w:rPr>
            </w:pPr>
            <w:r>
              <w:rPr>
                <w:rFonts w:ascii="inherit" w:hAnsi="inherit"/>
                <w:sz w:val="13"/>
              </w:rPr>
              <w:t>(6,537</w:t>
            </w:r>
          </w:p>
        </w:tc>
        <w:tc>
          <w:tcPr>
            <w:tcW w:w="14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83"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35" w:type="dxa"/>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25" w:type="dxa"/>
            <w:tcBorders/>
            <w:shd w:fill="auto" w:val="clear"/>
            <w:vAlign w:val="center"/>
          </w:tcPr>
          <w:p>
            <w:pPr>
              <w:pStyle w:val="TableContents"/>
              <w:spacing w:before="0" w:after="0"/>
              <w:jc w:val="right"/>
              <w:rPr>
                <w:rFonts w:ascii="inherit" w:hAnsi="inherit"/>
                <w:sz w:val="13"/>
              </w:rPr>
            </w:pPr>
            <w:r>
              <w:rPr>
                <w:rFonts w:ascii="inherit" w:hAnsi="inherit"/>
                <w:sz w:val="13"/>
              </w:rPr>
              <w:t>(6,534</w:t>
            </w:r>
          </w:p>
        </w:tc>
        <w:tc>
          <w:tcPr>
            <w:tcW w:w="13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Effect of exchange rate changes on cash and cash equivalents</w:t>
            </w:r>
          </w:p>
        </w:tc>
        <w:tc>
          <w:tcPr>
            <w:tcW w:w="108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 in cash and cash equivalents</w:t>
            </w:r>
          </w:p>
        </w:tc>
        <w:tc>
          <w:tcPr>
            <w:tcW w:w="1085"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(19,888</w:t>
            </w:r>
          </w:p>
        </w:tc>
        <w:tc>
          <w:tcPr>
            <w:tcW w:w="15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9" w:type="dxa"/>
            <w:tcBorders/>
            <w:shd w:fill="auto" w:val="clear"/>
            <w:vAlign w:val="center"/>
          </w:tcPr>
          <w:p>
            <w:pPr>
              <w:pStyle w:val="TableContents"/>
              <w:spacing w:before="0" w:after="0"/>
              <w:ind w:left="0" w:right="0" w:firstLine="30"/>
              <w:rPr/>
            </w:pPr>
            <w:r>
              <w:rPr/>
              <w:t> </w:t>
            </w:r>
          </w:p>
        </w:tc>
        <w:tc>
          <w:tcPr>
            <w:tcW w:w="120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978</w:t>
            </w:r>
          </w:p>
        </w:tc>
        <w:tc>
          <w:tcPr>
            <w:tcW w:w="16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(18,910</w:t>
            </w:r>
          </w:p>
        </w:tc>
        <w:tc>
          <w:tcPr>
            <w:tcW w:w="136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3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beginning of period</w:t>
            </w:r>
          </w:p>
        </w:tc>
        <w:tc>
          <w:tcPr>
            <w:tcW w:w="108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43,750</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1,014</w:t>
            </w:r>
          </w:p>
        </w:tc>
        <w:tc>
          <w:tcPr>
            <w:tcW w:w="1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44,764</w:t>
            </w:r>
          </w:p>
        </w:tc>
        <w:tc>
          <w:tcPr>
            <w:tcW w:w="13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end of period</w:t>
            </w:r>
          </w:p>
        </w:tc>
        <w:tc>
          <w:tcPr>
            <w:tcW w:w="14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7"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23,862</w:t>
            </w:r>
          </w:p>
        </w:tc>
        <w:tc>
          <w:tcPr>
            <w:tcW w:w="15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3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1,992</w:t>
            </w:r>
          </w:p>
        </w:tc>
        <w:tc>
          <w:tcPr>
            <w:tcW w:w="16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2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25,854</w:t>
            </w:r>
          </w:p>
        </w:tc>
        <w:tc>
          <w:tcPr>
            <w:tcW w:w="136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86" w:name="sDB3D8BA337E178D485920F13B6F5773B"/>
      <w:bookmarkEnd w:id="86"/>
      <w:r>
        <w:rPr>
          <w:rFonts w:ascii="inherit" w:hAnsi="inherit"/>
          <w:b/>
          <w:sz w:val="17"/>
        </w:rPr>
        <w:t>NOTE 24: SUPPLEMENTAL CONSOLIDATED FINANCIAL INFORMATION</w:t>
      </w:r>
    </w:p>
    <w:p>
      <w:pPr>
        <w:pStyle w:val="TextBody"/>
        <w:spacing w:lineRule="auto" w:line="288" w:before="0" w:after="0"/>
        <w:jc w:val="left"/>
        <w:rPr>
          <w:rFonts w:ascii="inherit" w:hAnsi="inherit"/>
          <w:b/>
          <w:sz w:val="17"/>
        </w:rPr>
      </w:pPr>
      <w:r>
        <w:rPr>
          <w:rFonts w:ascii="inherit" w:hAnsi="inherit"/>
          <w:b/>
          <w:sz w:val="17"/>
        </w:rPr>
        <w:t>Supplemental Consolidated Balance Sheet Information</w:t>
      </w:r>
    </w:p>
    <w:p>
      <w:pPr>
        <w:pStyle w:val="TextBody"/>
        <w:spacing w:lineRule="auto" w:line="288" w:before="0" w:after="0"/>
        <w:jc w:val="left"/>
        <w:rPr>
          <w:rFonts w:ascii="inherit" w:hAnsi="inherit"/>
          <w:sz w:val="17"/>
        </w:rPr>
      </w:pPr>
      <w:r>
        <w:rPr>
          <w:rFonts w:ascii="inherit" w:hAnsi="inherit"/>
          <w:sz w:val="17"/>
        </w:rPr>
        <w:t>The following table provides information on amounts included in pawn service charges receivable, net, consumer loan fees, net and inventories, net:</w:t>
      </w:r>
    </w:p>
    <w:tbl>
      <w:tblPr>
        <w:tblW w:w="10205" w:type="dxa"/>
        <w:jc w:val="left"/>
        <w:tblInd w:w="0" w:type="dxa"/>
        <w:tblCellMar>
          <w:top w:w="0" w:type="dxa"/>
          <w:left w:w="0" w:type="dxa"/>
          <w:bottom w:w="0" w:type="dxa"/>
          <w:right w:w="0" w:type="dxa"/>
        </w:tblCellMar>
      </w:tblPr>
      <w:tblGrid>
        <w:gridCol w:w="6441"/>
        <w:gridCol w:w="180"/>
        <w:gridCol w:w="1329"/>
        <w:gridCol w:w="167"/>
        <w:gridCol w:w="150"/>
        <w:gridCol w:w="180"/>
        <w:gridCol w:w="1238"/>
        <w:gridCol w:w="52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4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41" w:type="dxa"/>
            <w:tcBorders/>
            <w:shd w:fill="auto" w:val="clear"/>
            <w:vAlign w:val="center"/>
          </w:tcPr>
          <w:p>
            <w:pPr>
              <w:pStyle w:val="TableContents"/>
              <w:spacing w:before="0" w:after="0"/>
              <w:ind w:left="0" w:right="0" w:firstLine="30"/>
              <w:jc w:val="left"/>
              <w:rPr/>
            </w:pPr>
            <w:r>
              <w:rPr/>
              <w:t> </w:t>
            </w:r>
          </w:p>
        </w:tc>
        <w:tc>
          <w:tcPr>
            <w:tcW w:w="376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6441" w:type="dxa"/>
            <w:tcBorders/>
            <w:shd w:fill="auto" w:val="clear"/>
            <w:vAlign w:val="center"/>
          </w:tcPr>
          <w:p>
            <w:pPr>
              <w:pStyle w:val="TableContents"/>
              <w:spacing w:before="0" w:after="0"/>
              <w:ind w:left="0" w:right="0" w:firstLine="30"/>
              <w:jc w:val="left"/>
              <w:rPr/>
            </w:pPr>
            <w:r>
              <w:rPr/>
              <w:t> </w:t>
            </w:r>
          </w:p>
        </w:tc>
        <w:tc>
          <w:tcPr>
            <w:tcW w:w="16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0" w:type="dxa"/>
            <w:tcBorders/>
            <w:shd w:fill="auto" w:val="clear"/>
            <w:vAlign w:val="center"/>
          </w:tcPr>
          <w:p>
            <w:pPr>
              <w:pStyle w:val="TableContents"/>
              <w:spacing w:before="0" w:after="0"/>
              <w:ind w:left="0" w:right="0" w:firstLine="30"/>
              <w:rPr/>
            </w:pPr>
            <w:r>
              <w:rPr/>
              <w:t> </w:t>
            </w:r>
          </w:p>
        </w:tc>
        <w:tc>
          <w:tcPr>
            <w:tcW w:w="19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441" w:type="dxa"/>
            <w:tcBorders/>
            <w:shd w:fill="auto" w:val="clear"/>
            <w:vAlign w:val="center"/>
          </w:tcPr>
          <w:p>
            <w:pPr>
              <w:pStyle w:val="TableContents"/>
              <w:spacing w:before="0" w:after="0"/>
              <w:ind w:left="0" w:right="0" w:firstLine="30"/>
              <w:jc w:val="left"/>
              <w:rPr/>
            </w:pPr>
            <w:r>
              <w:rPr/>
              <w:t> </w:t>
            </w:r>
          </w:p>
        </w:tc>
        <w:tc>
          <w:tcPr>
            <w:tcW w:w="376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w:t>
            </w:r>
          </w:p>
        </w:tc>
        <w:tc>
          <w:tcPr>
            <w:tcW w:w="1676" w:type="dxa"/>
            <w:gridSpan w:val="3"/>
            <w:tcBorders/>
            <w:shd w:fill="CCEEFF" w:val="clear"/>
            <w:vAlign w:val="center"/>
          </w:tcPr>
          <w:p>
            <w:pPr>
              <w:pStyle w:val="TableContents"/>
              <w:spacing w:before="0" w:after="0"/>
              <w:ind w:left="0" w:right="0" w:firstLine="30"/>
              <w:jc w:val="left"/>
              <w:rPr/>
            </w:pPr>
            <w:r>
              <w:rPr/>
              <w:t> </w:t>
            </w:r>
          </w:p>
        </w:tc>
        <w:tc>
          <w:tcPr>
            <w:tcW w:w="150" w:type="dxa"/>
            <w:tcBorders/>
            <w:shd w:fill="CCEEFF" w:val="clear"/>
            <w:vAlign w:val="center"/>
          </w:tcPr>
          <w:p>
            <w:pPr>
              <w:pStyle w:val="TableContents"/>
              <w:spacing w:before="0" w:after="0"/>
              <w:ind w:left="0" w:right="0" w:firstLine="30"/>
              <w:rPr/>
            </w:pPr>
            <w:r>
              <w:rPr/>
              <w:t> </w:t>
            </w:r>
          </w:p>
        </w:tc>
        <w:tc>
          <w:tcPr>
            <w:tcW w:w="1938" w:type="dxa"/>
            <w:gridSpan w:val="3"/>
            <w:tcBorders/>
            <w:shd w:fill="CCEEFF" w:val="clear"/>
            <w:vAlign w:val="center"/>
          </w:tcPr>
          <w:p>
            <w:pPr>
              <w:pStyle w:val="TableContents"/>
              <w:spacing w:before="0" w:after="0"/>
              <w:ind w:left="0" w:right="0" w:firstLine="180"/>
              <w:jc w:val="left"/>
              <w:rPr/>
            </w:pPr>
            <w:r>
              <w:rPr/>
              <w:t> </w:t>
            </w:r>
          </w:p>
        </w:tc>
      </w:tr>
      <w:tr>
        <w:trPr/>
        <w:tc>
          <w:tcPr>
            <w:tcW w:w="64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pawn service charges receivable</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rFonts w:ascii="inherit" w:hAnsi="inherit"/>
                <w:sz w:val="17"/>
              </w:rPr>
            </w:pPr>
            <w:r>
              <w:rPr>
                <w:rFonts w:ascii="inherit" w:hAnsi="inherit"/>
                <w:sz w:val="17"/>
              </w:rPr>
              <w:t>40,828</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shd w:fill="auto" w:val="clear"/>
            <w:vAlign w:val="center"/>
          </w:tcPr>
          <w:p>
            <w:pPr>
              <w:pStyle w:val="TableContents"/>
              <w:spacing w:before="0" w:after="0"/>
              <w:jc w:val="right"/>
              <w:rPr>
                <w:rFonts w:ascii="inherit" w:hAnsi="inherit"/>
                <w:sz w:val="17"/>
              </w:rPr>
            </w:pPr>
            <w:r>
              <w:rPr>
                <w:rFonts w:ascii="inherit" w:hAnsi="inherit"/>
                <w:sz w:val="17"/>
              </w:rPr>
              <w:t>37,175</w:t>
            </w:r>
          </w:p>
        </w:tc>
        <w:tc>
          <w:tcPr>
            <w:tcW w:w="52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4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150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(11,427</w:t>
            </w:r>
          </w:p>
        </w:tc>
        <w:tc>
          <w:tcPr>
            <w:tcW w:w="16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(10,720</w:t>
            </w:r>
          </w:p>
        </w:tc>
        <w:tc>
          <w:tcPr>
            <w:tcW w:w="520"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4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29,401</w:t>
            </w:r>
          </w:p>
        </w:tc>
        <w:tc>
          <w:tcPr>
            <w:tcW w:w="16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26,455</w:t>
            </w:r>
          </w:p>
        </w:tc>
        <w:tc>
          <w:tcPr>
            <w:tcW w:w="5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4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 fees receivable:</w:t>
            </w:r>
          </w:p>
        </w:tc>
        <w:tc>
          <w:tcPr>
            <w:tcW w:w="1676" w:type="dxa"/>
            <w:gridSpan w:val="3"/>
            <w:tcBorders/>
            <w:shd w:fill="CCEEFF" w:val="clear"/>
            <w:vAlign w:val="center"/>
          </w:tcPr>
          <w:p>
            <w:pPr>
              <w:pStyle w:val="TableContents"/>
              <w:spacing w:before="0" w:after="0"/>
              <w:ind w:left="0" w:right="0" w:firstLine="30"/>
              <w:jc w:val="left"/>
              <w:rPr/>
            </w:pPr>
            <w:r>
              <w:rPr/>
              <w:t> </w:t>
            </w:r>
          </w:p>
        </w:tc>
        <w:tc>
          <w:tcPr>
            <w:tcW w:w="150" w:type="dxa"/>
            <w:tcBorders/>
            <w:shd w:fill="CCEEFF" w:val="clear"/>
            <w:vAlign w:val="center"/>
          </w:tcPr>
          <w:p>
            <w:pPr>
              <w:pStyle w:val="TableContents"/>
              <w:spacing w:before="0" w:after="0"/>
              <w:ind w:left="0" w:right="0" w:firstLine="30"/>
              <w:rPr/>
            </w:pPr>
            <w:r>
              <w:rPr/>
              <w:t> </w:t>
            </w:r>
          </w:p>
        </w:tc>
        <w:tc>
          <w:tcPr>
            <w:tcW w:w="1938" w:type="dxa"/>
            <w:gridSpan w:val="3"/>
            <w:tcBorders/>
            <w:shd w:fill="CCEEFF" w:val="clear"/>
            <w:vAlign w:val="center"/>
          </w:tcPr>
          <w:p>
            <w:pPr>
              <w:pStyle w:val="TableContents"/>
              <w:spacing w:before="0" w:after="0"/>
              <w:ind w:left="0" w:right="0" w:firstLine="180"/>
              <w:jc w:val="left"/>
              <w:rPr/>
            </w:pPr>
            <w:r>
              <w:rPr/>
              <w:t> </w:t>
            </w:r>
          </w:p>
        </w:tc>
      </w:tr>
      <w:tr>
        <w:trPr/>
        <w:tc>
          <w:tcPr>
            <w:tcW w:w="644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Gross consumer loan fees receivable</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rFonts w:ascii="inherit" w:hAnsi="inherit"/>
                <w:sz w:val="17"/>
              </w:rPr>
            </w:pPr>
            <w:r>
              <w:rPr>
                <w:rFonts w:ascii="inherit" w:hAnsi="inherit"/>
                <w:sz w:val="17"/>
              </w:rPr>
              <w:t>34,846</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shd w:fill="auto" w:val="clear"/>
            <w:vAlign w:val="center"/>
          </w:tcPr>
          <w:p>
            <w:pPr>
              <w:pStyle w:val="TableContents"/>
              <w:spacing w:before="0" w:after="0"/>
              <w:jc w:val="right"/>
              <w:rPr>
                <w:rFonts w:ascii="inherit" w:hAnsi="inherit"/>
                <w:sz w:val="17"/>
              </w:rPr>
            </w:pPr>
            <w:r>
              <w:rPr>
                <w:rFonts w:ascii="inherit" w:hAnsi="inherit"/>
                <w:sz w:val="17"/>
              </w:rPr>
              <w:t>7,346</w:t>
            </w:r>
          </w:p>
        </w:tc>
        <w:tc>
          <w:tcPr>
            <w:tcW w:w="52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44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Allowance for uncollectible consumer loan fees receivable</w:t>
            </w:r>
          </w:p>
        </w:tc>
        <w:tc>
          <w:tcPr>
            <w:tcW w:w="150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(4,430</w:t>
            </w:r>
          </w:p>
        </w:tc>
        <w:tc>
          <w:tcPr>
            <w:tcW w:w="16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(571</w:t>
            </w:r>
          </w:p>
        </w:tc>
        <w:tc>
          <w:tcPr>
            <w:tcW w:w="520"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44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Consumer loan fees receivable, net</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30,416</w:t>
            </w:r>
          </w:p>
        </w:tc>
        <w:tc>
          <w:tcPr>
            <w:tcW w:w="16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6,775</w:t>
            </w:r>
          </w:p>
        </w:tc>
        <w:tc>
          <w:tcPr>
            <w:tcW w:w="5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w:t>
            </w:r>
          </w:p>
        </w:tc>
        <w:tc>
          <w:tcPr>
            <w:tcW w:w="1676" w:type="dxa"/>
            <w:gridSpan w:val="3"/>
            <w:tcBorders/>
            <w:shd w:fill="CCEEFF" w:val="clear"/>
            <w:vAlign w:val="center"/>
          </w:tcPr>
          <w:p>
            <w:pPr>
              <w:pStyle w:val="TableContents"/>
              <w:spacing w:before="0" w:after="0"/>
              <w:ind w:left="0" w:right="0" w:firstLine="30"/>
              <w:jc w:val="left"/>
              <w:rPr/>
            </w:pPr>
            <w:r>
              <w:rPr/>
              <w:t> </w:t>
            </w:r>
          </w:p>
        </w:tc>
        <w:tc>
          <w:tcPr>
            <w:tcW w:w="150" w:type="dxa"/>
            <w:tcBorders/>
            <w:shd w:fill="CCEEFF" w:val="clear"/>
            <w:vAlign w:val="center"/>
          </w:tcPr>
          <w:p>
            <w:pPr>
              <w:pStyle w:val="TableContents"/>
              <w:spacing w:before="0" w:after="0"/>
              <w:ind w:left="0" w:right="0" w:firstLine="30"/>
              <w:rPr/>
            </w:pPr>
            <w:r>
              <w:rPr/>
              <w:t> </w:t>
            </w:r>
          </w:p>
        </w:tc>
        <w:tc>
          <w:tcPr>
            <w:tcW w:w="1938" w:type="dxa"/>
            <w:gridSpan w:val="3"/>
            <w:tcBorders/>
            <w:shd w:fill="CCEEFF" w:val="clear"/>
            <w:vAlign w:val="center"/>
          </w:tcPr>
          <w:p>
            <w:pPr>
              <w:pStyle w:val="TableContents"/>
              <w:spacing w:before="0" w:after="0"/>
              <w:ind w:left="0" w:right="0" w:firstLine="180"/>
              <w:jc w:val="left"/>
              <w:rPr/>
            </w:pPr>
            <w:r>
              <w:rPr/>
              <w:t> </w:t>
            </w:r>
          </w:p>
        </w:tc>
      </w:tr>
      <w:tr>
        <w:trPr/>
        <w:tc>
          <w:tcPr>
            <w:tcW w:w="64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gross</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rFonts w:ascii="inherit" w:hAnsi="inherit"/>
                <w:sz w:val="17"/>
              </w:rPr>
            </w:pPr>
            <w:r>
              <w:rPr>
                <w:rFonts w:ascii="inherit" w:hAnsi="inherit"/>
                <w:sz w:val="17"/>
              </w:rPr>
              <w:t>114,788</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shd w:fill="auto" w:val="clear"/>
            <w:vAlign w:val="center"/>
          </w:tcPr>
          <w:p>
            <w:pPr>
              <w:pStyle w:val="TableContents"/>
              <w:spacing w:before="0" w:after="0"/>
              <w:jc w:val="right"/>
              <w:rPr>
                <w:rFonts w:ascii="inherit" w:hAnsi="inherit"/>
                <w:sz w:val="17"/>
              </w:rPr>
            </w:pPr>
            <w:r>
              <w:rPr>
                <w:rFonts w:ascii="inherit" w:hAnsi="inherit"/>
                <w:sz w:val="17"/>
              </w:rPr>
              <w:t>99,854</w:t>
            </w:r>
          </w:p>
        </w:tc>
        <w:tc>
          <w:tcPr>
            <w:tcW w:w="52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4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reserves</w:t>
            </w:r>
          </w:p>
        </w:tc>
        <w:tc>
          <w:tcPr>
            <w:tcW w:w="150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(5,574</w:t>
            </w:r>
          </w:p>
        </w:tc>
        <w:tc>
          <w:tcPr>
            <w:tcW w:w="16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(9,481</w:t>
            </w:r>
          </w:p>
        </w:tc>
        <w:tc>
          <w:tcPr>
            <w:tcW w:w="520"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4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109,214</w:t>
            </w:r>
          </w:p>
        </w:tc>
        <w:tc>
          <w:tcPr>
            <w:tcW w:w="16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90,373</w:t>
            </w:r>
          </w:p>
        </w:tc>
        <w:tc>
          <w:tcPr>
            <w:tcW w:w="52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r>
        <w:rPr>
          <w:rFonts w:ascii="inherit" w:hAnsi="inherit"/>
          <w:b/>
          <w:sz w:val="17"/>
        </w:rPr>
        <w:t>Supplemental Consolidated Statements of Operations Information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91</w:t>
      </w:r>
      <w:r>
        <w:br w:type="page"/>
      </w:r>
    </w:p>
    <w:p>
      <w:pPr>
        <w:pStyle w:val="TextBody"/>
        <w:spacing w:lineRule="auto" w:line="288" w:before="0" w:after="0"/>
        <w:rPr/>
      </w:pPr>
      <w:hyperlink w:anchor="s149FCBE28F3900CCBC1E0F13F39FAE0B">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table below provides advertising expense for periods presented. Advertising costs are included in administrative expenses in the Consolidated Statements of Income:</w:t>
      </w:r>
    </w:p>
    <w:tbl>
      <w:tblPr>
        <w:tblW w:w="10205" w:type="dxa"/>
        <w:jc w:val="left"/>
        <w:tblInd w:w="0" w:type="dxa"/>
        <w:tblCellMar>
          <w:top w:w="0" w:type="dxa"/>
          <w:left w:w="0" w:type="dxa"/>
          <w:bottom w:w="0" w:type="dxa"/>
          <w:right w:w="0" w:type="dxa"/>
        </w:tblCellMar>
      </w:tblPr>
      <w:tblGrid>
        <w:gridCol w:w="5685"/>
        <w:gridCol w:w="159"/>
        <w:gridCol w:w="1118"/>
        <w:gridCol w:w="99"/>
        <w:gridCol w:w="137"/>
        <w:gridCol w:w="179"/>
        <w:gridCol w:w="1194"/>
        <w:gridCol w:w="104"/>
        <w:gridCol w:w="137"/>
        <w:gridCol w:w="159"/>
        <w:gridCol w:w="1118"/>
        <w:gridCol w:w="11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68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85" w:type="dxa"/>
            <w:tcBorders/>
            <w:shd w:fill="auto" w:val="clear"/>
            <w:vAlign w:val="center"/>
          </w:tcPr>
          <w:p>
            <w:pPr>
              <w:pStyle w:val="TableContents"/>
              <w:spacing w:before="0" w:after="0"/>
              <w:ind w:left="0" w:right="0" w:firstLine="30"/>
              <w:jc w:val="left"/>
              <w:rPr/>
            </w:pPr>
            <w:r>
              <w:rPr/>
              <w:t> </w:t>
            </w:r>
          </w:p>
        </w:tc>
        <w:tc>
          <w:tcPr>
            <w:tcW w:w="452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685" w:type="dxa"/>
            <w:tcBorders/>
            <w:shd w:fill="auto" w:val="clear"/>
            <w:vAlign w:val="center"/>
          </w:tcPr>
          <w:p>
            <w:pPr>
              <w:pStyle w:val="TableContents"/>
              <w:spacing w:before="0" w:after="0"/>
              <w:ind w:left="0" w:right="0" w:firstLine="30"/>
              <w:jc w:val="left"/>
              <w:rPr/>
            </w:pPr>
            <w:r>
              <w:rPr/>
              <w:t> </w:t>
            </w:r>
          </w:p>
        </w:tc>
        <w:tc>
          <w:tcPr>
            <w:tcW w:w="13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7" w:type="dxa"/>
            <w:tcBorders/>
            <w:shd w:fill="auto" w:val="clear"/>
            <w:vAlign w:val="center"/>
          </w:tcPr>
          <w:p>
            <w:pPr>
              <w:pStyle w:val="TableContents"/>
              <w:spacing w:before="0" w:after="0"/>
              <w:ind w:left="0" w:right="0" w:firstLine="30"/>
              <w:rPr/>
            </w:pPr>
            <w:r>
              <w:rPr/>
              <w:t> </w:t>
            </w:r>
          </w:p>
        </w:tc>
        <w:tc>
          <w:tcPr>
            <w:tcW w:w="14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7" w:type="dxa"/>
            <w:tcBorders/>
            <w:shd w:fill="auto" w:val="clear"/>
            <w:vAlign w:val="center"/>
          </w:tcPr>
          <w:p>
            <w:pPr>
              <w:pStyle w:val="TableContents"/>
              <w:spacing w:before="0" w:after="0"/>
              <w:ind w:left="0" w:right="0" w:firstLine="30"/>
              <w:rPr/>
            </w:pPr>
            <w:r>
              <w:rPr/>
              <w:t> </w:t>
            </w:r>
          </w:p>
        </w:tc>
        <w:tc>
          <w:tcPr>
            <w:tcW w:w="13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r>
      <w:tr>
        <w:trPr/>
        <w:tc>
          <w:tcPr>
            <w:tcW w:w="5685" w:type="dxa"/>
            <w:tcBorders/>
            <w:shd w:fill="auto" w:val="clear"/>
            <w:vAlign w:val="center"/>
          </w:tcPr>
          <w:p>
            <w:pPr>
              <w:pStyle w:val="TableContents"/>
              <w:spacing w:before="0" w:after="0"/>
              <w:ind w:left="0" w:right="0" w:firstLine="30"/>
              <w:jc w:val="left"/>
              <w:rPr/>
            </w:pPr>
            <w:r>
              <w:rPr/>
              <w:t> </w:t>
            </w:r>
          </w:p>
        </w:tc>
        <w:tc>
          <w:tcPr>
            <w:tcW w:w="1376" w:type="dxa"/>
            <w:gridSpan w:val="3"/>
            <w:tcBorders/>
            <w:shd w:fill="auto" w:val="clear"/>
            <w:vAlign w:val="center"/>
          </w:tcPr>
          <w:p>
            <w:pPr>
              <w:pStyle w:val="TableContents"/>
              <w:spacing w:before="0" w:after="0"/>
              <w:ind w:left="0" w:right="0" w:firstLine="30"/>
              <w:jc w:val="left"/>
              <w:rPr/>
            </w:pPr>
            <w:r>
              <w:rPr/>
              <w:t> </w:t>
            </w:r>
          </w:p>
        </w:tc>
        <w:tc>
          <w:tcPr>
            <w:tcW w:w="137" w:type="dxa"/>
            <w:tcBorders/>
            <w:shd w:fill="auto" w:val="clear"/>
            <w:vAlign w:val="center"/>
          </w:tcPr>
          <w:p>
            <w:pPr>
              <w:pStyle w:val="TableContents"/>
              <w:spacing w:before="0" w:after="0"/>
              <w:ind w:left="0" w:right="0" w:firstLine="30"/>
              <w:rPr/>
            </w:pPr>
            <w:r>
              <w:rPr/>
              <w:t> </w:t>
            </w:r>
          </w:p>
        </w:tc>
        <w:tc>
          <w:tcPr>
            <w:tcW w:w="1477"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37" w:type="dxa"/>
            <w:tcBorders/>
            <w:shd w:fill="auto" w:val="clear"/>
            <w:vAlign w:val="center"/>
          </w:tcPr>
          <w:p>
            <w:pPr>
              <w:pStyle w:val="TableContents"/>
              <w:spacing w:before="0" w:after="0"/>
              <w:ind w:left="0" w:right="0" w:firstLine="30"/>
              <w:rPr/>
            </w:pPr>
            <w:r>
              <w:rPr/>
              <w:t> </w:t>
            </w:r>
          </w:p>
        </w:tc>
        <w:tc>
          <w:tcPr>
            <w:tcW w:w="1393" w:type="dxa"/>
            <w:gridSpan w:val="3"/>
            <w:tcBorders/>
            <w:shd w:fill="auto" w:val="clear"/>
            <w:vAlign w:val="center"/>
          </w:tcPr>
          <w:p>
            <w:pPr>
              <w:pStyle w:val="TableContents"/>
              <w:spacing w:before="0" w:after="0"/>
              <w:ind w:left="0" w:right="0" w:firstLine="30"/>
              <w:jc w:val="left"/>
              <w:rPr/>
            </w:pPr>
            <w:r>
              <w:rPr/>
              <w:t> </w:t>
            </w:r>
          </w:p>
        </w:tc>
      </w:tr>
      <w:tr>
        <w:trPr/>
        <w:tc>
          <w:tcPr>
            <w:tcW w:w="56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Advertising Expense</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8" w:type="dxa"/>
            <w:tcBorders/>
            <w:shd w:fill="CCEEFF" w:val="clear"/>
            <w:vAlign w:val="center"/>
          </w:tcPr>
          <w:p>
            <w:pPr>
              <w:pStyle w:val="TableContents"/>
              <w:spacing w:before="0" w:after="0"/>
              <w:jc w:val="right"/>
              <w:rPr>
                <w:rFonts w:ascii="inherit" w:hAnsi="inherit"/>
                <w:sz w:val="17"/>
              </w:rPr>
            </w:pPr>
            <w:r>
              <w:rPr>
                <w:rFonts w:ascii="inherit" w:hAnsi="inherit"/>
                <w:sz w:val="17"/>
              </w:rPr>
              <w:t>5,910</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4" w:type="dxa"/>
            <w:tcBorders/>
            <w:shd w:fill="CCEEFF" w:val="clear"/>
            <w:vAlign w:val="center"/>
          </w:tcPr>
          <w:p>
            <w:pPr>
              <w:pStyle w:val="TableContents"/>
              <w:spacing w:before="0" w:after="0"/>
              <w:jc w:val="right"/>
              <w:rPr>
                <w:rFonts w:ascii="inherit" w:hAnsi="inherit"/>
                <w:sz w:val="17"/>
              </w:rPr>
            </w:pPr>
            <w:r>
              <w:rPr>
                <w:rFonts w:ascii="inherit" w:hAnsi="inherit"/>
                <w:sz w:val="17"/>
              </w:rPr>
              <w:t>3,577</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8" w:type="dxa"/>
            <w:tcBorders/>
            <w:shd w:fill="CCEEFF" w:val="clear"/>
            <w:vAlign w:val="center"/>
          </w:tcPr>
          <w:p>
            <w:pPr>
              <w:pStyle w:val="TableContents"/>
              <w:spacing w:before="0" w:after="0"/>
              <w:jc w:val="right"/>
              <w:rPr>
                <w:rFonts w:ascii="inherit" w:hAnsi="inherit"/>
                <w:sz w:val="17"/>
              </w:rPr>
            </w:pPr>
            <w:r>
              <w:rPr>
                <w:rFonts w:ascii="inherit" w:hAnsi="inherit"/>
                <w:sz w:val="17"/>
              </w:rPr>
              <w:t>2,205</w:t>
            </w:r>
          </w:p>
        </w:tc>
        <w:tc>
          <w:tcPr>
            <w:tcW w:w="11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r>
        <w:rPr>
          <w:rFonts w:ascii="inherit" w:hAnsi="inherit"/>
          <w:b/>
          <w:sz w:val="17"/>
        </w:rPr>
        <w:t>Other Supplemental Information</w:t>
      </w:r>
    </w:p>
    <w:tbl>
      <w:tblPr>
        <w:tblW w:w="10205" w:type="dxa"/>
        <w:jc w:val="left"/>
        <w:tblInd w:w="0" w:type="dxa"/>
        <w:tblCellMar>
          <w:top w:w="0" w:type="dxa"/>
          <w:left w:w="0" w:type="dxa"/>
          <w:bottom w:w="0" w:type="dxa"/>
          <w:right w:w="0" w:type="dxa"/>
        </w:tblCellMar>
      </w:tblPr>
      <w:tblGrid>
        <w:gridCol w:w="7421"/>
        <w:gridCol w:w="125"/>
        <w:gridCol w:w="1103"/>
        <w:gridCol w:w="102"/>
        <w:gridCol w:w="117"/>
        <w:gridCol w:w="125"/>
        <w:gridCol w:w="1103"/>
        <w:gridCol w:w="10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42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421" w:type="dxa"/>
            <w:tcBorders/>
            <w:shd w:fill="auto" w:val="clear"/>
            <w:vAlign w:val="center"/>
          </w:tcPr>
          <w:p>
            <w:pPr>
              <w:pStyle w:val="TableContents"/>
              <w:spacing w:before="0" w:after="0"/>
              <w:ind w:left="0" w:right="0" w:firstLine="30"/>
              <w:jc w:val="left"/>
              <w:rPr/>
            </w:pPr>
            <w:r>
              <w:rPr/>
              <w:t> </w:t>
            </w:r>
          </w:p>
        </w:tc>
        <w:tc>
          <w:tcPr>
            <w:tcW w:w="278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7421" w:type="dxa"/>
            <w:tcBorders/>
            <w:shd w:fill="auto" w:val="clear"/>
            <w:vAlign w:val="center"/>
          </w:tcPr>
          <w:p>
            <w:pPr>
              <w:pStyle w:val="TableContents"/>
              <w:spacing w:before="0" w:after="0"/>
              <w:ind w:left="0" w:right="0" w:firstLine="30"/>
              <w:jc w:val="left"/>
              <w:rPr/>
            </w:pPr>
            <w:r>
              <w:rPr/>
              <w:t> </w:t>
            </w:r>
          </w:p>
        </w:tc>
        <w:tc>
          <w:tcPr>
            <w:tcW w:w="13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7" w:type="dxa"/>
            <w:tcBorders/>
            <w:shd w:fill="auto" w:val="clear"/>
            <w:vAlign w:val="center"/>
          </w:tcPr>
          <w:p>
            <w:pPr>
              <w:pStyle w:val="TableContents"/>
              <w:spacing w:before="0" w:after="0"/>
              <w:ind w:left="0" w:right="0" w:firstLine="30"/>
              <w:rPr/>
            </w:pPr>
            <w:r>
              <w:rPr/>
              <w:t> </w:t>
            </w:r>
          </w:p>
        </w:tc>
        <w:tc>
          <w:tcPr>
            <w:tcW w:w="13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421" w:type="dxa"/>
            <w:tcBorders/>
            <w:shd w:fill="auto" w:val="clear"/>
            <w:vAlign w:val="center"/>
          </w:tcPr>
          <w:p>
            <w:pPr>
              <w:pStyle w:val="TableContents"/>
              <w:spacing w:before="0" w:after="0"/>
              <w:ind w:left="0" w:right="0" w:firstLine="30"/>
              <w:jc w:val="left"/>
              <w:rPr/>
            </w:pPr>
            <w:r>
              <w:rPr/>
              <w:t> </w:t>
            </w:r>
          </w:p>
        </w:tc>
        <w:tc>
          <w:tcPr>
            <w:tcW w:w="278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42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Loans:</w:t>
            </w:r>
          </w:p>
        </w:tc>
        <w:tc>
          <w:tcPr>
            <w:tcW w:w="1330" w:type="dxa"/>
            <w:gridSpan w:val="3"/>
            <w:tcBorders/>
            <w:shd w:fill="CCEEFF" w:val="clear"/>
            <w:vAlign w:val="center"/>
          </w:tcPr>
          <w:p>
            <w:pPr>
              <w:pStyle w:val="TableContents"/>
              <w:spacing w:before="0" w:after="0"/>
              <w:ind w:left="0" w:right="0" w:firstLine="30"/>
              <w:jc w:val="left"/>
              <w:rPr/>
            </w:pPr>
            <w:r>
              <w:rPr/>
              <w:t> </w:t>
            </w:r>
          </w:p>
        </w:tc>
        <w:tc>
          <w:tcPr>
            <w:tcW w:w="117" w:type="dxa"/>
            <w:tcBorders/>
            <w:shd w:fill="CCEEFF" w:val="clear"/>
            <w:vAlign w:val="center"/>
          </w:tcPr>
          <w:p>
            <w:pPr>
              <w:pStyle w:val="TableContents"/>
              <w:spacing w:before="0" w:after="0"/>
              <w:ind w:left="0" w:right="0" w:firstLine="30"/>
              <w:rPr/>
            </w:pPr>
            <w:r>
              <w:rPr/>
              <w:t> </w:t>
            </w:r>
          </w:p>
        </w:tc>
        <w:tc>
          <w:tcPr>
            <w:tcW w:w="1337" w:type="dxa"/>
            <w:gridSpan w:val="3"/>
            <w:tcBorders/>
            <w:shd w:fill="CCEEFF" w:val="clear"/>
            <w:vAlign w:val="center"/>
          </w:tcPr>
          <w:p>
            <w:pPr>
              <w:pStyle w:val="TableContents"/>
              <w:spacing w:before="0" w:after="0"/>
              <w:ind w:left="0" w:right="0" w:firstLine="30"/>
              <w:jc w:val="left"/>
              <w:rPr/>
            </w:pPr>
            <w:r>
              <w:rPr/>
              <w:t> </w:t>
            </w:r>
          </w:p>
        </w:tc>
      </w:tr>
      <w:tr>
        <w:trPr/>
        <w:tc>
          <w:tcPr>
            <w:tcW w:w="74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Expected LOC losses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3" w:type="dxa"/>
            <w:tcBorders/>
            <w:shd w:fill="auto" w:val="clear"/>
            <w:vAlign w:val="center"/>
          </w:tcPr>
          <w:p>
            <w:pPr>
              <w:pStyle w:val="TableContents"/>
              <w:spacing w:before="0" w:after="0"/>
              <w:jc w:val="right"/>
              <w:rPr>
                <w:rFonts w:ascii="inherit" w:hAnsi="inherit"/>
                <w:sz w:val="17"/>
              </w:rPr>
            </w:pPr>
            <w:r>
              <w:rPr>
                <w:rFonts w:ascii="inherit" w:hAnsi="inherit"/>
                <w:sz w:val="17"/>
              </w:rPr>
              <w:t>1,776</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3" w:type="dxa"/>
            <w:tcBorders/>
            <w:shd w:fill="auto" w:val="clear"/>
            <w:vAlign w:val="center"/>
          </w:tcPr>
          <w:p>
            <w:pPr>
              <w:pStyle w:val="TableContents"/>
              <w:spacing w:before="0" w:after="0"/>
              <w:jc w:val="right"/>
              <w:rPr>
                <w:rFonts w:ascii="inherit" w:hAnsi="inherit"/>
                <w:sz w:val="17"/>
              </w:rPr>
            </w:pPr>
            <w:r>
              <w:rPr>
                <w:rFonts w:ascii="inherit" w:hAnsi="inherit"/>
                <w:sz w:val="17"/>
              </w:rPr>
              <w:t>1,795</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Maximum exposure for LOC losses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3" w:type="dxa"/>
            <w:tcBorders/>
            <w:shd w:fill="CCEEFF" w:val="clear"/>
            <w:vAlign w:val="center"/>
          </w:tcPr>
          <w:p>
            <w:pPr>
              <w:pStyle w:val="TableContents"/>
              <w:spacing w:before="0" w:after="0"/>
              <w:jc w:val="right"/>
              <w:rPr>
                <w:rFonts w:ascii="inherit" w:hAnsi="inherit"/>
                <w:sz w:val="17"/>
              </w:rPr>
            </w:pPr>
            <w:r>
              <w:rPr>
                <w:rFonts w:ascii="inherit" w:hAnsi="inherit"/>
                <w:sz w:val="17"/>
              </w:rPr>
              <w:t>27,373</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3" w:type="dxa"/>
            <w:tcBorders/>
            <w:shd w:fill="CCEEFF" w:val="clear"/>
            <w:vAlign w:val="center"/>
          </w:tcPr>
          <w:p>
            <w:pPr>
              <w:pStyle w:val="TableContents"/>
              <w:spacing w:before="0" w:after="0"/>
              <w:jc w:val="right"/>
              <w:rPr>
                <w:rFonts w:ascii="inherit" w:hAnsi="inherit"/>
                <w:sz w:val="17"/>
              </w:rPr>
            </w:pPr>
            <w:r>
              <w:rPr>
                <w:rFonts w:ascii="inherit" w:hAnsi="inherit"/>
                <w:sz w:val="17"/>
              </w:rPr>
              <w:t>30,268</w:t>
            </w:r>
          </w:p>
        </w:tc>
        <w:tc>
          <w:tcPr>
            <w:tcW w:w="10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Valuation and Qualifying Accounts</w:t>
      </w:r>
    </w:p>
    <w:tbl>
      <w:tblPr>
        <w:tblW w:w="10205" w:type="dxa"/>
        <w:jc w:val="left"/>
        <w:tblInd w:w="0" w:type="dxa"/>
        <w:tblCellMar>
          <w:top w:w="0" w:type="dxa"/>
          <w:left w:w="0" w:type="dxa"/>
          <w:bottom w:w="0" w:type="dxa"/>
          <w:right w:w="0" w:type="dxa"/>
        </w:tblCellMar>
      </w:tblPr>
      <w:tblGrid>
        <w:gridCol w:w="2932"/>
        <w:gridCol w:w="168"/>
        <w:gridCol w:w="1084"/>
        <w:gridCol w:w="83"/>
        <w:gridCol w:w="132"/>
        <w:gridCol w:w="166"/>
        <w:gridCol w:w="982"/>
        <w:gridCol w:w="83"/>
        <w:gridCol w:w="132"/>
        <w:gridCol w:w="162"/>
        <w:gridCol w:w="966"/>
        <w:gridCol w:w="149"/>
        <w:gridCol w:w="132"/>
        <w:gridCol w:w="209"/>
        <w:gridCol w:w="1150"/>
        <w:gridCol w:w="92"/>
        <w:gridCol w:w="132"/>
        <w:gridCol w:w="162"/>
        <w:gridCol w:w="1057"/>
        <w:gridCol w:w="232"/>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93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32"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r>
              <w:rPr>
                <w:rFonts w:ascii="inherit" w:hAnsi="inherit"/>
                <w:b/>
                <w:sz w:val="13"/>
              </w:rPr>
              <w:t>Description</w:t>
            </w:r>
          </w:p>
        </w:tc>
        <w:tc>
          <w:tcPr>
            <w:tcW w:w="1335"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at Beginning of Period</w:t>
            </w:r>
          </w:p>
        </w:tc>
        <w:tc>
          <w:tcPr>
            <w:tcW w:w="132" w:type="dxa"/>
            <w:tcBorders/>
            <w:shd w:fill="auto" w:val="clear"/>
            <w:vAlign w:val="center"/>
          </w:tcPr>
          <w:p>
            <w:pPr>
              <w:pStyle w:val="TableContents"/>
              <w:spacing w:before="0" w:after="0"/>
              <w:ind w:left="0" w:right="0" w:firstLine="30"/>
              <w:rPr/>
            </w:pPr>
            <w:r>
              <w:rPr/>
              <w:t> </w:t>
            </w:r>
          </w:p>
        </w:tc>
        <w:tc>
          <w:tcPr>
            <w:tcW w:w="264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Additions</w:t>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Deductions</w:t>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at End of Period</w:t>
            </w:r>
          </w:p>
        </w:tc>
      </w:tr>
      <w:tr>
        <w:trPr/>
        <w:tc>
          <w:tcPr>
            <w:tcW w:w="2932" w:type="dxa"/>
            <w:vMerge w:val="continue"/>
            <w:tcBorders>
              <w:bottom w:val="single" w:sz="2" w:space="0" w:color="000000"/>
            </w:tcBorders>
            <w:shd w:fill="auto" w:val="clear"/>
            <w:tcMar>
              <w:bottom w:w="30" w:type="dxa"/>
            </w:tcMar>
            <w:vAlign w:val="center"/>
          </w:tcPr>
          <w:p>
            <w:pPr>
              <w:pStyle w:val="Normal"/>
              <w:rPr/>
            </w:pPr>
            <w:r>
              <w:rPr/>
            </w:r>
          </w:p>
        </w:tc>
        <w:tc>
          <w:tcPr>
            <w:tcW w:w="1335"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23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Charged to Expense</w:t>
            </w:r>
          </w:p>
        </w:tc>
        <w:tc>
          <w:tcPr>
            <w:tcW w:w="132" w:type="dxa"/>
            <w:tcBorders/>
            <w:shd w:fill="auto" w:val="clear"/>
            <w:vAlign w:val="center"/>
          </w:tcPr>
          <w:p>
            <w:pPr>
              <w:pStyle w:val="TableContents"/>
              <w:spacing w:before="0" w:after="0"/>
              <w:ind w:left="0" w:right="0" w:firstLine="30"/>
              <w:rPr/>
            </w:pPr>
            <w:r>
              <w:rPr/>
              <w:t> </w:t>
            </w:r>
          </w:p>
        </w:tc>
        <w:tc>
          <w:tcPr>
            <w:tcW w:w="1277"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Charged to Other Accts</w:t>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932" w:type="dxa"/>
            <w:vMerge w:val="continue"/>
            <w:tcBorders>
              <w:bottom w:val="single" w:sz="2" w:space="0" w:color="000000"/>
            </w:tcBorders>
            <w:shd w:fill="auto" w:val="clear"/>
            <w:tcMar>
              <w:bottom w:w="30" w:type="dxa"/>
            </w:tcMar>
            <w:vAlign w:val="center"/>
          </w:tcPr>
          <w:p>
            <w:pPr>
              <w:pStyle w:val="Normal"/>
              <w:rPr/>
            </w:pPr>
            <w:r>
              <w:rPr/>
            </w:r>
          </w:p>
        </w:tc>
        <w:tc>
          <w:tcPr>
            <w:tcW w:w="1335"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231"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277"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932" w:type="dxa"/>
            <w:tcBorders/>
            <w:shd w:fill="auto" w:val="clear"/>
            <w:vAlign w:val="center"/>
          </w:tcPr>
          <w:p>
            <w:pPr>
              <w:pStyle w:val="TableContents"/>
              <w:spacing w:before="0" w:after="0"/>
              <w:ind w:left="0" w:right="0" w:firstLine="30"/>
              <w:jc w:val="left"/>
              <w:rPr/>
            </w:pPr>
            <w:r>
              <w:rPr/>
              <w:t> </w:t>
            </w:r>
          </w:p>
        </w:tc>
        <w:tc>
          <w:tcPr>
            <w:tcW w:w="7273"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9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valuation of inventory:</w:t>
            </w:r>
          </w:p>
        </w:tc>
        <w:tc>
          <w:tcPr>
            <w:tcW w:w="1335"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180"/>
              <w:jc w:val="left"/>
              <w:rPr/>
            </w:pPr>
            <w:r>
              <w:rPr/>
              <w:t> </w:t>
            </w:r>
          </w:p>
        </w:tc>
      </w:tr>
      <w:tr>
        <w:trPr/>
        <w:tc>
          <w:tcPr>
            <w:tcW w:w="29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2012</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9,481</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3,907</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5,574</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2011</w:t>
            </w:r>
          </w:p>
        </w:tc>
        <w:tc>
          <w:tcPr>
            <w:tcW w:w="16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5,709</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3,772</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9,481</w:t>
            </w:r>
          </w:p>
        </w:tc>
        <w:tc>
          <w:tcPr>
            <w:tcW w:w="23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2010</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5,719</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5,709</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1335"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180"/>
              <w:jc w:val="left"/>
              <w:rPr/>
            </w:pPr>
            <w:r>
              <w:rPr/>
              <w:t> </w:t>
            </w:r>
          </w:p>
        </w:tc>
      </w:tr>
      <w:tr>
        <w:trPr/>
        <w:tc>
          <w:tcPr>
            <w:tcW w:w="29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2012</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10,720</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707</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11,427</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2011</w:t>
            </w:r>
          </w:p>
        </w:tc>
        <w:tc>
          <w:tcPr>
            <w:tcW w:w="16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9,949</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771</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10,720</w:t>
            </w:r>
          </w:p>
        </w:tc>
        <w:tc>
          <w:tcPr>
            <w:tcW w:w="23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2010</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8,521</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1,428</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9,949</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3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Allowance for uncollectible consumer loan fees receivable:</w:t>
            </w:r>
          </w:p>
        </w:tc>
        <w:tc>
          <w:tcPr>
            <w:tcW w:w="1335"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180"/>
              <w:jc w:val="left"/>
              <w:rPr/>
            </w:pPr>
            <w:r>
              <w:rPr/>
              <w:t> </w:t>
            </w:r>
          </w:p>
        </w:tc>
      </w:tr>
      <w:tr>
        <w:trPr/>
        <w:tc>
          <w:tcPr>
            <w:tcW w:w="29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2012</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571</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3,859</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4,430</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2011</w:t>
            </w:r>
          </w:p>
        </w:tc>
        <w:tc>
          <w:tcPr>
            <w:tcW w:w="16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431</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140</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571</w:t>
            </w:r>
          </w:p>
        </w:tc>
        <w:tc>
          <w:tcPr>
            <w:tcW w:w="23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2010</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482</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431</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valuation of deferred tax assets:</w:t>
            </w:r>
          </w:p>
        </w:tc>
        <w:tc>
          <w:tcPr>
            <w:tcW w:w="1335"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180"/>
              <w:jc w:val="left"/>
              <w:rPr/>
            </w:pPr>
            <w:r>
              <w:rPr/>
              <w:t> </w:t>
            </w:r>
          </w:p>
        </w:tc>
      </w:tr>
      <w:tr>
        <w:trPr/>
        <w:tc>
          <w:tcPr>
            <w:tcW w:w="29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2012</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1,425</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817</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2,242</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2011</w:t>
            </w:r>
          </w:p>
        </w:tc>
        <w:tc>
          <w:tcPr>
            <w:tcW w:w="16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1,273</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152</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1,425</w:t>
            </w:r>
          </w:p>
        </w:tc>
        <w:tc>
          <w:tcPr>
            <w:tcW w:w="23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2010</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1,273</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1,273</w:t>
            </w:r>
          </w:p>
        </w:tc>
        <w:tc>
          <w:tcPr>
            <w:tcW w:w="232"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87" w:name="s243D41BD4C7D04B23BDB0F13B7832671"/>
      <w:bookmarkEnd w:id="87"/>
      <w:r>
        <w:rPr>
          <w:rFonts w:ascii="inherit" w:hAnsi="inherit"/>
          <w:b/>
          <w:sz w:val="17"/>
        </w:rPr>
        <w:t>NOTE 25: SUBSEQUENT EVENTS</w:t>
      </w:r>
    </w:p>
    <w:p>
      <w:pPr>
        <w:pStyle w:val="TextBody"/>
        <w:spacing w:lineRule="auto" w:line="288" w:before="0" w:after="0"/>
        <w:jc w:val="left"/>
        <w:rPr>
          <w:sz w:val="17"/>
        </w:rPr>
      </w:pPr>
      <w:r>
        <w:rPr>
          <w:rFonts w:ascii="inherit" w:hAnsi="inherit"/>
          <w:sz w:val="17"/>
        </w:rPr>
        <w:t xml:space="preserve">Effective November 13, 2012, we increased our ownership in Cash Genie from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95%</w:t>
      </w:r>
      <w:r>
        <w:rPr>
          <w:sz w:val="17"/>
        </w:rPr>
        <w:t xml:space="preserve"> </w:t>
      </w:r>
      <w:r>
        <w:rPr>
          <w:rFonts w:ascii="inherit" w:hAnsi="inherit"/>
          <w:sz w:val="17"/>
        </w:rPr>
        <w:t xml:space="preserve">as a result of one of the selling shareholders exercising their put option. Pursuant to the terms of the put option agreement, the additional </w:t>
      </w:r>
      <w:r>
        <w:rPr>
          <w:rFonts w:ascii="inherit" w:hAnsi="inherit"/>
          <w:strike w:val="false"/>
          <w:dstrike w:val="false"/>
          <w:color w:val="000000"/>
          <w:sz w:val="17"/>
          <w:u w:val="none"/>
          <w:effect w:val="none"/>
        </w:rPr>
        <w:t>23%</w:t>
      </w:r>
      <w:r>
        <w:rPr>
          <w:sz w:val="17"/>
        </w:rPr>
        <w:t xml:space="preserve"> </w:t>
      </w:r>
      <w:r>
        <w:rPr>
          <w:rFonts w:ascii="inherit" w:hAnsi="inherit"/>
          <w:sz w:val="17"/>
        </w:rPr>
        <w:t xml:space="preserve">ownership was acquired in exchange for </w:t>
      </w:r>
      <w:r>
        <w:rPr>
          <w:rFonts w:ascii="inherit" w:hAnsi="inherit"/>
          <w:strike w:val="false"/>
          <w:dstrike w:val="false"/>
          <w:color w:val="000000"/>
          <w:sz w:val="17"/>
          <w:u w:val="none"/>
          <w:effect w:val="none"/>
        </w:rPr>
        <w:t>592,461</w:t>
      </w:r>
      <w:r>
        <w:rPr>
          <w:sz w:val="17"/>
        </w:rPr>
        <w:t xml:space="preserve"> </w:t>
      </w:r>
      <w:r>
        <w:rPr>
          <w:rFonts w:ascii="inherit" w:hAnsi="inherit"/>
          <w:sz w:val="17"/>
        </w:rPr>
        <w:t xml:space="preserve">shares of newly issued Class A Non-voting stock of EZCORP, Inc. valued at </w:t>
      </w:r>
      <w:r>
        <w:rPr>
          <w:rFonts w:ascii="inherit" w:hAnsi="inherit"/>
          <w:strike w:val="false"/>
          <w:dstrike w:val="false"/>
          <w:color w:val="000000"/>
          <w:sz w:val="17"/>
          <w:u w:val="none"/>
          <w:effect w:val="none"/>
        </w:rPr>
        <w:t>$10.4 million</w:t>
      </w:r>
      <w:r>
        <w:rPr>
          <w:rFonts w:ascii="inherit" w:hAnsi="inherit"/>
          <w:sz w:val="17"/>
        </w:rPr>
        <w:t>. Those shares were issued pursuant to the company's “shelf” registration statement on Form S-4.</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92</w:t>
      </w:r>
      <w:r>
        <w:br w:type="page"/>
      </w:r>
    </w:p>
    <w:p>
      <w:pPr>
        <w:pStyle w:val="TextBody"/>
        <w:spacing w:before="0" w:after="0"/>
        <w:rPr/>
      </w:pPr>
      <w:r>
        <w:rPr/>
      </w:r>
      <w:bookmarkStart w:id="88" w:name="s488cd42d914f4e4c9a7a4e0b6a17d826"/>
      <w:bookmarkStart w:id="89" w:name="s488cd42d914f4e4c9a7a4e0b6a17d826"/>
      <w:bookmarkEnd w:id="89"/>
    </w:p>
    <w:p>
      <w:pPr>
        <w:pStyle w:val="TextBody"/>
        <w:spacing w:lineRule="auto" w:line="288" w:before="0" w:after="0"/>
        <w:jc w:val="left"/>
        <w:rPr>
          <w:rFonts w:ascii="inherit" w:hAnsi="inherit"/>
          <w:b/>
          <w:sz w:val="17"/>
        </w:rPr>
      </w:pPr>
      <w:r>
        <w:rPr>
          <w:rFonts w:ascii="inherit" w:hAnsi="inherit"/>
          <w:b/>
          <w:sz w:val="17"/>
        </w:rPr>
        <w:t>ITEM 9. CHANGES IN AND DISAGREEMENTS WITH ACCOUNTANTS ON ACCOUNTING AND FINANCIAL DISCLOSURE</w:t>
      </w:r>
    </w:p>
    <w:p>
      <w:pPr>
        <w:pStyle w:val="TextBody"/>
        <w:spacing w:lineRule="auto" w:line="288" w:before="0" w:after="0"/>
        <w:jc w:val="left"/>
        <w:rPr>
          <w:rFonts w:ascii="inherit" w:hAnsi="inherit"/>
          <w:sz w:val="17"/>
        </w:rPr>
      </w:pPr>
      <w:r>
        <w:rPr>
          <w:rFonts w:ascii="inherit" w:hAnsi="inherit"/>
          <w:sz w:val="17"/>
        </w:rPr>
        <w:t>None.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90" w:name="sfe7c39bc656e4bdeac08e357f41683db"/>
      <w:bookmarkEnd w:id="90"/>
      <w:r>
        <w:rPr>
          <w:rFonts w:ascii="inherit" w:hAnsi="inherit"/>
          <w:b/>
          <w:sz w:val="17"/>
        </w:rPr>
        <w:t>ITEM 9A. CONTROLS AND PROCEDURES</w:t>
      </w:r>
    </w:p>
    <w:p>
      <w:pPr>
        <w:pStyle w:val="TextBody"/>
        <w:spacing w:lineRule="auto" w:line="288" w:before="0" w:after="0"/>
        <w:jc w:val="left"/>
        <w:rPr>
          <w:rFonts w:ascii="inherit" w:hAnsi="inherit"/>
          <w:b/>
          <w:sz w:val="17"/>
        </w:rPr>
      </w:pPr>
      <w:r>
        <w:rPr>
          <w:rFonts w:ascii="inherit" w:hAnsi="inherit"/>
          <w:b/>
          <w:sz w:val="17"/>
        </w:rPr>
        <w:t>Evaluation of Disclosure Controls and Procedures</w:t>
      </w:r>
    </w:p>
    <w:p>
      <w:pPr>
        <w:pStyle w:val="TextBody"/>
        <w:spacing w:lineRule="auto" w:line="288" w:before="0" w:after="0"/>
        <w:jc w:val="left"/>
        <w:rPr>
          <w:sz w:val="17"/>
        </w:rPr>
      </w:pPr>
      <w:r>
        <w:rPr>
          <w:rFonts w:ascii="inherit" w:hAnsi="inherit"/>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w:t>
      </w:r>
      <w:r>
        <w:rPr>
          <w:rFonts w:ascii="inherit" w:hAnsi="inherit"/>
          <w:strike w:val="false"/>
          <w:dstrike w:val="false"/>
          <w:color w:val="000000"/>
          <w:sz w:val="17"/>
          <w:u w:val="none"/>
          <w:effect w:val="none"/>
        </w:rPr>
        <w:t>September 30, 2012</w:t>
      </w:r>
      <w:r>
        <w:rPr>
          <w:rFonts w:ascii="inherit" w:hAnsi="inherit"/>
          <w:sz w:val="17"/>
        </w:rPr>
        <w:t xml:space="preserve">. Based on that evaluation, our Chief Executive Officer and Chief Financial Officer concluded that our disclosure controls and procedures were effective as of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jc w:val="left"/>
        <w:rPr>
          <w:rFonts w:ascii="inherit" w:hAnsi="inherit"/>
          <w:b/>
          <w:sz w:val="17"/>
        </w:rPr>
      </w:pPr>
      <w:r>
        <w:rPr>
          <w:rFonts w:ascii="inherit" w:hAnsi="inherit"/>
          <w:b/>
          <w:sz w:val="17"/>
        </w:rPr>
        <w:t>Management’s Report on Internal Control Over Financial Reporting</w:t>
      </w:r>
    </w:p>
    <w:p>
      <w:pPr>
        <w:pStyle w:val="TextBody"/>
        <w:spacing w:lineRule="auto" w:line="288" w:before="0" w:after="0"/>
        <w:jc w:val="left"/>
        <w:rPr>
          <w:rFonts w:ascii="inherit" w:hAnsi="inherit"/>
          <w:sz w:val="17"/>
        </w:rPr>
      </w:pPr>
      <w:r>
        <w:rPr>
          <w:rFonts w:ascii="inherit" w:hAnsi="inherit"/>
          <w:sz w:val="17"/>
        </w:rPr>
        <w:t>Management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Securities Exchange Act) is a process designed to provide reasonable assurance regarding the reliability of financial reporting and the preparation of financial statements for external reporting purposes in accordance with generally accepted accounting principles in the United States of America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pStyle w:val="TextBody"/>
        <w:spacing w:lineRule="auto" w:line="288" w:before="0" w:after="0"/>
        <w:jc w:val="left"/>
        <w:rPr>
          <w:rFonts w:ascii="inherit" w:hAnsi="inherit"/>
          <w:sz w:val="17"/>
        </w:rPr>
      </w:pPr>
      <w:r>
        <w:rPr>
          <w:rFonts w:ascii="inherit" w:hAnsi="inherit"/>
          <w:sz w:val="17"/>
        </w:rPr>
        <w:t>Under the supervision and with the participation of our Chief Executive Officer and Chief Financial Officer, our management has assessed the effectiveness of our internal control over financial reporting as of September 30, 2012. To make this assessment, management utilized the criteria for effective internal control over financial reporting described in “Internal Control — Integrated Framework” issued by the Committee of Sponsoring Organizations of the Treadway Commission. Based on this assessment, management has concluded that our internal control over financial reporting was effective as of September 30, 2012.</w:t>
      </w:r>
    </w:p>
    <w:p>
      <w:pPr>
        <w:pStyle w:val="TextBody"/>
        <w:spacing w:lineRule="auto" w:line="288" w:before="0" w:after="0"/>
        <w:jc w:val="left"/>
        <w:rPr>
          <w:rFonts w:ascii="inherit" w:hAnsi="inherit"/>
          <w:sz w:val="17"/>
        </w:rPr>
      </w:pPr>
      <w:r>
        <w:rPr>
          <w:rFonts w:ascii="inherit" w:hAnsi="inherit"/>
          <w:sz w:val="17"/>
        </w:rPr>
        <w:t xml:space="preserve">In accordance with guidance issued by the SEC, companies are permitted to exclude acquisitions from their final assessment of internal control over financial reporting for the fiscal year in which the acquisition occurred. Management’s evaluation of internal control over financial reporting excluded the internal control activities of Crediamigo and Cash Genie. Crediamigo represented approximately 2.8% of consolidated revenues and approximately 11.2% of consolidated net income for the year ended September 30, 2012 and approximately 20.2% of total assets and approximately 16.7% of net assets as of September 30, 2012. Cash Genie represented approximately 1.0% of consolidated revenues and approximately 0.3% of consolidated net income for the year ended September 30, 2012 and approximately 4.2% of total assets and approximately 5.0% of net assets as of September 30, 2012. </w:t>
      </w:r>
    </w:p>
    <w:p>
      <w:pPr>
        <w:pStyle w:val="TextBody"/>
        <w:spacing w:lineRule="auto" w:line="288" w:before="0" w:after="0"/>
        <w:jc w:val="left"/>
        <w:rPr>
          <w:rFonts w:ascii="inherit" w:hAnsi="inherit"/>
          <w:sz w:val="17"/>
        </w:rPr>
      </w:pPr>
      <w:r>
        <w:rPr>
          <w:rFonts w:ascii="inherit" w:hAnsi="inherit"/>
          <w:sz w:val="17"/>
        </w:rPr>
        <w:t>Our internal control over financial reporting as of September 30, 2012 has been audited by BDO USA, LLP, the independent registered public accounting firm that audited our financial statements included in this report, and their report follows immediately.</w:t>
      </w:r>
    </w:p>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91" w:name="sbb98c4437d1846b0a5bde6ef59fbb81a"/>
      <w:bookmarkStart w:id="92" w:name="sbb98c4437d1846b0a5bde6ef59fbb81a"/>
      <w:bookmarkEnd w:id="92"/>
    </w:p>
    <w:p>
      <w:pPr>
        <w:pStyle w:val="TextBody"/>
        <w:spacing w:lineRule="auto" w:line="288" w:before="0" w:after="0"/>
        <w:jc w:val="left"/>
        <w:rPr>
          <w:rFonts w:ascii="inherit" w:hAnsi="inherit"/>
          <w:b/>
          <w:sz w:val="16"/>
        </w:rPr>
      </w:pPr>
      <w:r>
        <w:rPr>
          <w:rFonts w:ascii="inherit" w:hAnsi="inherit"/>
          <w:b/>
          <w:sz w:val="16"/>
        </w:rPr>
        <w:t xml:space="preserve">Report of Independent Registered Public Accounting Firm </w:t>
      </w:r>
    </w:p>
    <w:p>
      <w:pPr>
        <w:pStyle w:val="TextBody"/>
        <w:spacing w:lineRule="auto" w:line="288" w:before="0" w:after="0"/>
        <w:jc w:val="both"/>
        <w:rPr>
          <w:rFonts w:ascii="inherit" w:hAnsi="inherit"/>
          <w:sz w:val="16"/>
        </w:rPr>
      </w:pPr>
      <w:r>
        <w:rPr>
          <w:rFonts w:ascii="inherit" w:hAnsi="inherit"/>
          <w:sz w:val="16"/>
        </w:rPr>
        <w:t>Board of Directors and Stockholders</w:t>
      </w:r>
    </w:p>
    <w:p>
      <w:pPr>
        <w:pStyle w:val="TextBody"/>
        <w:spacing w:lineRule="auto" w:line="288" w:before="0" w:after="0"/>
        <w:jc w:val="both"/>
        <w:rPr>
          <w:rFonts w:ascii="inherit" w:hAnsi="inherit"/>
          <w:sz w:val="16"/>
        </w:rPr>
      </w:pPr>
      <w:r>
        <w:rPr>
          <w:rFonts w:ascii="inherit" w:hAnsi="inherit"/>
          <w:sz w:val="16"/>
        </w:rPr>
        <w:t>EZCORP, Inc.</w:t>
      </w:r>
    </w:p>
    <w:p>
      <w:pPr>
        <w:pStyle w:val="TextBody"/>
        <w:spacing w:lineRule="auto" w:line="288" w:before="0" w:after="0"/>
        <w:jc w:val="both"/>
        <w:rPr>
          <w:rFonts w:ascii="inherit" w:hAnsi="inherit"/>
          <w:sz w:val="16"/>
        </w:rPr>
      </w:pPr>
      <w:r>
        <w:rPr>
          <w:rFonts w:ascii="inherit" w:hAnsi="inherit"/>
          <w:sz w:val="16"/>
        </w:rPr>
        <w:t>Austin, Texas</w:t>
      </w:r>
    </w:p>
    <w:p>
      <w:pPr>
        <w:pStyle w:val="TextBody"/>
        <w:spacing w:lineRule="auto" w:line="288" w:before="0" w:after="0"/>
        <w:jc w:val="both"/>
        <w:rPr>
          <w:sz w:val="16"/>
        </w:rPr>
      </w:pPr>
      <w:r>
        <w:rPr>
          <w:rFonts w:ascii="inherit" w:hAnsi="inherit"/>
          <w:sz w:val="16"/>
        </w:rPr>
        <w:t xml:space="preserve">We have audited EZCORP, Inc’s internal control over financial reporting as of September 30, 2012, based on criteria established in </w:t>
      </w:r>
      <w:r>
        <w:rPr>
          <w:rFonts w:ascii="inherit" w:hAnsi="inherit"/>
          <w:i/>
          <w:sz w:val="16"/>
        </w:rPr>
        <w:t>Internal Control - Integrated Framework</w:t>
      </w:r>
      <w:r>
        <w:rPr>
          <w:sz w:val="16"/>
        </w:rPr>
        <w:t xml:space="preserve"> </w:t>
      </w:r>
      <w:r>
        <w:rPr>
          <w:rFonts w:ascii="inherit" w:hAnsi="inherit"/>
          <w:sz w:val="16"/>
        </w:rPr>
        <w:t>issued by the Committee of Sponsoring Organizations of the Treadway Commission (the COSO criteria). EZCORP’s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pStyle w:val="TextBody"/>
        <w:spacing w:lineRule="auto" w:line="288" w:before="0" w:after="0"/>
        <w:jc w:val="both"/>
        <w:rPr>
          <w:rFonts w:ascii="inherit" w:hAnsi="inherit"/>
          <w:sz w:val="16"/>
        </w:rPr>
      </w:pPr>
      <w:r>
        <w:rPr>
          <w:rFonts w:ascii="inherit" w:hAnsi="inherit"/>
          <w:sz w:val="16"/>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spacing w:lineRule="auto" w:line="288" w:before="0" w:after="0"/>
        <w:jc w:val="both"/>
        <w:rPr>
          <w:rFonts w:ascii="inherit" w:hAnsi="inherit"/>
          <w:sz w:val="16"/>
        </w:rPr>
      </w:pPr>
      <w:r>
        <w:rPr>
          <w:rFonts w:ascii="inherit" w:hAnsi="inherit"/>
          <w:sz w:val="16"/>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0" w:after="0"/>
        <w:jc w:val="both"/>
        <w:rPr>
          <w:rFonts w:ascii="inherit" w:hAnsi="inherit"/>
          <w:sz w:val="16"/>
        </w:rPr>
      </w:pPr>
      <w:r>
        <w:rPr>
          <w:rFonts w:ascii="inherit" w:hAnsi="inherit"/>
          <w:sz w:val="16"/>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0"/>
        <w:jc w:val="both"/>
        <w:rPr>
          <w:rFonts w:ascii="inherit" w:hAnsi="inherit"/>
          <w:sz w:val="16"/>
        </w:rPr>
      </w:pPr>
      <w:r>
        <w:rPr>
          <w:rFonts w:ascii="inherit" w:hAnsi="inherit"/>
          <w:sz w:val="16"/>
        </w:rPr>
        <w:t>As indicated in the accompanying Item 9A, Management’s Report on Internal Control Over Financial Reporting, management’s assessment of and conclusion on the effectiveness of internal control over financial reporting did not include the internal controls of Crediamigo and Cash Genie, which were acquired on January 30, 2012, and April 14, 2012, respectively, and which are included in the consolidated balance sheets of EZCORP, Inc. as of September 30, 2012, and the related consolidated statements of operations and comprehensive income, stockholders’ equity, and cash flows for the year then ended. Crediamigo constituted 20.2% and 16.7% of total assets and net assets, respectively, as of September 30, 2012, and 2.8% and 11.2% of revenues and net income, respectively, for the year then ended. Cash Genie constituted 4.2% and 5.0% of total assets and net assets, respectively, as of September 30, 2012, and 1.0% and 0.3% of revenues and net income, respectively, for the year then ended. Management did not assess the effectiveness of internal control over financial reporting of Crediamigo and Cash Genie because of the timing of the acquisitions which were completed on January 30, 2012, and April 14, 2012, respectively. Our audit of internal control over financial reporting of EZCORP, Inc. also did not include an evaluation of the internal control over financial reporting of Crediamigo and Cash Genie.</w:t>
      </w:r>
    </w:p>
    <w:p>
      <w:pPr>
        <w:pStyle w:val="TextBody"/>
        <w:spacing w:lineRule="auto" w:line="288" w:before="0" w:after="0"/>
        <w:jc w:val="both"/>
        <w:rPr>
          <w:rFonts w:ascii="inherit" w:hAnsi="inherit"/>
          <w:sz w:val="16"/>
        </w:rPr>
      </w:pPr>
      <w:r>
        <w:rPr>
          <w:rFonts w:ascii="inherit" w:hAnsi="inherit"/>
          <w:sz w:val="16"/>
        </w:rPr>
        <w:t xml:space="preserve">In our opinion, EZCORP, Inc. maintained, in all material respects, effective internal control over financial reporting as of September 30, 2012, based on the COSO criteria. </w:t>
      </w:r>
    </w:p>
    <w:p>
      <w:pPr>
        <w:pStyle w:val="TextBody"/>
        <w:spacing w:lineRule="auto" w:line="288" w:before="0" w:after="0"/>
        <w:jc w:val="both"/>
        <w:rPr>
          <w:sz w:val="16"/>
        </w:rPr>
      </w:pPr>
      <w:r>
        <w:rPr>
          <w:rFonts w:ascii="inherit" w:hAnsi="inherit"/>
          <w:sz w:val="16"/>
        </w:rPr>
        <w:t xml:space="preserve">We also have audited, in accordance with the standards of the Public Company Accounting Oversight Board (United States), the consolidated balance sheets of EZCORP, Inc. as of September 30, 2012 and 2011, and the related consolidated statements of operations and comprehensive income, stockholders’ equity, and cash flows for each of the three years in the period ended September 30, 2012, and our report dated November 20, 2012, except for Notes 1, 2, 4, 6, 7, 12, 14, 18, 19 and 23, which are as of </w:t>
      </w:r>
      <w:r>
        <w:rPr>
          <w:rFonts w:ascii="inherit" w:hAnsi="inherit"/>
          <w:strike w:val="false"/>
          <w:dstrike w:val="false"/>
          <w:color w:val="000000"/>
          <w:sz w:val="16"/>
          <w:u w:val="none"/>
          <w:effect w:val="none"/>
        </w:rPr>
        <w:t>October 3, 2013</w:t>
      </w:r>
      <w:r>
        <w:rPr>
          <w:rFonts w:ascii="inherit" w:hAnsi="inherit"/>
          <w:sz w:val="16"/>
        </w:rPr>
        <w:t>, expressed an unqualified opinion thereon.</w:t>
      </w:r>
    </w:p>
    <w:p>
      <w:pPr>
        <w:pStyle w:val="TextBody"/>
        <w:spacing w:lineRule="auto" w:line="288" w:before="0" w:after="0"/>
        <w:jc w:val="both"/>
        <w:rPr>
          <w:rFonts w:ascii="inherit" w:hAnsi="inherit"/>
          <w:sz w:val="16"/>
        </w:rPr>
      </w:pPr>
      <w:r>
        <w:rPr>
          <w:rFonts w:ascii="inherit" w:hAnsi="inherit"/>
          <w:sz w:val="16"/>
        </w:rPr>
      </w:r>
    </w:p>
    <w:p>
      <w:pPr>
        <w:pStyle w:val="TextBody"/>
        <w:spacing w:lineRule="auto" w:line="288" w:before="0" w:after="0"/>
        <w:jc w:val="both"/>
        <w:rPr>
          <w:rFonts w:ascii="inherit" w:hAnsi="inherit"/>
          <w:sz w:val="16"/>
        </w:rPr>
      </w:pPr>
      <w:r>
        <w:rPr>
          <w:rFonts w:ascii="inherit" w:hAnsi="inherit"/>
          <w:sz w:val="16"/>
        </w:rPr>
      </w:r>
    </w:p>
    <w:p>
      <w:pPr>
        <w:pStyle w:val="TextBody"/>
        <w:spacing w:lineRule="auto" w:line="288" w:before="0" w:after="0"/>
        <w:jc w:val="both"/>
        <w:rPr>
          <w:rFonts w:ascii="inherit" w:hAnsi="inherit"/>
          <w:sz w:val="16"/>
        </w:rPr>
      </w:pPr>
      <w:r>
        <w:rPr>
          <w:rFonts w:ascii="inherit" w:hAnsi="inherit"/>
          <w:sz w:val="16"/>
        </w:rPr>
        <w:t>BDO USA, LLP</w:t>
      </w:r>
    </w:p>
    <w:p>
      <w:pPr>
        <w:pStyle w:val="TextBody"/>
        <w:spacing w:lineRule="auto" w:line="288" w:before="0" w:after="0"/>
        <w:jc w:val="both"/>
        <w:rPr>
          <w:rFonts w:ascii="inherit" w:hAnsi="inherit"/>
          <w:sz w:val="16"/>
        </w:rPr>
      </w:pPr>
      <w:r>
        <w:rPr>
          <w:rFonts w:ascii="inherit" w:hAnsi="inherit"/>
          <w:sz w:val="16"/>
        </w:rPr>
        <w:t>Dallas, Texas</w:t>
      </w:r>
    </w:p>
    <w:p>
      <w:pPr>
        <w:pStyle w:val="TextBody"/>
        <w:spacing w:lineRule="auto" w:line="288" w:before="0" w:after="0"/>
        <w:jc w:val="both"/>
        <w:rPr>
          <w:rFonts w:ascii="inherit" w:hAnsi="inherit"/>
          <w:sz w:val="16"/>
        </w:rPr>
      </w:pPr>
      <w:r>
        <w:rPr>
          <w:rFonts w:ascii="inherit" w:hAnsi="inherit"/>
          <w:sz w:val="16"/>
        </w:rPr>
        <w:t>November 20, 2012</w:t>
      </w:r>
    </w:p>
    <w:p>
      <w:pPr>
        <w:pStyle w:val="TextBody"/>
        <w:spacing w:lineRule="auto" w:line="288" w:before="0" w:after="0"/>
        <w:rPr>
          <w:rFonts w:ascii="inherit" w:hAnsi="inherit"/>
          <w:sz w:val="16"/>
        </w:rPr>
      </w:pPr>
      <w:r>
        <w:rPr>
          <w:rFonts w:ascii="inherit" w:hAnsi="inherit"/>
          <w:sz w:val="16"/>
        </w:rPr>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99</Pages>
  <Words>48458</Words>
  <CharactersWithSpaces>309770</CharactersWithSpaces>
  <Paragraphs>13094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