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18, 2021</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699135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 Submission of Matters to a Vote of Security Holders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February 18, 2021, the sole holder of the Company’s Class B Voting Common Stock (the “Voting Stockholder”) re-elected the following persons to serve on the Company’s Board of Directors, effective at the Annual Meeting of Stockholders held on February 18, 2021: Matthew W. Appel, Zena Srivatsa Arnold, Phillip E. Cohen, Jason A. Kulas, Pablo Lagos Espinosa and Gary L. Tillett. Each of such persons shall serve a one-year term until the next annual meeting of stockholders (or, if earlier, until his or her death, removal or resignation).</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February 18, 2021, there were 2,970,171 shares of the Company's Class B Voting Common Stock outstanding, all of which are held by MS Pawn Limited Partnership.</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Consistent with the Company’s cost reduction initiatives, five directors — Shelaghmichael Brown, Hugo R. Dooner, Kent V. Stone, Robert W. K. Webb and Rosa C. Zeegers — were not re-elected, and their service on the Board of Directors ended effective February 18, 2021 upon expiration of their respective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22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February 18, 2021, the Company issued a press release announcing the Board changes described above, and a copy of that press release is furnished as Exhibit 99.1.</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held its 2021 Annual Meeting of Stockholders on February 18, 2021. The Company’s publicly-traded Class A Non-Voting Common Stock is not entitled to vote on any matters, and thus, no proposals or other matters were presented for voting at the 2021 Annual Meeting. Management discussed the Company’s strategic plans and initiatives and was available for stockholders’ questions. A copy of the presentation materials that management reviewed during the 2021 Annual Meeting has been posted in the Investor Relations section of the Company’s website at www.ezcorp.com.</w:t>
      </w:r>
    </w:p>
    <w:p>
      <w:pPr>
        <w:spacing w:after="0" w:line="15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information set forth, or referred to, in this Item 7.01 (including Exhibit 99.1) shall not be deemed “filed” for purposes of the Securities Exchange Act of 1934 or otherwise subject to the liabilities of that section, and shall not be deemed to be incorporated by reference into any registration statement or other filing made by the Company pursuant to the Securities Act of 1933 or the Securities Exchange Act of 1934, unless such subsequent filing specifically references this Item 7.01 of this Current Report on Form 8-K.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10" w:lineRule="exact"/>
        <w:rPr>
          <w:sz w:val="20"/>
          <w:szCs w:val="20"/>
          <w:color w:val="auto"/>
        </w:rPr>
      </w:pPr>
    </w:p>
    <w:p>
      <w:pPr>
        <w:ind w:left="800" w:hanging="450"/>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93" w:lineRule="exact"/>
        <w:rPr>
          <w:sz w:val="20"/>
          <w:szCs w:val="20"/>
          <w:color w:val="auto"/>
        </w:rPr>
      </w:pPr>
    </w:p>
    <w:p>
      <w:pPr>
        <w:ind w:left="520"/>
        <w:spacing w:after="0"/>
        <w:tabs>
          <w:tab w:leader="none" w:pos="1040" w:val="left"/>
        </w:tabs>
        <w:rPr>
          <w:rFonts w:ascii="Arial" w:cs="Arial" w:eastAsia="Arial" w:hAnsi="Arial"/>
          <w:sz w:val="15"/>
          <w:szCs w:val="15"/>
          <w:u w:val="single" w:color="auto"/>
          <w:color w:val="0000FF"/>
        </w:rPr>
      </w:pPr>
      <w:hyperlink w:anchor="page3">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3">
        <w:r>
          <w:rPr>
            <w:rFonts w:ascii="Arial" w:cs="Arial" w:eastAsia="Arial" w:hAnsi="Arial"/>
            <w:sz w:val="15"/>
            <w:szCs w:val="15"/>
            <w:u w:val="single" w:color="auto"/>
            <w:color w:val="0000FF"/>
          </w:rPr>
          <w:t>Press Release, dated February 18, 2021, announcing changes to Board of Directors.</w:t>
        </w:r>
      </w:hyperlink>
    </w:p>
    <w:p>
      <w:pPr>
        <w:spacing w:after="0" w:line="23"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EZCORP, INC.</w:t>
      </w:r>
    </w:p>
    <w:p>
      <w:pPr>
        <w:spacing w:after="0" w:line="77" w:lineRule="exact"/>
        <w:rPr>
          <w:sz w:val="20"/>
          <w:szCs w:val="20"/>
          <w:color w:val="auto"/>
        </w:rPr>
      </w:pPr>
    </w:p>
    <w:p>
      <w:pPr>
        <w:ind w:left="20"/>
        <w:spacing w:after="0"/>
        <w:tabs>
          <w:tab w:leader="none" w:pos="640" w:val="left"/>
          <w:tab w:leader="none" w:pos="6020" w:val="left"/>
          <w:tab w:leader="none" w:pos="6860" w:val="left"/>
        </w:tabs>
        <w:rPr>
          <w:sz w:val="20"/>
          <w:szCs w:val="20"/>
          <w:color w:val="auto"/>
        </w:rPr>
      </w:pPr>
      <w:r>
        <w:rPr>
          <w:rFonts w:ascii="Arial" w:cs="Arial" w:eastAsia="Arial" w:hAnsi="Arial"/>
          <w:sz w:val="18"/>
          <w:szCs w:val="18"/>
          <w:color w:val="auto"/>
        </w:rPr>
        <w:t>Date:</w:t>
        <w:tab/>
        <w:t>February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14605</wp:posOffset>
            </wp:positionV>
            <wp:extent cx="2734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Thomas H. Welch, Jr.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Legal Officer and Secretary</w:t>
      </w:r>
    </w:p>
    <w:p>
      <w:pPr>
        <w:sectPr>
          <w:pgSz w:w="11900" w:h="16838" w:orient="portrait"/>
          <w:cols w:equalWidth="0" w:num="1">
            <w:col w:w="11240"/>
          </w:cols>
          <w:pgMar w:left="320" w:top="1053" w:right="339" w:bottom="1440" w:gutter="0" w:footer="0" w:header="0"/>
        </w:sectPr>
      </w:pPr>
    </w:p>
    <w:bookmarkStart w:id="2" w:name="page3"/>
    <w:bookmarkEnd w:id="2"/>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336550</wp:posOffset>
            </wp:positionH>
            <wp:positionV relativeFrom="page">
              <wp:posOffset>88900</wp:posOffset>
            </wp:positionV>
            <wp:extent cx="200596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EZCORP REDUCES SIZE OF BOARD OF DIRECTORS AS TERMS EXPIRE</w:t>
      </w:r>
    </w:p>
    <w:p>
      <w:pPr>
        <w:spacing w:after="0" w:line="34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AUSTIN, Texas </w:t>
      </w:r>
      <w:r>
        <w:rPr>
          <w:rFonts w:ascii="Arial" w:cs="Arial" w:eastAsia="Arial" w:hAnsi="Arial"/>
          <w:sz w:val="18"/>
          <w:szCs w:val="18"/>
          <w:color w:val="auto"/>
        </w:rPr>
        <w:t>(February 18, 2021) — EZCORP, Inc. (NASDAQ: EZPW) today announced that, in line with current cost reduction initiatives,</w:t>
      </w:r>
      <w:r>
        <w:rPr>
          <w:rFonts w:ascii="Arial" w:cs="Arial" w:eastAsia="Arial" w:hAnsi="Arial"/>
          <w:sz w:val="18"/>
          <w:szCs w:val="18"/>
          <w:b w:val="1"/>
          <w:bCs w:val="1"/>
          <w:color w:val="auto"/>
        </w:rPr>
        <w:t xml:space="preserve"> </w:t>
      </w:r>
      <w:r>
        <w:rPr>
          <w:rFonts w:ascii="Arial" w:cs="Arial" w:eastAsia="Arial" w:hAnsi="Arial"/>
          <w:sz w:val="18"/>
          <w:szCs w:val="18"/>
          <w:color w:val="auto"/>
        </w:rPr>
        <w:t>it is reducing the size of its Board of Directors, with five directors leaving the Board at the end of their current terms, which expire as of the company’s Annual Meeting of Stockholders to be held later today. Those directors are Shelaghmichael Brown, Hugo R. Dooner, Kent V. Stone, Robert W. K. Webb and Rosa Zeegers.</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Jason A. Kulas, Chief Executive Officer, stated: “We are fortunate that these directors have been a part of our Board during a period of significant change and challenge. Through their substantial business and leadership experience, each provided invaluable contributions and fresh perspective to our Board deliberations, as well as thoughtful counsel and guidance to the company and to me. I want to thank them for their service to the company and look forward to continuing personal relationships with each of them.”</w:t>
      </w:r>
    </w:p>
    <w:p>
      <w:pPr>
        <w:spacing w:after="0" w:line="16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remaining six directors — Phillip E. Cohen (Executive Chairman), Matthew W. Appel, Zena Srivatsa Arnold, Pablo Lagos Espinosa, Gary L. Tillett and Mr. Kulas — will be reelected to the Board to serve additional one-year terms.</w:t>
      </w:r>
    </w:p>
    <w:p>
      <w:pPr>
        <w:spacing w:after="0" w:line="1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Mr. Kulas continued, “These changes are consistent with our continuous efforts to optimize costs and efficiencies and are expected to reduce administrative expenses by up to $ 1.2 million annually. This reduction is incremental to the more than $13 million targeted annual cost savings we announced two weeks ago.”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20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Formed in 1989, EZCORP has grown into a leading provider of pawn loans in the United States and Latin America. We also sell merchandise, primarily collateral forfeited from pawn lending operations and pre-owned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2021-02-18T15:29:50Z</dcterms:created>
  <dcterms:modified xsi:type="dcterms:W3CDTF">2021-02-18T15:29:50Z</dcterms:modified>
</cp:coreProperties>
</file>