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30, 2025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EZCORP,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2500 Bee Cave Road, Bldg One, Suite 200, Rollingwood, Texas 78746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(512) 314-3400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30, 2025, EZCORP, Inc. (“EZCORP”) issued a press release announcing its results of operations and financial condition for the quarter ended June 30, 2025. A copy of that press release is attached as Exhibit 99.1.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copy of the presentation materials that management will review during the Company’s earnings conference call (to be held on July 31, 2025) will be posted in the Investor Relations section of the company’s website at www.ezcorp.com.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47"/>
        <w:gridCol w:w="2839"/>
        <w:gridCol w:w="403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3pressreleaseex991_.htm">
              <w:r>
                <w:rPr>
                  <w:rStyle w:val="InternetLink"/>
                  <w:rFonts w:ascii="Times New Roman;serif" w:hAnsi="Times New Roman;serif"/>
                  <w:b w:val="false"/>
                  <w:color w:val="0000FF"/>
                  <w:sz w:val="20"/>
                  <w:u w:val="single"/>
                </w:rPr>
                <w:t>Press Release, dated July 30, 2025, announcing EZCORP, Inc.’s results of operations and financial condition for the period ended June 30,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9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Third Quarter Fiscal 2025 Results</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Continued Top-line Momentum Drives Exceptional Earnings Growth</w:t>
      </w:r>
    </w:p>
    <w:p>
      <w:pPr>
        <w:pStyle w:val="TextBody"/>
        <w:bidi w:val="0"/>
        <w:spacing w:lineRule="auto" w:line="288" w:before="240" w:after="283"/>
        <w:jc w:val="left"/>
        <w:rPr/>
      </w:pPr>
      <w:r>
        <w:rPr>
          <w:rFonts w:ascii="Arial Narrow;sans-serif" w:hAnsi="Arial Narrow;sans-serif"/>
          <w:b/>
          <w:color w:val="000000"/>
          <w:sz w:val="20"/>
        </w:rPr>
        <w:t xml:space="preserve">Austin, Texas (July 30, 2025) — </w:t>
      </w:r>
      <w:r>
        <w:rPr>
          <w:rFonts w:ascii="Arial Narrow;sans-serif" w:hAnsi="Arial Narrow;sans-serif"/>
          <w:b w:val="false"/>
          <w:color w:val="000000"/>
          <w:sz w:val="20"/>
        </w:rPr>
        <w:t>EZCORP, Inc. (NASDAQ: EZPW), a leading provider of pawn transactions in the United States and Latin America, today announced results for its third quarter ended June 30, 2025.</w:t>
      </w:r>
    </w:p>
    <w:p>
      <w:pPr>
        <w:pStyle w:val="TextBody"/>
        <w:bidi w:val="0"/>
        <w:spacing w:lineRule="auto" w:line="288" w:before="180" w:after="283"/>
        <w:jc w:val="left"/>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THIRD QUARTER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Pawn loans outstanding (PLO) increased 11% to $291.6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increased 48% to $26.5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increased 46% to $25.2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increased 36% to $0.34. On an adjusted basis, diluted earnings per share increased 38% to $0.33.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increased 42% to $45.2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11% to $311.0 million, while gross profit increased 10% to $183.6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Grew our footprint by 52 stores, including 40 stores acquired in Mexico on June 17, 2025.</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CEO COMMENTARY AND OUTLOOK</w:t>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Lachie Given, Chief Executive Officer, stated, “This quarter showcased continued strong momentum in our business, disciplined execution from our team, and the scalability of our platform. We delivered record Q3 revenue and achieved all-time high PLO as demand remains strong for immediate cash solutions and secondhand goods. When combined with meaningful efficiency gains throughout the organization, we turned top-line momentum into exceptional earnings growth, as reflected by a 42% increase in adjusted EBITDA and 36% growth in diluted EPS.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 Narrow;sans-serif" w:hAnsi="Arial Narrow;sans-serif"/>
          <w:b w:val="false"/>
          <w:color w:val="000000"/>
          <w:sz w:val="20"/>
        </w:rPr>
        <w:t>During the quarter, we grew our footprint by 52 stores, including 49 in LatAm and 3 in the US, 1 of which is a luxury store in Miami Beach. We continue to focus on strategic expansion to scale our business, as well as exceptional operating performance across geographies. In the U.S., disciplined expense management and store level execution drove a 32% increase in segment contribution. In Latin America, we delivered over 30% growth in contribution on a constant currency basis, resulting from both organic growth and a partial quarter benefit from acquired stores.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 Narrow;sans-serif" w:hAnsi="Arial Narrow;sans-serif"/>
          <w:b w:val="false"/>
          <w:color w:val="000000"/>
          <w:sz w:val="20"/>
        </w:rPr>
        <w:t>Our recently strengthened balance sheet with $472 million in liquidity enables us to fund accelerated growth, organically and through strategic acquisitions. Our pipeline of M&amp;A prospects is compelling, and we are ideally positioned to capitalize on attractive scale opportunities. Looking ahead, we remain highly focused on disciplined capital allocation, operational excellence, and delivering long-term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CONSOLIDATED RESULTS</w:t>
      </w:r>
    </w:p>
    <w:tbl>
      <w:tblPr>
        <w:tblW w:w="6629" w:type="dxa"/>
        <w:jc w:val="left"/>
        <w:tblInd w:w="0" w:type="dxa"/>
        <w:tblLayout w:type="fixed"/>
        <w:tblCellMar>
          <w:top w:w="28" w:type="dxa"/>
          <w:left w:w="28" w:type="dxa"/>
          <w:bottom w:w="28" w:type="dxa"/>
          <w:right w:w="28" w:type="dxa"/>
        </w:tblCellMar>
      </w:tblPr>
      <w:tblGrid>
        <w:gridCol w:w="888"/>
        <w:gridCol w:w="783"/>
        <w:gridCol w:w="788"/>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June 30</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PLO increased 11% to $291.6 million, up $29.9 million. On a same-store</w:t>
      </w:r>
      <w:r>
        <w:rPr>
          <w:rFonts w:ascii="Arial Narrow;sans-serif" w:hAnsi="Arial Narrow;sans-serif"/>
          <w:b w:val="false"/>
          <w:color w:val="000000"/>
          <w:sz w:val="13"/>
        </w:rPr>
        <w:t>2</w:t>
      </w:r>
      <w:r>
        <w:rPr>
          <w:color w:val="000000"/>
        </w:rPr>
        <w:t xml:space="preserve"> </w:t>
      </w:r>
      <w:r>
        <w:rPr>
          <w:rFonts w:ascii="Arial Narrow;sans-serif" w:hAnsi="Arial Narrow;sans-serif"/>
          <w:b w:val="false"/>
          <w:color w:val="000000"/>
          <w:sz w:val="20"/>
        </w:rPr>
        <w:t>basis, PLO increased 9% due to increase in average loan size, continued strong pawn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Total revenues increased 11% and gross profit increased 10%, reflecting improved pawn service charge (PSC) revenues due to higher average PLO.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7%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remained consistent at 36%. Aged general merchandise improved to 2.3% of total general merchandise inventory, down 83 basis points.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31%, as a result of an increase in PLO, layaways and purchases and a decrease in inventory turnover to 2.4x, from 2.7x.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2% and 1% on a same-store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 and administrative expenses increased 9% primarily due to labor, with approximately 50% due to long term incentive compensation.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Income before taxes was $34.7 million, up 51% from $23.0 million, and adjusted EBITDA increased 42% to $45.2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increased 36% to $0.34. On an adjusted basis, diluted earnings per share increased 38% to $0.33.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Cash and cash equivalents at the end of the quarter was $472.1 million, up from $170.5 million as of September 30, 2024. The increase was due primarily to $300.0 million (less issuance costs) from the issuance of the Senior Notes due 2032 offset by an increase in earning assets.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ended the quarter at $221.1 million, an increase of 11% on a total and same-store basis due to increase in average loan size, strong loan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11% and gross profit increased 12%, driven by increased PSC, merchandise sales and scrap sales.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8% as a result of higher average PLO, partially offset by lower PLO yield.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increased 4%, on a total and same-store basis, and sales gross margin increased by 80 bps to 38.5%. Aged general merchandise decreased by 260</w:t>
      </w:r>
      <w:r>
        <w:rPr>
          <w:color w:val="000000"/>
        </w:rPr>
        <w:t xml:space="preserve"> </w:t>
      </w:r>
      <w:r>
        <w:rPr>
          <w:rFonts w:ascii="Arial Narrow;sans-serif" w:hAnsi="Arial Narrow;sans-serif"/>
          <w:b w:val="false"/>
          <w:color w:val="000000"/>
          <w:sz w:val="20"/>
        </w:rPr>
        <w:t>basis points to 2.5%, or $1.2 million of total general merchandise inventory. Excluding our Max Pawn luxury stores, aged general merchandise was 1.8%.</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36% due to increase in PLO, layaways and purchases and a decrease in inventory turnover to 2.1x, from 2.6x.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3% on a total and same-store basis.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32% to $47.6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3 to 545, due to acquisitions, including 1 luxury store in Miami Beach.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improved to $70.6 million, an increase of 13% (16% on constant currency basis). On a same-store basis, PLO increased 2% (4% increase on a constant currency basis). The difference is driven primarily by our recent acquisition.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11% (21% on constant currency basis), and gross profit increased 6% (16% on a constant currency basis), primarily due to increased merchandise sales and pawn service charges.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to $31.4 million, an increase of 3% (13% on a constant currency basis)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increased 12% (23% on constant currency basis) and increased 8% on a same-store basis (19% increase on a constant currency basis). Merchandise sales gross margin decreased to 31% from 32%. Aged general merchandise increased to 2.2% from 0.9% of total general merchandise inventory.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18% (21% on a constant currency basis) due to an increase in PLO and decrease in inventory turnover to 3.0x, from 3.1x. On a same-store basis, net inventory increased by 10% (13% on a constant currency basis). The difference is driven primarily by our recent acquisition.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1% (12% increase on a constant currency basis) and decreased 3% on a same-store basis (7% increase on a constant currency basis). The constant currency increase was due primarily to increased labor, in line with store activity and minimum wage increases.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20% to $12.4 million (30% on a constant currency basis to $13.5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Segment store count increased by 49 to 791, primarily due to the acquisition of 40 stores, the addition of </w:t>
      </w:r>
      <w:r>
        <w:rPr>
          <w:rFonts w:ascii="Times New Roman;serif" w:hAnsi="Times New Roman;serif"/>
          <w:b w:val="false"/>
          <w:color w:val="000000"/>
          <w:sz w:val="20"/>
        </w:rPr>
        <w:t>10</w:t>
      </w:r>
      <w:r>
        <w:rPr>
          <w:color w:val="000000"/>
        </w:rPr>
        <w:t xml:space="preserve"> </w:t>
      </w:r>
      <w:r>
        <w:rPr>
          <w:rFonts w:ascii="Arial Narrow;sans-serif" w:hAnsi="Arial Narrow;sans-serif"/>
          <w:b w:val="false"/>
          <w:color w:val="000000"/>
          <w:sz w:val="20"/>
        </w:rPr>
        <w:t>de novo stores and the consolidation of 1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FORM 10-Q</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EZCORP’s Quarterly Report on Form 10-Q for the quarter ended June 30, 2025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CONFERENCE CALL</w:t>
      </w:r>
    </w:p>
    <w:p>
      <w:pPr>
        <w:pStyle w:val="TextBody"/>
        <w:bidi w:val="0"/>
        <w:spacing w:lineRule="auto" w:line="256" w:before="0" w:after="0"/>
        <w:jc w:val="left"/>
        <w:rPr/>
      </w:pPr>
      <w:r>
        <w:rPr>
          <w:rFonts w:ascii="Arial Narrow;sans-serif" w:hAnsi="Arial Narrow;sans-serif"/>
          <w:b w:val="false"/>
          <w:color w:val="000000"/>
          <w:sz w:val="20"/>
        </w:rPr>
        <w:t xml:space="preserve">EZCORP will host a conference call on Thursday, July 31, 2025, at 8:00 am Central Time to discuss Third Quarter Fiscal 2025 results. Analysts and institutional investors may participate on the conference call by registering online at </w:t>
      </w:r>
      <w:r>
        <w:rPr>
          <w:rFonts w:ascii="Arial Narrow;sans-serif" w:hAnsi="Arial Narrow;sans-serif"/>
          <w:b w:val="false"/>
          <w:color w:val="467886"/>
          <w:sz w:val="20"/>
        </w:rPr>
        <w:t>https://register-conf.media-server.com/register/BI4f3cd4b3bf1d44a198c59f67b0acdc6f</w:t>
      </w:r>
      <w:r>
        <w:rPr>
          <w:rFonts w:ascii="Arial Narrow;sans-serif" w:hAnsi="Arial Narrow;sans-serif"/>
          <w:b w:val="false"/>
          <w:color w:val="000000"/>
          <w:sz w:val="20"/>
        </w:rPr>
        <w:t>. Once registered you will receive the dial-in details with a unique PIN to join the call. The conference call will be webcast simultaneously to the public through this link: https://edge.media-server.com/mmc/p/hqptihjy. A replay of the conference call will be available online at http://investors.ezcorp.com shortly after the end of the call.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ABOUT EZCORP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Follow us on social media:</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Instagram Official https://www.instagram.com/ezcorp_official/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LinkedIn https://www.linkedin.com/company/ezcorp/</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bidi w:val="0"/>
        <w:spacing w:lineRule="auto" w:line="288" w:before="120" w:after="283"/>
        <w:jc w:val="left"/>
        <w:rPr>
          <w:rFonts w:ascii="Arial Narrow;sans-serif" w:hAnsi="Arial Narrow;sans-serif"/>
          <w:b/>
          <w:color w:val="000000"/>
          <w:sz w:val="20"/>
        </w:rPr>
      </w:pPr>
      <w:r>
        <w:rPr>
          <w:rFonts w:ascii="Arial Narrow;sans-serif" w:hAnsi="Arial Narrow;sans-serif"/>
          <w:b/>
          <w:color w:val="000000"/>
          <w:sz w:val="20"/>
        </w:rPr>
        <w:t>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Phone: (512) 314-2220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38250"/>
                <wp:effectExtent l="0" t="0" r="0" b="0"/>
                <wp:wrapNone/>
                <wp:docPr id="7" name="Frame6"/>
                <a:graphic xmlns:a="http://schemas.openxmlformats.org/drawingml/2006/main">
                  <a:graphicData uri="http://schemas.microsoft.com/office/word/2010/wordprocessingShape">
                    <wps:wsp>
                      <wps:cNvSpPr txBox="1"/>
                      <wps:spPr>
                        <a:xfrm>
                          <a:off x="0" y="0"/>
                          <a:ext cx="6480175" cy="1238250"/>
                        </a:xfrm>
                        <a:prstGeom prst="rect"/>
                        <a:solidFill>
                          <a:srgbClr val="FFFFFF"/>
                        </a:solidFill>
                      </wps:spPr>
                      <wps:txbx>
                        <w:txbxContent>
                          <w:p>
                            <w:pPr>
                              <w:pStyle w:val="TextBody"/>
                              <w:bidi w:val="0"/>
                              <w:spacing w:lineRule="auto" w:line="288" w:before="180" w:after="283"/>
                              <w:jc w:val="left"/>
                              <w:rPr/>
                            </w:pPr>
                            <w:r>
                              <w:rPr>
                                <w:rFonts w:ascii="Times New Roman;serif" w:hAnsi="Times New Roman;serif"/>
                                <w:b w:val="false"/>
                                <w:i/>
                                <w:color w:val="000000"/>
                                <w:sz w:val="16"/>
                              </w:rPr>
                              <w:t>Note: The underlying numbers are in thousands and, as a result, may not agree to the percentages calculated from numbers in millions and tables may not foot.</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r>
                              <w:br w:type="page"/>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 Store” basis, which is a financial measure, includes stores open the entirety of the comparable periods.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left"/>
                        <w:rPr/>
                      </w:pPr>
                      <w:r>
                        <w:rPr>
                          <w:rFonts w:ascii="Times New Roman;serif" w:hAnsi="Times New Roman;serif"/>
                          <w:b w:val="false"/>
                          <w:i/>
                          <w:color w:val="000000"/>
                          <w:sz w:val="16"/>
                        </w:rPr>
                        <w:t>Note: The underlying numbers are in thousands and, as a result, may not agree to the percentages calculated from numbers in millions and tables may not foot.</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 Store” basis, which is a financial measure, includes stores open the entirety of the comparable periods.</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8490" w:type="dxa"/>
        <w:jc w:val="left"/>
        <w:tblInd w:w="0" w:type="dxa"/>
        <w:tblLayout w:type="fixed"/>
        <w:tblCellMar>
          <w:top w:w="28" w:type="dxa"/>
          <w:left w:w="28" w:type="dxa"/>
          <w:bottom w:w="28" w:type="dxa"/>
          <w:right w:w="28" w:type="dxa"/>
        </w:tblCellMar>
      </w:tblPr>
      <w:tblGrid>
        <w:gridCol w:w="1191"/>
        <w:gridCol w:w="1044"/>
        <w:gridCol w:w="104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281,421 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867,051 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166,727 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506,892 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147,644 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144,573 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435,311 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420,369 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22,154 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112,184 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86,523 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67,899 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92"/>
        <w:gridCol w:w="1961"/>
        <w:gridCol w:w="1969"/>
        <w:gridCol w:w="181"/>
        <w:gridCol w:w="766"/>
        <w:gridCol w:w="109"/>
        <w:gridCol w:w="109"/>
        <w:gridCol w:w="109"/>
        <w:gridCol w:w="109"/>
        <w:gridCol w:w="181"/>
        <w:gridCol w:w="766"/>
        <w:gridCol w:w="109"/>
        <w:gridCol w:w="109"/>
        <w:gridCol w:w="109"/>
        <w:gridCol w:w="109"/>
        <w:gridCol w:w="183"/>
        <w:gridCol w:w="776"/>
        <w:gridCol w:w="158"/>
      </w:tblGrid>
      <w:tr>
        <w:trPr/>
        <w:tc>
          <w:tcPr>
            <w:tcW w:w="239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6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444" w:type="dxa"/>
            <w:gridSpan w:val="6"/>
            <w:tcBorders/>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1,087,647 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741,928 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728,998 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308,847 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1,510,163 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Current maturities of long-term debt, net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172,275 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286,040 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269,377 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893,010 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708,708 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688,666 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issued and outstanding: 57,992,965 as of June 30, 2025; 51,771,917 as of June 30, 2024; and 51,582,698 as of September 30, 2024</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990,058 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801,455 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1,510,163 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8"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787" w:type="dxa"/>
        <w:jc w:val="left"/>
        <w:tblInd w:w="0" w:type="dxa"/>
        <w:tblLayout w:type="fixed"/>
        <w:tblCellMar>
          <w:top w:w="28" w:type="dxa"/>
          <w:left w:w="28" w:type="dxa"/>
          <w:bottom w:w="28" w:type="dxa"/>
          <w:right w:w="28" w:type="dxa"/>
        </w:tblCellMar>
      </w:tblPr>
      <w:tblGrid>
        <w:gridCol w:w="1926"/>
        <w:gridCol w:w="1698"/>
        <w:gridCol w:w="1701"/>
        <w:gridCol w:w="181"/>
        <w:gridCol w:w="646"/>
        <w:gridCol w:w="109"/>
        <w:gridCol w:w="109"/>
        <w:gridCol w:w="109"/>
        <w:gridCol w:w="109"/>
        <w:gridCol w:w="181"/>
        <w:gridCol w:w="646"/>
        <w:gridCol w:w="109"/>
        <w:gridCol w:w="109"/>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from investment in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97,730 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70,264 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(683,121)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(66,040)</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(59,234)</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assumed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275,606 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(12,648)</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307,270 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(1,726)</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487,077 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227,242 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8"/>
        <w:gridCol w:w="685"/>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2025</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31,409 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219,960 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91,021 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39,142 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134,062 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49,577 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35,345 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119,123 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119,123 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8,387 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12,444 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2,013 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62,090 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62,090 </w:t>
            </w:r>
          </w:p>
        </w:tc>
        <w:tc>
          <w:tcPr>
            <w:tcW w:w="12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(27,377)</w:t>
            </w:r>
          </w:p>
        </w:tc>
        <w:tc>
          <w:tcPr>
            <w:tcW w:w="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58"/>
        <w:gridCol w:w="685"/>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50,291 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158,140 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158,140 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15,395 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15,395 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30,414 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107,830 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107,830 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199,050 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82,371 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281,421 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281,421 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33,982 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101,211 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101,211 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119,934 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46,793 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166,727 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166,727 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34,894 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116,335 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116,335 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(2,931)</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36,087 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10,341 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1,999 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48,427 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48,427 </w:t>
            </w:r>
          </w:p>
        </w:tc>
        <w:tc>
          <w:tcPr>
            <w:tcW w:w="12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(25,427)</w:t>
            </w:r>
          </w:p>
        </w:tc>
        <w:tc>
          <w:tcPr>
            <w:tcW w:w="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0"/>
        <w:gridCol w:w="677"/>
        <w:gridCol w:w="646"/>
        <w:gridCol w:w="181"/>
        <w:gridCol w:w="646"/>
        <w:gridCol w:w="109"/>
        <w:gridCol w:w="109"/>
        <w:gridCol w:w="109"/>
        <w:gridCol w:w="109"/>
        <w:gridCol w:w="230"/>
        <w:gridCol w:w="823"/>
        <w:gridCol w:w="138"/>
        <w:gridCol w:w="109"/>
        <w:gridCol w:w="109"/>
        <w:gridCol w:w="109"/>
        <w:gridCol w:w="259"/>
        <w:gridCol w:w="712"/>
        <w:gridCol w:w="157"/>
        <w:gridCol w:w="109"/>
        <w:gridCol w:w="109"/>
        <w:gridCol w:w="109"/>
        <w:gridCol w:w="202"/>
        <w:gridCol w:w="724"/>
        <w:gridCol w:w="122"/>
        <w:gridCol w:w="109"/>
        <w:gridCol w:w="109"/>
        <w:gridCol w:w="109"/>
        <w:gridCol w:w="208"/>
        <w:gridCol w:w="687"/>
        <w:gridCol w:w="125"/>
        <w:gridCol w:w="109"/>
        <w:gridCol w:w="109"/>
        <w:gridCol w:w="109"/>
        <w:gridCol w:w="196"/>
        <w:gridCol w:w="701"/>
        <w:gridCol w:w="177"/>
      </w:tblGrid>
      <w:tr>
        <w:trPr/>
        <w:tc>
          <w:tcPr>
            <w:tcW w:w="8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2025</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88,908 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673,546 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263,921 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116,193 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406,117 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141,378 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101,702 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352,101 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352,101 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60,089 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60,089 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6,191 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14,815 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(966)</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82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147,658 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34,592 </w:t>
            </w:r>
          </w:p>
        </w:tc>
        <w:tc>
          <w:tcPr>
            <w:tcW w:w="138"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6,701 </w:t>
            </w:r>
          </w:p>
        </w:tc>
        <w:tc>
          <w:tcPr>
            <w:tcW w:w="157"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188,951 </w:t>
            </w:r>
          </w:p>
        </w:tc>
        <w:tc>
          <w:tcPr>
            <w:tcW w:w="122"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188,951 </w:t>
            </w:r>
          </w:p>
        </w:tc>
        <w:tc>
          <w:tcPr>
            <w:tcW w:w="122"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(78,442)</w:t>
            </w:r>
          </w:p>
        </w:tc>
        <w:tc>
          <w:tcPr>
            <w:tcW w:w="125"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77"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1"/>
        <w:gridCol w:w="677"/>
        <w:gridCol w:w="645"/>
        <w:gridCol w:w="181"/>
        <w:gridCol w:w="646"/>
        <w:gridCol w:w="109"/>
        <w:gridCol w:w="109"/>
        <w:gridCol w:w="109"/>
        <w:gridCol w:w="109"/>
        <w:gridCol w:w="230"/>
        <w:gridCol w:w="823"/>
        <w:gridCol w:w="138"/>
        <w:gridCol w:w="109"/>
        <w:gridCol w:w="109"/>
        <w:gridCol w:w="109"/>
        <w:gridCol w:w="259"/>
        <w:gridCol w:w="712"/>
        <w:gridCol w:w="157"/>
        <w:gridCol w:w="109"/>
        <w:gridCol w:w="109"/>
        <w:gridCol w:w="109"/>
        <w:gridCol w:w="202"/>
        <w:gridCol w:w="724"/>
        <w:gridCol w:w="122"/>
        <w:gridCol w:w="109"/>
        <w:gridCol w:w="109"/>
        <w:gridCol w:w="109"/>
        <w:gridCol w:w="208"/>
        <w:gridCol w:w="687"/>
        <w:gridCol w:w="125"/>
        <w:gridCol w:w="109"/>
        <w:gridCol w:w="109"/>
        <w:gridCol w:w="109"/>
        <w:gridCol w:w="196"/>
        <w:gridCol w:w="701"/>
        <w:gridCol w:w="177"/>
      </w:tblGrid>
      <w:tr>
        <w:trPr/>
        <w:tc>
          <w:tcPr>
            <w:tcW w:w="85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154,019 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502,230 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502,230 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43,191 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43,191 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321,442 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321,442 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624,062 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242,954 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867,051 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867,051 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103,944 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322,680 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322,680 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37,479 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37,479 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371,361 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135,496 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506,892 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506,892 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101,936 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341,472 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341,472 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54,869 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54,869 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14,369 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24,942 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(income) expense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124,283 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28,608 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6,097 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158,988 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494949"/>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158,988 </w:t>
            </w:r>
          </w:p>
        </w:tc>
        <w:tc>
          <w:tcPr>
            <w:tcW w:w="12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(69,632)</w:t>
            </w:r>
          </w:p>
        </w:tc>
        <w:tc>
          <w:tcPr>
            <w:tcW w:w="12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89,356 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6604" w:type="dxa"/>
        <w:jc w:val="center"/>
        <w:tblInd w:w="0" w:type="dxa"/>
        <w:tblLayout w:type="fixed"/>
        <w:tblCellMar>
          <w:top w:w="28" w:type="dxa"/>
          <w:left w:w="28" w:type="dxa"/>
          <w:bottom w:w="28" w:type="dxa"/>
          <w:right w:w="28" w:type="dxa"/>
        </w:tblCellMar>
      </w:tblPr>
      <w:tblGrid>
        <w:gridCol w:w="718"/>
        <w:gridCol w:w="629"/>
        <w:gridCol w:w="632"/>
        <w:gridCol w:w="280"/>
        <w:gridCol w:w="280"/>
        <w:gridCol w:w="280"/>
        <w:gridCol w:w="167"/>
        <w:gridCol w:w="167"/>
        <w:gridCol w:w="167"/>
        <w:gridCol w:w="499"/>
        <w:gridCol w:w="499"/>
        <w:gridCol w:w="501"/>
        <w:gridCol w:w="167"/>
        <w:gridCol w:w="167"/>
        <w:gridCol w:w="167"/>
        <w:gridCol w:w="340"/>
        <w:gridCol w:w="340"/>
        <w:gridCol w:w="341"/>
        <w:gridCol w:w="109"/>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2025</w:t>
            </w:r>
          </w:p>
        </w:tc>
        <w:tc>
          <w:tcPr>
            <w:tcW w:w="5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894" w:type="dxa"/>
        <w:jc w:val="left"/>
        <w:tblInd w:w="0" w:type="dxa"/>
        <w:tblLayout w:type="fixed"/>
        <w:tblCellMar>
          <w:top w:w="28" w:type="dxa"/>
          <w:left w:w="28" w:type="dxa"/>
          <w:bottom w:w="28" w:type="dxa"/>
          <w:right w:w="28" w:type="dxa"/>
        </w:tblCellMar>
      </w:tblPr>
      <w:tblGrid>
        <w:gridCol w:w="544"/>
        <w:gridCol w:w="477"/>
        <w:gridCol w:w="479"/>
        <w:gridCol w:w="279"/>
        <w:gridCol w:w="279"/>
        <w:gridCol w:w="281"/>
        <w:gridCol w:w="165"/>
        <w:gridCol w:w="165"/>
        <w:gridCol w:w="165"/>
        <w:gridCol w:w="499"/>
        <w:gridCol w:w="499"/>
        <w:gridCol w:w="501"/>
        <w:gridCol w:w="165"/>
        <w:gridCol w:w="165"/>
        <w:gridCol w:w="165"/>
        <w:gridCol w:w="312"/>
        <w:gridCol w:w="312"/>
        <w:gridCol w:w="442"/>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2024</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2024</w:t>
            </w:r>
          </w:p>
        </w:tc>
        <w:tc>
          <w:tcPr>
            <w:tcW w:w="55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541 </w:t>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717 </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1,258 </w:t>
            </w:r>
          </w:p>
        </w:tc>
        <w:tc>
          <w:tcPr>
            <w:tcW w:w="4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03" w:type="dxa"/>
        <w:jc w:val="center"/>
        <w:tblInd w:w="0" w:type="dxa"/>
        <w:tblLayout w:type="fixed"/>
        <w:tblCellMar>
          <w:top w:w="28" w:type="dxa"/>
          <w:left w:w="28" w:type="dxa"/>
          <w:bottom w:w="28" w:type="dxa"/>
          <w:right w:w="28" w:type="dxa"/>
        </w:tblCellMar>
      </w:tblPr>
      <w:tblGrid>
        <w:gridCol w:w="718"/>
        <w:gridCol w:w="630"/>
        <w:gridCol w:w="63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2025</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June 30, 2025</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44" w:type="dxa"/>
        <w:jc w:val="center"/>
        <w:tblInd w:w="0" w:type="dxa"/>
        <w:tblLayout w:type="fixed"/>
        <w:tblCellMar>
          <w:top w:w="28" w:type="dxa"/>
          <w:left w:w="28" w:type="dxa"/>
          <w:bottom w:w="28" w:type="dxa"/>
          <w:right w:w="28" w:type="dxa"/>
        </w:tblCellMar>
      </w:tblPr>
      <w:tblGrid>
        <w:gridCol w:w="718"/>
        <w:gridCol w:w="630"/>
        <w:gridCol w:w="632"/>
        <w:gridCol w:w="279"/>
        <w:gridCol w:w="279"/>
        <w:gridCol w:w="281"/>
        <w:gridCol w:w="160"/>
        <w:gridCol w:w="160"/>
        <w:gridCol w:w="160"/>
        <w:gridCol w:w="499"/>
        <w:gridCol w:w="499"/>
        <w:gridCol w:w="501"/>
        <w:gridCol w:w="160"/>
        <w:gridCol w:w="160"/>
        <w:gridCol w:w="160"/>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2024</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June 30, 2024</w:t>
            </w:r>
          </w:p>
        </w:tc>
        <w:tc>
          <w:tcPr>
            <w:tcW w:w="55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541 </w:t>
            </w:r>
          </w:p>
        </w:tc>
        <w:tc>
          <w:tcPr>
            <w:tcW w:w="2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reflects an additional way of viewing aspects of our business that, when viewed with GAAP results, provides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nine months ended June 30, 2025 and 2024 were as follows:</w:t>
      </w:r>
    </w:p>
    <w:tbl>
      <w:tblPr>
        <w:tblW w:w="7211"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28"/>
        <w:gridCol w:w="193"/>
        <w:gridCol w:w="161"/>
        <w:gridCol w:w="161"/>
        <w:gridCol w:w="161"/>
        <w:gridCol w:w="161"/>
        <w:gridCol w:w="228"/>
        <w:gridCol w:w="193"/>
        <w:gridCol w:w="22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4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4210" w:type="dxa"/>
        <w:jc w:val="left"/>
        <w:tblInd w:w="0" w:type="dxa"/>
        <w:tblLayout w:type="fixed"/>
        <w:tblCellMar>
          <w:top w:w="28" w:type="dxa"/>
          <w:left w:w="28" w:type="dxa"/>
          <w:bottom w:w="28" w:type="dxa"/>
          <w:right w:w="28" w:type="dxa"/>
        </w:tblCellMar>
      </w:tblPr>
      <w:tblGrid>
        <w:gridCol w:w="717"/>
        <w:gridCol w:w="630"/>
        <w:gridCol w:w="633"/>
        <w:gridCol w:w="181"/>
        <w:gridCol w:w="421"/>
        <w:gridCol w:w="109"/>
        <w:gridCol w:w="109"/>
        <w:gridCol w:w="109"/>
        <w:gridCol w:w="109"/>
        <w:gridCol w:w="181"/>
        <w:gridCol w:w="421"/>
        <w:gridCol w:w="109"/>
        <w:gridCol w:w="109"/>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241"/>
        <w:gridCol w:w="660"/>
        <w:gridCol w:w="145"/>
        <w:gridCol w:w="109"/>
        <w:gridCol w:w="109"/>
        <w:gridCol w:w="109"/>
        <w:gridCol w:w="209"/>
        <w:gridCol w:w="573"/>
        <w:gridCol w:w="125"/>
        <w:gridCol w:w="109"/>
        <w:gridCol w:w="109"/>
        <w:gridCol w:w="109"/>
        <w:gridCol w:w="304"/>
        <w:gridCol w:w="707"/>
        <w:gridCol w:w="183"/>
        <w:gridCol w:w="109"/>
        <w:gridCol w:w="109"/>
        <w:gridCol w:w="109"/>
        <w:gridCol w:w="210"/>
        <w:gridCol w:w="401"/>
        <w:gridCol w:w="125"/>
        <w:gridCol w:w="109"/>
        <w:gridCol w:w="109"/>
        <w:gridCol w:w="109"/>
        <w:gridCol w:w="212"/>
        <w:gridCol w:w="493"/>
        <w:gridCol w:w="127"/>
        <w:gridCol w:w="109"/>
        <w:gridCol w:w="109"/>
        <w:gridCol w:w="109"/>
        <w:gridCol w:w="225"/>
        <w:gridCol w:w="525"/>
        <w:gridCol w:w="135"/>
        <w:gridCol w:w="109"/>
        <w:gridCol w:w="109"/>
        <w:gridCol w:w="109"/>
        <w:gridCol w:w="183"/>
        <w:gridCol w:w="426"/>
        <w:gridCol w:w="170"/>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Q3 Reported</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lease termination</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2025 Q3 Adjusted </w:t>
            </w:r>
          </w:p>
        </w:tc>
        <w:tc>
          <w:tcPr>
            <w:tcW w:w="24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319.9 </w:t>
            </w:r>
          </w:p>
        </w:tc>
        <w:tc>
          <w:tcPr>
            <w:tcW w:w="14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188.4 </w:t>
            </w:r>
          </w:p>
        </w:tc>
        <w:tc>
          <w:tcPr>
            <w:tcW w:w="1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8.8 </w:t>
            </w:r>
          </w:p>
        </w:tc>
        <w:tc>
          <w:tcPr>
            <w:tcW w:w="1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2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3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45.2 </w:t>
            </w:r>
          </w:p>
        </w:tc>
        <w:tc>
          <w:tcPr>
            <w:tcW w:w="17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241"/>
        <w:gridCol w:w="660"/>
        <w:gridCol w:w="145"/>
        <w:gridCol w:w="109"/>
        <w:gridCol w:w="109"/>
        <w:gridCol w:w="109"/>
        <w:gridCol w:w="209"/>
        <w:gridCol w:w="573"/>
        <w:gridCol w:w="125"/>
        <w:gridCol w:w="109"/>
        <w:gridCol w:w="109"/>
        <w:gridCol w:w="109"/>
        <w:gridCol w:w="304"/>
        <w:gridCol w:w="707"/>
        <w:gridCol w:w="183"/>
        <w:gridCol w:w="109"/>
        <w:gridCol w:w="109"/>
        <w:gridCol w:w="109"/>
        <w:gridCol w:w="209"/>
        <w:gridCol w:w="401"/>
        <w:gridCol w:w="125"/>
        <w:gridCol w:w="109"/>
        <w:gridCol w:w="109"/>
        <w:gridCol w:w="109"/>
        <w:gridCol w:w="212"/>
        <w:gridCol w:w="493"/>
        <w:gridCol w:w="127"/>
        <w:gridCol w:w="109"/>
        <w:gridCol w:w="109"/>
        <w:gridCol w:w="109"/>
        <w:gridCol w:w="225"/>
        <w:gridCol w:w="525"/>
        <w:gridCol w:w="135"/>
        <w:gridCol w:w="109"/>
        <w:gridCol w:w="109"/>
        <w:gridCol w:w="109"/>
        <w:gridCol w:w="183"/>
        <w:gridCol w:w="426"/>
        <w:gridCol w:w="171"/>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Q3 Reported</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2024 Q3 Adjusted </w:t>
            </w:r>
          </w:p>
        </w:tc>
        <w:tc>
          <w:tcPr>
            <w:tcW w:w="2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281.4 </w:t>
            </w:r>
          </w:p>
        </w:tc>
        <w:tc>
          <w:tcPr>
            <w:tcW w:w="1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0.24 </w:t>
            </w:r>
          </w:p>
        </w:tc>
        <w:tc>
          <w:tcPr>
            <w:tcW w:w="1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31.7 </w:t>
            </w:r>
          </w:p>
        </w:tc>
        <w:tc>
          <w:tcPr>
            <w:tcW w:w="1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30"/>
        <w:gridCol w:w="1079"/>
        <w:gridCol w:w="1097"/>
        <w:gridCol w:w="300"/>
        <w:gridCol w:w="821"/>
        <w:gridCol w:w="179"/>
        <w:gridCol w:w="109"/>
        <w:gridCol w:w="109"/>
        <w:gridCol w:w="109"/>
        <w:gridCol w:w="374"/>
        <w:gridCol w:w="374"/>
        <w:gridCol w:w="833"/>
        <w:gridCol w:w="109"/>
        <w:gridCol w:w="109"/>
        <w:gridCol w:w="109"/>
        <w:gridCol w:w="299"/>
        <w:gridCol w:w="821"/>
        <w:gridCol w:w="179"/>
        <w:gridCol w:w="109"/>
        <w:gridCol w:w="109"/>
        <w:gridCol w:w="109"/>
        <w:gridCol w:w="351"/>
        <w:gridCol w:w="351"/>
        <w:gridCol w:w="936"/>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Three Months Ended </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 2025</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3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revenues</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968.4 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226.8 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226.8 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62.1 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186.7 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30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83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93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5159</Words>
  <Characters>29062</Characters>
  <CharactersWithSpaces>33657</CharactersWithSpaces>
  <Paragraphs>1729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