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29,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July 29, 2014, EZCORP, Inc. issued a press release announcing its results of operations and financial condition for the third fiscal quarter and nine month period ended June 30, 2014. A copy of that press release is attached as Exhibit 99.1.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herein, “GAAP” refers to accounting principles generally accepted in the United States.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press release furnished in Exhibit 99.1 presents the financial results in accordance with GAAP. In addition, segment contribution, income from continuing operations, net income, net income attributable to EZCORP, Inc. and earnings per share for the three and nine months ended June 30, 2014 and 2013 are also presented on a non-GAAP basis. Information sufficient to reconcile the non-GAAP measure to the GAAP measure is also presented. This non-GAAP financial measure is not meant to be considered in isolation or as a substitute for the corresponding GAAP measure.</w:t>
      </w:r>
    </w:p>
    <w:p>
      <w:pPr>
        <w:spacing w:after="0" w:line="19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p>
      <w:pPr>
        <w:ind w:left="1120" w:right="580" w:hanging="562"/>
        <w:spacing w:after="0" w:line="277" w:lineRule="auto"/>
        <w:tabs>
          <w:tab w:leader="none" w:pos="1100" w:val="left"/>
        </w:tabs>
        <w:rPr>
          <w:sz w:val="20"/>
          <w:szCs w:val="20"/>
          <w:color w:val="auto"/>
        </w:rPr>
      </w:pPr>
      <w:r>
        <w:rPr>
          <w:rFonts w:ascii="Arial" w:cs="Arial" w:eastAsia="Arial" w:hAnsi="Arial"/>
          <w:sz w:val="18"/>
          <w:szCs w:val="18"/>
          <w:color w:val="auto"/>
        </w:rPr>
        <w:t>99.1</w:t>
        <w:tab/>
        <w:t>Press Release, dated July 29, 2014, announcing EZCORP, Inc.’s results of operations and financial condition for the third fiscal quarter and nine month period ended June 30, 2014.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700" w:val="left"/>
          <w:tab w:leader="none" w:pos="620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Mark Kuchenrither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0" w:type="dxa"/>
            <w:vAlign w:val="bottom"/>
          </w:tcPr>
          <w:p>
            <w:pPr>
              <w:jc w:val="center"/>
              <w:ind w:right="1514"/>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No.</w:t>
            </w:r>
          </w:p>
        </w:tc>
        <w:tc>
          <w:tcPr>
            <w:tcW w:w="9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2"/>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0"/>
              </w:rPr>
              <w:t>Press Release, dated July 29, 2014, announcing EZCORP, Inc.’s results of operations and financial condition for the third fiscal quarter</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and nine month period ended June 30, 2014.</w:t>
            </w:r>
          </w:p>
        </w:tc>
        <w:tc>
          <w:tcPr>
            <w:tcW w:w="0" w:type="dxa"/>
            <w:vAlign w:val="bottom"/>
          </w:tcPr>
          <w:p>
            <w:pPr>
              <w:spacing w:after="0"/>
              <w:rPr>
                <w:sz w:val="1"/>
                <w:szCs w:val="1"/>
                <w:color w:val="auto"/>
              </w:rPr>
            </w:pPr>
          </w:p>
        </w:tc>
      </w:tr>
      <w:tr>
        <w:trPr>
          <w:trHeight w:val="486"/>
        </w:trPr>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0" w:type="dxa"/>
            <w:vAlign w:val="bottom"/>
          </w:tcPr>
          <w:p>
            <w:pPr>
              <w:jc w:val="right"/>
              <w:ind w:right="557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251460</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EZCORP REPORTS THIRD QUARTER REVENUES OF $241 MILLION,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EARNINGS PER SHARE OF $0.21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Company confirms Q4 EPS outlook of $0.37-$0.39 including the impact of its recent financing</w:t>
      </w:r>
    </w:p>
    <w:p>
      <w:pPr>
        <w:spacing w:after="0" w:line="200" w:lineRule="exact"/>
        <w:rPr>
          <w:sz w:val="20"/>
          <w:szCs w:val="20"/>
          <w:color w:val="auto"/>
        </w:rPr>
      </w:pPr>
    </w:p>
    <w:p>
      <w:pPr>
        <w:spacing w:after="0" w:line="27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AUSTIN, Texas (</w:t>
      </w:r>
      <w:r>
        <w:rPr>
          <w:rFonts w:ascii="Arial" w:cs="Arial" w:eastAsia="Arial" w:hAnsi="Arial"/>
          <w:sz w:val="22"/>
          <w:szCs w:val="22"/>
          <w:color w:val="auto"/>
        </w:rPr>
        <w:t>July 29, 2014</w:t>
      </w:r>
      <w:r>
        <w:rPr>
          <w:rFonts w:ascii="Arial" w:cs="Arial" w:eastAsia="Arial" w:hAnsi="Arial"/>
          <w:sz w:val="22"/>
          <w:szCs w:val="22"/>
          <w:b w:val="1"/>
          <w:bCs w:val="1"/>
          <w:color w:val="auto"/>
        </w:rPr>
        <w:t xml:space="preserve">) — </w:t>
      </w:r>
      <w:r>
        <w:rPr>
          <w:rFonts w:ascii="Arial" w:cs="Arial" w:eastAsia="Arial" w:hAnsi="Arial"/>
          <w:sz w:val="22"/>
          <w:szCs w:val="22"/>
          <w:color w:val="auto"/>
        </w:rPr>
        <w:t>EZCORP, Inc. (NASDAQ: EZPW), a leading provider of easy cash solutions for consumers,</w:t>
      </w:r>
      <w:r>
        <w:rPr>
          <w:rFonts w:ascii="Arial" w:cs="Arial" w:eastAsia="Arial" w:hAnsi="Arial"/>
          <w:sz w:val="22"/>
          <w:szCs w:val="22"/>
          <w:b w:val="1"/>
          <w:bCs w:val="1"/>
          <w:color w:val="auto"/>
        </w:rPr>
        <w:t xml:space="preserve"> </w:t>
      </w:r>
      <w:r>
        <w:rPr>
          <w:rFonts w:ascii="Arial" w:cs="Arial" w:eastAsia="Arial" w:hAnsi="Arial"/>
          <w:sz w:val="22"/>
          <w:szCs w:val="22"/>
          <w:color w:val="auto"/>
        </w:rPr>
        <w:t>today announced its financial results for the third quarter of fiscal 2014.</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the quarter, total revenues were $241 million, with net income from continuing operations of $11.3 million and earnings per share of $0.21.</w:t>
      </w: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Mark Kuchenrither, EZCORP’s Interim President and Chief Executive Officer, stated, “We are pleased to have met our outlook for the third quarter. Our Pawn businesses and our Grupo Finmart business continued to drive our growth, representing 69% of our total revenues this quarter. During the quarter we strengthened our financial flexibility by raising $230 million through a private convertible debt offering which enabled us to pay off all amounts outstanding under our senior secured credit agreement and to buy back one million shares of stock. These capital structure enhancements in combination with our improving operational efficiencies enhance our ability to grow revenue and earnings, while improving the customer experience."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Consolidated Financial Highlights — Third Quarter Fiscal 2014 vs. Prior Year Quarter</w:t>
      </w:r>
    </w:p>
    <w:p>
      <w:pPr>
        <w:spacing w:after="0" w:line="226" w:lineRule="exact"/>
        <w:rPr>
          <w:sz w:val="20"/>
          <w:szCs w:val="20"/>
          <w:color w:val="auto"/>
        </w:rPr>
      </w:pPr>
    </w:p>
    <w:p>
      <w:pPr>
        <w:jc w:val="both"/>
        <w:ind w:left="660" w:hanging="328"/>
        <w:spacing w:after="0" w:line="25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Earning assets, including credit service organization (CSO) loans, were $443 million at quarter-end, an increase of 7% from continuing operations, as a result of growth in consumer loans at Grupo Finmart, as well as strong growth of installment loans in the U.S.</w:t>
      </w:r>
    </w:p>
    <w:p>
      <w:pPr>
        <w:spacing w:after="0" w:line="185" w:lineRule="exact"/>
        <w:rPr>
          <w:rFonts w:ascii="Arial" w:cs="Arial" w:eastAsia="Arial" w:hAnsi="Arial"/>
          <w:sz w:val="22"/>
          <w:szCs w:val="22"/>
          <w:color w:val="auto"/>
        </w:rPr>
      </w:pPr>
    </w:p>
    <w:p>
      <w:pPr>
        <w:jc w:val="both"/>
        <w:ind w:left="660" w:hanging="328"/>
        <w:spacing w:after="0" w:line="25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Total revenues were $241 million, an increase of 3% compared to $235 million in the same period last year. Excluding an expected decrease in gold scrapping, total revenues were up 6%, driven by 3% increases in consumer loan fees and merchandise sales in the United States and Mexico. In addition, we had two structured financing transactions at Grupo Finmart from which we recognized $10 million of revenues.</w:t>
      </w:r>
    </w:p>
    <w:p>
      <w:pPr>
        <w:spacing w:after="0" w:line="188"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Cash and cash equivalents, including restricted cash, were $86 million at quarter-end, with aggregate consolidated debt of $382 million, comprised of the $230 million of our newly issued convertible debt and $152 million of Grupo Finmart third-party debt, which is non-recourse to EZCORP.</w:t>
      </w:r>
    </w:p>
    <w:p>
      <w:pPr>
        <w:spacing w:after="0" w:line="180" w:lineRule="exact"/>
        <w:rPr>
          <w:sz w:val="20"/>
          <w:szCs w:val="20"/>
          <w:color w:val="auto"/>
        </w:rPr>
      </w:pPr>
    </w:p>
    <w:p>
      <w:pPr>
        <w:jc w:val="right"/>
        <w:ind w:right="10020"/>
        <w:spacing w:after="0"/>
        <w:rPr>
          <w:sz w:val="20"/>
          <w:szCs w:val="20"/>
          <w:color w:val="auto"/>
        </w:rPr>
      </w:pPr>
      <w:r>
        <w:rPr>
          <w:rFonts w:ascii="Arial" w:cs="Arial" w:eastAsia="Arial" w:hAnsi="Arial"/>
          <w:sz w:val="19"/>
          <w:szCs w:val="19"/>
          <w:b w:val="1"/>
          <w:bCs w:val="1"/>
          <w:u w:val="single" w:color="auto"/>
          <w:color w:val="auto"/>
        </w:rPr>
        <w:t>U.S. &amp; Canada</w:t>
      </w:r>
    </w:p>
    <w:p>
      <w:pPr>
        <w:spacing w:after="0" w:line="260" w:lineRule="exact"/>
        <w:rPr>
          <w:sz w:val="20"/>
          <w:szCs w:val="20"/>
          <w:color w:val="auto"/>
        </w:rPr>
      </w:pPr>
    </w:p>
    <w:p>
      <w:pPr>
        <w:jc w:val="right"/>
        <w:ind w:right="10020"/>
        <w:spacing w:after="0"/>
        <w:rPr>
          <w:sz w:val="20"/>
          <w:szCs w:val="20"/>
          <w:color w:val="auto"/>
        </w:rPr>
      </w:pPr>
      <w:r>
        <w:rPr>
          <w:rFonts w:ascii="Arial" w:cs="Arial" w:eastAsia="Arial" w:hAnsi="Arial"/>
          <w:sz w:val="22"/>
          <w:szCs w:val="22"/>
          <w:i w:val="1"/>
          <w:iCs w:val="1"/>
          <w:color w:val="auto"/>
        </w:rPr>
        <w:t>Pawn —</w:t>
      </w:r>
    </w:p>
    <w:p>
      <w:pPr>
        <w:spacing w:after="0" w:line="220" w:lineRule="exact"/>
        <w:rPr>
          <w:sz w:val="20"/>
          <w:szCs w:val="20"/>
          <w:color w:val="auto"/>
        </w:rPr>
      </w:pPr>
    </w:p>
    <w:p>
      <w:pPr>
        <w:ind w:left="1300" w:right="20" w:hanging="320"/>
        <w:spacing w:after="0" w:line="263" w:lineRule="auto"/>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Pawn loan balances were $141 million at quarter-end, up 2% in total and up 3% on a same-store basis due to transactional growth in new loans made in general merchandise and jewelry.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14</w:t>
      </w:r>
    </w:p>
    <w:p>
      <w:pPr>
        <w:sectPr>
          <w:pgSz w:w="11900" w:h="16838" w:orient="portrait"/>
          <w:cols w:equalWidth="0" w:num="1">
            <w:col w:w="11420"/>
          </w:cols>
          <w:pgMar w:left="240" w:top="585" w:right="239" w:bottom="1440" w:gutter="0" w:footer="0" w:header="0"/>
        </w:sectPr>
      </w:pPr>
    </w:p>
    <w:bookmarkStart w:id="5" w:name="page6"/>
    <w:bookmarkEnd w:id="5"/>
    <w:p>
      <w:pPr>
        <w:ind w:left="1300" w:hanging="320"/>
        <w:spacing w:after="0" w:line="343" w:lineRule="auto"/>
        <w:tabs>
          <w:tab w:leader="none" w:pos="1300" w:val="left"/>
        </w:tabs>
        <w:numPr>
          <w:ilvl w:val="0"/>
          <w:numId w:val="4"/>
        </w:numPr>
        <w:rPr>
          <w:rFonts w:ascii="Arial" w:cs="Arial" w:eastAsia="Arial" w:hAnsi="Arial"/>
          <w:sz w:val="19"/>
          <w:szCs w:val="19"/>
          <w:color w:val="auto"/>
        </w:rPr>
      </w:pPr>
      <w:r>
        <w:rPr>
          <w:rFonts w:ascii="Arial" w:cs="Arial" w:eastAsia="Arial" w:hAnsi="Arial"/>
          <w:sz w:val="19"/>
          <w:szCs w:val="19"/>
          <w:color w:val="auto"/>
        </w:rPr>
        <w:t>Redemption rates were 85%, up 100 basis points compared to a year ago, driven by a 200 basis point increase in the jewelry redemption rate to 89%, and a 100 basis point increase in general merchandise redemption rate to 78%.</w:t>
      </w:r>
    </w:p>
    <w:p>
      <w:pPr>
        <w:spacing w:after="0" w:line="104" w:lineRule="exact"/>
        <w:rPr>
          <w:rFonts w:ascii="Arial" w:cs="Arial" w:eastAsia="Arial" w:hAnsi="Arial"/>
          <w:sz w:val="19"/>
          <w:szCs w:val="19"/>
          <w:color w:val="auto"/>
        </w:rPr>
      </w:pPr>
    </w:p>
    <w:p>
      <w:pPr>
        <w:ind w:left="1300" w:right="20" w:hanging="320"/>
        <w:spacing w:after="0" w:line="343" w:lineRule="auto"/>
        <w:tabs>
          <w:tab w:leader="none" w:pos="1300" w:val="left"/>
        </w:tabs>
        <w:numPr>
          <w:ilvl w:val="0"/>
          <w:numId w:val="4"/>
        </w:numPr>
        <w:rPr>
          <w:rFonts w:ascii="Arial" w:cs="Arial" w:eastAsia="Arial" w:hAnsi="Arial"/>
          <w:sz w:val="19"/>
          <w:szCs w:val="19"/>
          <w:color w:val="auto"/>
        </w:rPr>
      </w:pPr>
      <w:r>
        <w:rPr>
          <w:rFonts w:ascii="Arial" w:cs="Arial" w:eastAsia="Arial" w:hAnsi="Arial"/>
          <w:sz w:val="19"/>
          <w:szCs w:val="19"/>
          <w:color w:val="auto"/>
        </w:rPr>
        <w:t>Total merchandise sales increased 4% in total and 5% on a same-store basis over the same quarter last year, driven by growth in storefront jewelry sales and strong online performance. Gross margin on merchandise sales was 38%.</w:t>
      </w:r>
    </w:p>
    <w:p>
      <w:pPr>
        <w:spacing w:after="0" w:line="104" w:lineRule="exact"/>
        <w:rPr>
          <w:rFonts w:ascii="Arial" w:cs="Arial" w:eastAsia="Arial" w:hAnsi="Arial"/>
          <w:sz w:val="19"/>
          <w:szCs w:val="19"/>
          <w:color w:val="auto"/>
        </w:rPr>
      </w:pPr>
    </w:p>
    <w:p>
      <w:pPr>
        <w:jc w:val="both"/>
        <w:ind w:left="1300" w:right="20" w:hanging="320"/>
        <w:spacing w:after="0" w:line="253" w:lineRule="auto"/>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Jewelry sales increased 18% in total and 16% on a same-store basis compared to the same quarter last year, with gross margin of 43%. For the first nine months of the fiscal year, jewelry sales growth was 27% in total and 23% on a same-store basis.</w:t>
      </w:r>
    </w:p>
    <w:p>
      <w:pPr>
        <w:spacing w:after="0" w:line="185" w:lineRule="exact"/>
        <w:rPr>
          <w:rFonts w:ascii="Arial" w:cs="Arial" w:eastAsia="Arial" w:hAnsi="Arial"/>
          <w:sz w:val="22"/>
          <w:szCs w:val="22"/>
          <w:color w:val="auto"/>
        </w:rPr>
      </w:pPr>
    </w:p>
    <w:p>
      <w:pPr>
        <w:ind w:left="1300" w:hanging="320"/>
        <w:spacing w:after="0" w:line="263" w:lineRule="auto"/>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Online sales grew 51% over the same quarter last year and accounted for roughly10% of the segment’s total merchandise sales. Gross margin was 43% as compared to 42% for the same quarter last year.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Financial Services —</w:t>
      </w:r>
    </w:p>
    <w:p>
      <w:pPr>
        <w:spacing w:after="0" w:line="220" w:lineRule="exact"/>
        <w:rPr>
          <w:sz w:val="20"/>
          <w:szCs w:val="20"/>
          <w:color w:val="auto"/>
        </w:rPr>
      </w:pPr>
    </w:p>
    <w:p>
      <w:pPr>
        <w:jc w:val="both"/>
        <w:ind w:left="1300" w:hanging="320"/>
        <w:spacing w:after="0" w:line="253"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Total loan balances including CSO loans, net of reserves, were $48 million at quarter-end, a 5% increase over the same quarter last year. For the quarter, including CSO loans, installment loans were up 51% while auto title loans decreased 1% and traditional payday loans declined 9%.</w:t>
      </w:r>
    </w:p>
    <w:p>
      <w:pPr>
        <w:spacing w:after="0" w:line="185" w:lineRule="exact"/>
        <w:rPr>
          <w:rFonts w:ascii="Arial" w:cs="Arial" w:eastAsia="Arial" w:hAnsi="Arial"/>
          <w:sz w:val="22"/>
          <w:szCs w:val="22"/>
          <w:color w:val="auto"/>
        </w:rPr>
      </w:pPr>
    </w:p>
    <w:p>
      <w:pPr>
        <w:jc w:val="both"/>
        <w:ind w:left="1300" w:hanging="320"/>
        <w:spacing w:after="0" w:line="253"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Total loan fees were $42 million, up 4% over the same quarter last year. The gap in growth between loan balances and fees year-over-year is the result of a shift in product mix to lower yielding products driven by a more competitive marketplace and regulatory impact.</w:t>
      </w:r>
    </w:p>
    <w:p>
      <w:pPr>
        <w:spacing w:after="0" w:line="185" w:lineRule="exact"/>
        <w:rPr>
          <w:rFonts w:ascii="Arial" w:cs="Arial" w:eastAsia="Arial" w:hAnsi="Arial"/>
          <w:sz w:val="22"/>
          <w:szCs w:val="22"/>
          <w:color w:val="auto"/>
        </w:rPr>
      </w:pPr>
    </w:p>
    <w:p>
      <w:pPr>
        <w:ind w:left="1300" w:right="20" w:hanging="320"/>
        <w:spacing w:after="0" w:line="263"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Bad debt as a percentage of fees was 31%, up 600 basis points over the same quarter last year, driven primarily by our online lending business.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Latin America</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Consumer Lending —</w:t>
      </w:r>
    </w:p>
    <w:p>
      <w:pPr>
        <w:spacing w:after="0" w:line="220" w:lineRule="exact"/>
        <w:rPr>
          <w:sz w:val="20"/>
          <w:szCs w:val="20"/>
          <w:color w:val="auto"/>
        </w:rPr>
      </w:pPr>
    </w:p>
    <w:p>
      <w:pPr>
        <w:ind w:left="660" w:right="180"/>
        <w:spacing w:after="0" w:line="253" w:lineRule="auto"/>
        <w:rPr>
          <w:sz w:val="20"/>
          <w:szCs w:val="20"/>
          <w:color w:val="auto"/>
        </w:rPr>
      </w:pPr>
      <w:r>
        <w:rPr>
          <w:rFonts w:ascii="Arial" w:cs="Arial" w:eastAsia="Arial" w:hAnsi="Arial"/>
          <w:sz w:val="22"/>
          <w:szCs w:val="22"/>
          <w:color w:val="auto"/>
        </w:rPr>
        <w:t>On the last day of the third quarter of fiscal 2014, EZCORP acquired an additional 16% percent ownership of Grupo Finmart and now owns 76% of the company. Grupo Finmart is a vertically integrated lender focused on the following core business activities:</w:t>
      </w:r>
    </w:p>
    <w:p>
      <w:pPr>
        <w:spacing w:after="0" w:line="186" w:lineRule="exact"/>
        <w:rPr>
          <w:sz w:val="20"/>
          <w:szCs w:val="20"/>
          <w:color w:val="auto"/>
        </w:rPr>
      </w:pPr>
    </w:p>
    <w:p>
      <w:pPr>
        <w:ind w:left="1300" w:right="140" w:hanging="320"/>
        <w:spacing w:after="0" w:line="263" w:lineRule="auto"/>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Development and servicing of primarily government agency contracts authorizing Grupo Finmart to lend to agency employees.</w:t>
      </w:r>
    </w:p>
    <w:p>
      <w:pPr>
        <w:spacing w:after="0" w:line="174" w:lineRule="exact"/>
        <w:rPr>
          <w:rFonts w:ascii="Arial" w:cs="Arial" w:eastAsia="Arial" w:hAnsi="Arial"/>
          <w:sz w:val="22"/>
          <w:szCs w:val="22"/>
          <w:color w:val="auto"/>
        </w:rPr>
      </w:pPr>
    </w:p>
    <w:p>
      <w:pPr>
        <w:ind w:left="1300" w:right="480" w:hanging="320"/>
        <w:spacing w:after="0" w:line="263" w:lineRule="auto"/>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Origination of new loans through a number of expanding sales channels (direct/indirect sales teams, call center, mobile units and branches).</w:t>
      </w:r>
    </w:p>
    <w:p>
      <w:pPr>
        <w:spacing w:after="0" w:line="174" w:lineRule="exact"/>
        <w:rPr>
          <w:rFonts w:ascii="Arial" w:cs="Arial" w:eastAsia="Arial" w:hAnsi="Arial"/>
          <w:sz w:val="22"/>
          <w:szCs w:val="22"/>
          <w:color w:val="auto"/>
        </w:rPr>
      </w:pPr>
    </w:p>
    <w:p>
      <w:pPr>
        <w:ind w:left="1300" w:right="40" w:hanging="320"/>
        <w:spacing w:after="0" w:line="263" w:lineRule="auto"/>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Grupo Finmart is a financial intermediary that has developed a hybrid business comprised of a distributor model and a loan portfolio model.</w:t>
      </w:r>
    </w:p>
    <w:p>
      <w:pPr>
        <w:spacing w:after="0" w:line="174" w:lineRule="exact"/>
        <w:rPr>
          <w:rFonts w:ascii="Arial" w:cs="Arial" w:eastAsia="Arial" w:hAnsi="Arial"/>
          <w:sz w:val="22"/>
          <w:szCs w:val="22"/>
          <w:color w:val="auto"/>
        </w:rPr>
      </w:pPr>
    </w:p>
    <w:p>
      <w:pPr>
        <w:ind w:left="1620" w:right="540" w:hanging="640"/>
        <w:spacing w:after="0" w:line="263" w:lineRule="auto"/>
        <w:tabs>
          <w:tab w:leader="none" w:pos="1296" w:val="left"/>
        </w:tabs>
        <w:numPr>
          <w:ilvl w:val="0"/>
          <w:numId w:val="6"/>
        </w:numPr>
        <w:rPr>
          <w:rFonts w:ascii="Arial" w:cs="Arial" w:eastAsia="Arial" w:hAnsi="Arial"/>
          <w:sz w:val="22"/>
          <w:szCs w:val="22"/>
          <w:color w:val="auto"/>
        </w:rPr>
      </w:pPr>
      <w:r>
        <w:rPr>
          <w:rFonts w:ascii="Arial" w:cs="Arial" w:eastAsia="Arial" w:hAnsi="Arial"/>
          <w:sz w:val="22"/>
          <w:szCs w:val="22"/>
          <w:color w:val="auto"/>
        </w:rPr>
        <w:t>Grupo Finmart began using structured financing transactions in the first quarter of this year. As a result, Grupo Finmart operates as a distributor, while continuing to service customer loans.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14</w:t>
      </w:r>
    </w:p>
    <w:p>
      <w:pPr>
        <w:sectPr>
          <w:pgSz w:w="11900" w:h="16838" w:orient="portrait"/>
          <w:cols w:equalWidth="0" w:num="1">
            <w:col w:w="11420"/>
          </w:cols>
          <w:pgMar w:left="240" w:top="591" w:right="239" w:bottom="1440" w:gutter="0" w:footer="0" w:header="0"/>
        </w:sectPr>
      </w:pPr>
    </w:p>
    <w:bookmarkStart w:id="6" w:name="page7"/>
    <w:bookmarkEnd w:id="6"/>
    <w:p>
      <w:pPr>
        <w:ind w:left="1300" w:hanging="320"/>
        <w:spacing w:after="0"/>
        <w:tabs>
          <w:tab w:leader="none" w:pos="1300" w:val="left"/>
        </w:tabs>
        <w:numPr>
          <w:ilvl w:val="0"/>
          <w:numId w:val="7"/>
        </w:numPr>
        <w:rPr>
          <w:rFonts w:ascii="Arial" w:cs="Arial" w:eastAsia="Arial" w:hAnsi="Arial"/>
          <w:sz w:val="19"/>
          <w:szCs w:val="19"/>
          <w:color w:val="auto"/>
        </w:rPr>
      </w:pPr>
      <w:r>
        <w:rPr>
          <w:rFonts w:ascii="Arial" w:cs="Arial" w:eastAsia="Arial" w:hAnsi="Arial"/>
          <w:sz w:val="19"/>
          <w:szCs w:val="19"/>
          <w:color w:val="auto"/>
        </w:rPr>
        <w:t>Grupo Finmart will continue to grow the loan portfolio as well as sell a portion of the portfolio on a regular basis.</w:t>
      </w:r>
    </w:p>
    <w:p>
      <w:pPr>
        <w:spacing w:after="0" w:line="254" w:lineRule="exact"/>
        <w:rPr>
          <w:rFonts w:ascii="Arial" w:cs="Arial" w:eastAsia="Arial" w:hAnsi="Arial"/>
          <w:sz w:val="19"/>
          <w:szCs w:val="19"/>
          <w:color w:val="auto"/>
        </w:rPr>
      </w:pPr>
    </w:p>
    <w:p>
      <w:pPr>
        <w:ind w:left="1620" w:right="380" w:hanging="640"/>
        <w:spacing w:after="0" w:line="287" w:lineRule="auto"/>
        <w:tabs>
          <w:tab w:leader="none" w:pos="1296"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hybrid approach is an important competitive advantage for the business that allows for maximum flexibility, healthy diversification in funding sources and consistent availability of capital for growth.</w:t>
      </w:r>
    </w:p>
    <w:p>
      <w:pPr>
        <w:spacing w:after="0" w:line="152" w:lineRule="exact"/>
        <w:rPr>
          <w:sz w:val="20"/>
          <w:szCs w:val="20"/>
          <w:color w:val="auto"/>
        </w:rPr>
      </w:pPr>
    </w:p>
    <w:p>
      <w:pPr>
        <w:ind w:left="660" w:right="460"/>
        <w:spacing w:after="0" w:line="263" w:lineRule="auto"/>
        <w:rPr>
          <w:sz w:val="20"/>
          <w:szCs w:val="20"/>
          <w:color w:val="auto"/>
        </w:rPr>
      </w:pPr>
      <w:r>
        <w:rPr>
          <w:rFonts w:ascii="Arial" w:cs="Arial" w:eastAsia="Arial" w:hAnsi="Arial"/>
          <w:sz w:val="22"/>
          <w:szCs w:val="22"/>
          <w:color w:val="auto"/>
        </w:rPr>
        <w:t>In the third quarter, Grupo Finmart's financial results were driven by focusing on organic growth initiatives, optimizing financing strategy, and capitalizing on increasing market demand.</w:t>
      </w:r>
    </w:p>
    <w:p>
      <w:pPr>
        <w:spacing w:after="0" w:line="175"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New loan originations for the quarter grew 22% over last year to $22 million from $18 million.</w:t>
      </w:r>
    </w:p>
    <w:p>
      <w:pPr>
        <w:spacing w:after="0" w:line="219" w:lineRule="exact"/>
        <w:rPr>
          <w:rFonts w:ascii="Arial" w:cs="Arial" w:eastAsia="Arial" w:hAnsi="Arial"/>
          <w:sz w:val="22"/>
          <w:szCs w:val="22"/>
          <w:color w:val="auto"/>
        </w:rPr>
      </w:pPr>
    </w:p>
    <w:p>
      <w:pPr>
        <w:ind w:left="1300" w:hanging="320"/>
        <w:spacing w:after="0"/>
        <w:tabs>
          <w:tab w:leader="none" w:pos="1300" w:val="left"/>
        </w:tabs>
        <w:numPr>
          <w:ilvl w:val="0"/>
          <w:numId w:val="8"/>
        </w:numPr>
        <w:rPr>
          <w:rFonts w:ascii="Arial" w:cs="Arial" w:eastAsia="Arial" w:hAnsi="Arial"/>
          <w:sz w:val="21"/>
          <w:szCs w:val="21"/>
          <w:color w:val="auto"/>
        </w:rPr>
      </w:pPr>
      <w:r>
        <w:rPr>
          <w:rFonts w:ascii="Arial" w:cs="Arial" w:eastAsia="Arial" w:hAnsi="Arial"/>
          <w:sz w:val="21"/>
          <w:szCs w:val="21"/>
          <w:color w:val="auto"/>
        </w:rPr>
        <w:t>Total consumer loan fees and interest was $15 million, up 15% as compared to the same period last year.</w:t>
      </w:r>
    </w:p>
    <w:p>
      <w:pPr>
        <w:spacing w:after="0" w:line="231" w:lineRule="exact"/>
        <w:rPr>
          <w:rFonts w:ascii="Arial" w:cs="Arial" w:eastAsia="Arial" w:hAnsi="Arial"/>
          <w:sz w:val="21"/>
          <w:szCs w:val="21"/>
          <w:color w:val="auto"/>
        </w:rPr>
      </w:pPr>
    </w:p>
    <w:p>
      <w:pPr>
        <w:ind w:left="1300" w:hanging="320"/>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Three new government contracts were signed including one with the State of Tabasco.</w:t>
      </w:r>
    </w:p>
    <w:p>
      <w:pPr>
        <w:spacing w:after="0" w:line="219" w:lineRule="exact"/>
        <w:rPr>
          <w:rFonts w:ascii="Arial" w:cs="Arial" w:eastAsia="Arial" w:hAnsi="Arial"/>
          <w:sz w:val="22"/>
          <w:szCs w:val="22"/>
          <w:color w:val="auto"/>
        </w:rPr>
      </w:pPr>
    </w:p>
    <w:p>
      <w:pPr>
        <w:ind w:left="1300" w:hanging="320"/>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22"/>
          <w:szCs w:val="22"/>
          <w:color w:val="auto"/>
        </w:rPr>
        <w:t>Bad debt as a percentage of fees was 9%, up from 5% in the same last quarter last year.</w:t>
      </w:r>
    </w:p>
    <w:p>
      <w:pPr>
        <w:spacing w:after="0" w:line="219" w:lineRule="exact"/>
        <w:rPr>
          <w:rFonts w:ascii="Arial" w:cs="Arial" w:eastAsia="Arial" w:hAnsi="Arial"/>
          <w:sz w:val="22"/>
          <w:szCs w:val="22"/>
          <w:color w:val="auto"/>
        </w:rPr>
      </w:pPr>
    </w:p>
    <w:p>
      <w:pPr>
        <w:ind w:left="1300" w:right="300" w:hanging="320"/>
        <w:spacing w:after="0" w:line="287" w:lineRule="auto"/>
        <w:tabs>
          <w:tab w:leader="none" w:pos="1300" w:val="left"/>
        </w:tabs>
        <w:numPr>
          <w:ilvl w:val="0"/>
          <w:numId w:val="8"/>
        </w:numPr>
        <w:rPr>
          <w:rFonts w:ascii="Arial" w:cs="Arial" w:eastAsia="Arial" w:hAnsi="Arial"/>
          <w:sz w:val="21"/>
          <w:szCs w:val="21"/>
          <w:color w:val="auto"/>
        </w:rPr>
      </w:pPr>
      <w:r>
        <w:rPr>
          <w:rFonts w:ascii="Arial" w:cs="Arial" w:eastAsia="Arial" w:hAnsi="Arial"/>
          <w:sz w:val="21"/>
          <w:szCs w:val="21"/>
          <w:color w:val="auto"/>
        </w:rPr>
        <w:t>Our planned structured financing transactions this quarter resulted in $38 million in accelerated cash flow to fund new loan originations, and a $10 million gain reported in “Consumer loan sales and other.”</w:t>
      </w:r>
    </w:p>
    <w:p>
      <w:pPr>
        <w:spacing w:after="0" w:line="151" w:lineRule="exact"/>
        <w:rPr>
          <w:rFonts w:ascii="Arial" w:cs="Arial" w:eastAsia="Arial" w:hAnsi="Arial"/>
          <w:sz w:val="21"/>
          <w:szCs w:val="21"/>
          <w:color w:val="auto"/>
        </w:rPr>
      </w:pPr>
    </w:p>
    <w:p>
      <w:pPr>
        <w:ind w:left="1300" w:hanging="320"/>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This quarter's structured asset sales represented less than 25% of the company's current loan portfolio.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Pawn — Latin America</w:t>
      </w:r>
    </w:p>
    <w:p>
      <w:pPr>
        <w:spacing w:after="0" w:line="220" w:lineRule="exact"/>
        <w:rPr>
          <w:sz w:val="20"/>
          <w:szCs w:val="20"/>
          <w:color w:val="auto"/>
        </w:rPr>
      </w:pPr>
    </w:p>
    <w:p>
      <w:pPr>
        <w:ind w:left="1300" w:hanging="320"/>
        <w:spacing w:after="0" w:line="263" w:lineRule="auto"/>
        <w:tabs>
          <w:tab w:leader="none" w:pos="1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Pawn loan balances were $17 million, up 7% over the same quarter last year. The yield on the loan balance improved 1100 basis points to 195% as compared to the same period last year.</w:t>
      </w:r>
    </w:p>
    <w:p>
      <w:pPr>
        <w:spacing w:after="0" w:line="174" w:lineRule="exact"/>
        <w:rPr>
          <w:rFonts w:ascii="Arial" w:cs="Arial" w:eastAsia="Arial" w:hAnsi="Arial"/>
          <w:sz w:val="22"/>
          <w:szCs w:val="22"/>
          <w:color w:val="auto"/>
        </w:rPr>
      </w:pPr>
    </w:p>
    <w:p>
      <w:pPr>
        <w:ind w:left="1300" w:hanging="320"/>
        <w:spacing w:after="0" w:line="287" w:lineRule="auto"/>
        <w:tabs>
          <w:tab w:leader="none" w:pos="1300" w:val="left"/>
        </w:tabs>
        <w:numPr>
          <w:ilvl w:val="0"/>
          <w:numId w:val="9"/>
        </w:numPr>
        <w:rPr>
          <w:rFonts w:ascii="Arial" w:cs="Arial" w:eastAsia="Arial" w:hAnsi="Arial"/>
          <w:sz w:val="21"/>
          <w:szCs w:val="21"/>
          <w:color w:val="auto"/>
        </w:rPr>
      </w:pPr>
      <w:r>
        <w:rPr>
          <w:rFonts w:ascii="Arial" w:cs="Arial" w:eastAsia="Arial" w:hAnsi="Arial"/>
          <w:sz w:val="21"/>
          <w:szCs w:val="21"/>
          <w:color w:val="auto"/>
        </w:rPr>
        <w:t>Redemption rates were 76%, up 300 basis points compared to a year ago, driven by a 600 basis point increase in jewelry redemption rates to 75% and a 300 basis point increase in general merchandise to 76%.</w:t>
      </w:r>
    </w:p>
    <w:p>
      <w:pPr>
        <w:spacing w:after="0" w:line="151" w:lineRule="exact"/>
        <w:rPr>
          <w:rFonts w:ascii="Arial" w:cs="Arial" w:eastAsia="Arial" w:hAnsi="Arial"/>
          <w:sz w:val="21"/>
          <w:szCs w:val="21"/>
          <w:color w:val="auto"/>
        </w:rPr>
      </w:pPr>
    </w:p>
    <w:p>
      <w:pPr>
        <w:ind w:left="1300" w:hanging="320"/>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Merchandise sales decreased 4% compared to last year.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International</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Online Lending —</w:t>
      </w:r>
    </w:p>
    <w:p>
      <w:pPr>
        <w:spacing w:after="0" w:line="220" w:lineRule="exact"/>
        <w:rPr>
          <w:sz w:val="20"/>
          <w:szCs w:val="20"/>
          <w:color w:val="auto"/>
        </w:rPr>
      </w:pPr>
    </w:p>
    <w:p>
      <w:pPr>
        <w:ind w:left="980" w:right="1820"/>
        <w:spacing w:after="0" w:line="448" w:lineRule="auto"/>
        <w:tabs>
          <w:tab w:leader="none" w:pos="1304" w:val="left"/>
        </w:tabs>
        <w:numPr>
          <w:ilvl w:val="0"/>
          <w:numId w:val="10"/>
        </w:numPr>
        <w:rPr>
          <w:rFonts w:ascii="Arial" w:cs="Arial" w:eastAsia="Arial" w:hAnsi="Arial"/>
          <w:sz w:val="22"/>
          <w:szCs w:val="22"/>
          <w:color w:val="auto"/>
        </w:rPr>
      </w:pPr>
      <w:r>
        <w:rPr>
          <w:rFonts w:ascii="Arial" w:cs="Arial" w:eastAsia="Arial" w:hAnsi="Arial"/>
          <w:sz w:val="22"/>
          <w:szCs w:val="22"/>
          <w:color w:val="auto"/>
        </w:rPr>
        <w:t>At Cash Genie, our U.K. online lending business, total loan fees were $5 million for the quarter. ▪ Total loan balances at the end of the quarter were $3 million.</w:t>
      </w:r>
    </w:p>
    <w:p>
      <w:pPr>
        <w:spacing w:after="0" w:line="1" w:lineRule="exact"/>
        <w:rPr>
          <w:sz w:val="20"/>
          <w:szCs w:val="20"/>
          <w:color w:val="auto"/>
        </w:rPr>
      </w:pPr>
    </w:p>
    <w:p>
      <w:pPr>
        <w:ind w:left="1300" w:hanging="320"/>
        <w:spacing w:after="0" w:line="263" w:lineRule="auto"/>
        <w:tabs>
          <w:tab w:leader="none" w:pos="1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Bad debt as a percentage of fees was 66% for the quarter, as a result of business changes related to Financial Conduct Authority (FCA) regulations.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14</w:t>
      </w:r>
    </w:p>
    <w:p>
      <w:pPr>
        <w:sectPr>
          <w:pgSz w:w="11900" w:h="16838" w:orient="portrait"/>
          <w:cols w:equalWidth="0" w:num="1">
            <w:col w:w="11420"/>
          </w:cols>
          <w:pgMar w:left="240" w:top="591" w:right="239" w:bottom="1440" w:gutter="0" w:footer="0" w:header="0"/>
        </w:sectPr>
      </w:pPr>
    </w:p>
    <w:bookmarkStart w:id="7" w:name="page8"/>
    <w:bookmarkEnd w:id="7"/>
    <w:p>
      <w:pPr>
        <w:ind w:left="660"/>
        <w:spacing w:after="0"/>
        <w:rPr>
          <w:sz w:val="20"/>
          <w:szCs w:val="20"/>
          <w:color w:val="auto"/>
        </w:rPr>
      </w:pPr>
      <w:r>
        <w:rPr>
          <w:rFonts w:ascii="Arial" w:cs="Arial" w:eastAsia="Arial" w:hAnsi="Arial"/>
          <w:sz w:val="22"/>
          <w:szCs w:val="22"/>
          <w:i w:val="1"/>
          <w:iCs w:val="1"/>
          <w:color w:val="auto"/>
        </w:rPr>
        <w:t>Strategic Affiliates —</w:t>
      </w:r>
    </w:p>
    <w:p>
      <w:pPr>
        <w:spacing w:after="0" w:line="220"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Our income from our Cash Converters International affiliate was $2 million.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CEO Commentary</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Mr. Kuchenrither added, “As we have announced, there have been significant changes to the management and board of EZCORP over the past two weeks. These strategic changes were made in order to refocus the company on building a sustainable growth model which creates long-term shareholder value. We will employ a capital allocation strategy that is focused on achieving a return on invested capital of at least 15%."</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Outlook</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confirms its outlook for Q4 earnings per share of $0.37 to $0.39 from continuing operations, including the impact of our recent financing. This outlook does not take into account any potential expenses related to the recent management and board changes at the company.</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The company provides supplemental information on its website. For additional content, please see "Investor Resources &amp; Supplemental Information" at http://investors.ezcorp.com/.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EZCORP</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EZCORP, Inc. is a leader in delivering easy cash solutions to our customers across channels, products, services and markets. With approximately 7,500 team members and approximately 1,400 locations and branches, we give our customers multiple ways to access instant cash, including pawn loans and consumer loans in the United States, Mexico, Canada and the United Kingdom. We offer these products through four primary channels: in-store, online, at the worksite and through our mobile platform. At our pawn and buy/sell stores and online, we also sell merchandise, primarily collateral forfeited from pawn lending operations and used merchandise purchased from customers.</w:t>
      </w:r>
    </w:p>
    <w:p>
      <w:pPr>
        <w:spacing w:after="0" w:line="23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EZCORP owns controlling interests in Prestaciones Finmart, S.A.P.I. de C.V., SOFOM, E.N.R. (doing business under the names “Crediamigo” and “Adex”), a leading provider of consumer loans in Mexico; and in Renueva Commercial, S.A.P.I. de C.V., an operator of buy/sell stores in Mexico under the name “TUYO.” The company also has a significant investment in Cash Converters International Limited (CCV.ASX), which franchises and operates a worldwide network of over 700 stores that provide personal financial services and sell pre-owned merchandise.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the latest information on EZCORP, please visit our website at: </w:t>
      </w:r>
      <w:r>
        <w:rPr>
          <w:rFonts w:ascii="Arial" w:cs="Arial" w:eastAsia="Arial" w:hAnsi="Arial"/>
          <w:sz w:val="22"/>
          <w:szCs w:val="22"/>
          <w:u w:val="single" w:color="auto"/>
          <w:color w:val="0000FF"/>
        </w:rPr>
        <w:t>http://investors.ezcorp.com/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14</w:t>
      </w:r>
    </w:p>
    <w:p>
      <w:pPr>
        <w:sectPr>
          <w:pgSz w:w="11900" w:h="16838" w:orient="portrait"/>
          <w:cols w:equalWidth="0" w:num="1">
            <w:col w:w="11420"/>
          </w:cols>
          <w:pgMar w:left="240" w:top="591"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Forward-Looking Statements</w:t>
      </w:r>
    </w:p>
    <w:p>
      <w:pPr>
        <w:spacing w:after="0" w:line="22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This announcement contains certain forward-looking statements regarding the company’s expected operating and financial performance for future periods. These statements are based on the company’s current expectations. Actual results for future periods may differ materially from those expressed or implied by these forward-looking statements due to a number of uncertainties and other factors, including fluctuations in gold prices or the desire of our customers to pawn or sell their gold items, changes in the regulatory environment, changing market conditions in the overall economy and the industry, and consumer demand for the company’s services and merchandise. For a discussion of these and other factors affecting the company’s business and prospects, see the company’s annual, quarterly and other reports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Mark Trinske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and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(512) 314-2220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Investor_Relations@ezcorp.com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http://investors.ezcorp.com/</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 of 14</w:t>
      </w:r>
    </w:p>
    <w:p>
      <w:pPr>
        <w:sectPr>
          <w:pgSz w:w="11900" w:h="16838" w:orient="portrait"/>
          <w:cols w:equalWidth="0" w:num="1">
            <w:col w:w="11420"/>
          </w:cols>
          <w:pgMar w:left="240" w:top="58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08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Three Months Ended June 30,</w:t>
            </w:r>
          </w:p>
        </w:tc>
        <w:tc>
          <w:tcPr>
            <w:tcW w:w="190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Nine Months Ended June 30,</w:t>
            </w:r>
          </w:p>
        </w:tc>
      </w:tr>
      <w:tr>
        <w:trPr>
          <w:trHeight w:val="263"/>
        </w:trPr>
        <w:tc>
          <w:tcPr>
            <w:tcW w:w="74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Revenues: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Merchandise sales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89,170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86,576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298,211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281,262</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Jewelry scrapping sales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20,273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26,288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74,169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113,579</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Pawn service charges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59,917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60,397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183,212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187,812</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Consumer loan fees and interest</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61,144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59,234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192,258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183,119</w:t>
            </w: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Consumer loan sales and other</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10,876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2,671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22,587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10,169</w:t>
            </w:r>
          </w:p>
        </w:tc>
      </w:tr>
      <w:tr>
        <w:trPr>
          <w:trHeight w:val="250"/>
        </w:trPr>
        <w:tc>
          <w:tcPr>
            <w:tcW w:w="7440" w:type="dxa"/>
            <w:vAlign w:val="bottom"/>
          </w:tcPr>
          <w:p>
            <w:pPr>
              <w:ind w:left="600"/>
              <w:spacing w:after="0"/>
              <w:rPr>
                <w:sz w:val="20"/>
                <w:szCs w:val="20"/>
                <w:color w:val="auto"/>
              </w:rPr>
            </w:pPr>
            <w:r>
              <w:rPr>
                <w:rFonts w:ascii="Arial" w:cs="Arial" w:eastAsia="Arial" w:hAnsi="Arial"/>
                <w:sz w:val="14"/>
                <w:szCs w:val="14"/>
                <w:color w:val="auto"/>
              </w:rPr>
              <w:t>Total revenues</w:t>
            </w: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241,380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235,166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770,437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775,941</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Merchandise cost of goods sold</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183,196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164,711</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Jewelry scrapping cost of goods sold</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15,131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20,377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55,262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80,993</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loan bad debt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17,246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46,100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34,496</w:t>
            </w:r>
          </w:p>
        </w:tc>
      </w:tr>
      <w:tr>
        <w:trPr>
          <w:trHeight w:val="250"/>
        </w:trPr>
        <w:tc>
          <w:tcPr>
            <w:tcW w:w="7440" w:type="dxa"/>
            <w:vAlign w:val="bottom"/>
          </w:tcPr>
          <w:p>
            <w:pPr>
              <w:ind w:left="600"/>
              <w:spacing w:after="0"/>
              <w:rPr>
                <w:sz w:val="20"/>
                <w:szCs w:val="20"/>
                <w:color w:val="auto"/>
              </w:rPr>
            </w:pPr>
            <w:r>
              <w:rPr>
                <w:rFonts w:ascii="Arial" w:cs="Arial" w:eastAsia="Arial" w:hAnsi="Arial"/>
                <w:sz w:val="14"/>
                <w:szCs w:val="14"/>
                <w:color w:val="auto"/>
              </w:rPr>
              <w:t>Net revenues</w:t>
            </w: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153,252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151,221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485,879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495,741</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Operations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109,575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104,230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330,408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309,346</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Administrative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14,467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34,918</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Depreciation</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7,551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7,377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22,556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21,008</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3,621</w:t>
            </w: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(Gain) loss on sale or disposal of assets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w:t>
            </w: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133,207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126,020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402,789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369,113</w:t>
            </w:r>
          </w:p>
        </w:tc>
      </w:tr>
      <w:tr>
        <w:trPr>
          <w:trHeight w:val="250"/>
        </w:trPr>
        <w:tc>
          <w:tcPr>
            <w:tcW w:w="7440" w:type="dxa"/>
            <w:vAlign w:val="bottom"/>
          </w:tcPr>
          <w:p>
            <w:pPr>
              <w:ind w:left="600"/>
              <w:spacing w:after="0"/>
              <w:rPr>
                <w:sz w:val="20"/>
                <w:szCs w:val="20"/>
                <w:color w:val="auto"/>
              </w:rPr>
            </w:pPr>
            <w:r>
              <w:rPr>
                <w:rFonts w:ascii="Arial" w:cs="Arial" w:eastAsia="Arial" w:hAnsi="Arial"/>
                <w:sz w:val="14"/>
                <w:szCs w:val="14"/>
                <w:color w:val="auto"/>
              </w:rPr>
              <w:t>Operating income</w:t>
            </w: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20,045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83,090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126,628</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net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6,073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11,027</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Equity in net income of unconsolidated affiliates</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(4,328)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(13,491)</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of investments</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16,459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25,796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62,564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129,092</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4,302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9,139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18,387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42,084</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net of tax</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12,157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44,177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87,008</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(loss) from discontinued operations, net of tax</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(21,497)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(24,813)</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12,343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(4,840)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62,195</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from continuing operations attributable to redeemable noncontrolling interest</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3,738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3,378</w:t>
            </w: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EZCORP, Inc.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58,817</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(loss) per share attributable to EZCORP, Inc.:</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Continuing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0.29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0.74</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1.56</w:t>
            </w:r>
          </w:p>
        </w:tc>
      </w:tr>
      <w:tr>
        <w:trPr>
          <w:trHeight w:val="270"/>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Discontinued operations</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r>
      <w:tr>
        <w:trPr>
          <w:trHeight w:val="283"/>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Diluted earnings per share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0.21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(0.11)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0.77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1.10</w:t>
            </w:r>
          </w:p>
        </w:tc>
      </w:tr>
      <w:tr>
        <w:trPr>
          <w:trHeight w:val="210"/>
        </w:trPr>
        <w:tc>
          <w:tcPr>
            <w:tcW w:w="7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Weighted average shares outstanding diluted</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54,395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54,255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54,529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53,540</w:t>
            </w:r>
          </w:p>
        </w:tc>
      </w:tr>
      <w:tr>
        <w:trPr>
          <w:trHeight w:val="236"/>
        </w:trPr>
        <w:tc>
          <w:tcPr>
            <w:tcW w:w="7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income from continuing operations attributable to EZCORP, Inc.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11,320</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15,616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40,439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83,630</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discontinued operations attributable to EZCORP, Inc.</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(21,497)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(24,813)</w:t>
            </w: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Net income (loss) attributable to EZCORP, Inc.</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11,506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(5,881)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42,067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58,817</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 of 14</w:t>
      </w:r>
    </w:p>
    <w:p>
      <w:pPr>
        <w:sectPr>
          <w:pgSz w:w="11900" w:h="16838" w:orient="portrait"/>
          <w:cols w:equalWidth="0" w:num="1">
            <w:col w:w="11420"/>
          </w:cols>
          <w:pgMar w:left="240" w:top="796" w:right="239" w:bottom="1440" w:gutter="0" w:footer="0" w:header="0"/>
          <w:type w:val="continuous"/>
        </w:sectPr>
      </w:pPr>
    </w:p>
    <w:bookmarkStart w:id="10" w:name="page11"/>
    <w:bookmarkEnd w:id="10"/>
    <w:p>
      <w:pPr>
        <w:jc w:val="center"/>
        <w:ind w:left="3080"/>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left="3080"/>
        <w:spacing w:after="0"/>
        <w:rPr>
          <w:sz w:val="20"/>
          <w:szCs w:val="20"/>
          <w:color w:val="auto"/>
        </w:rPr>
      </w:pPr>
      <w:r>
        <w:rPr>
          <w:rFonts w:ascii="Arial" w:cs="Arial" w:eastAsia="Arial" w:hAnsi="Arial"/>
          <w:sz w:val="16"/>
          <w:szCs w:val="16"/>
          <w:b w:val="1"/>
          <w:bCs w:val="1"/>
          <w:color w:val="auto"/>
        </w:rPr>
        <w:t>Consolidated Balance Sheets (Unaudited)</w:t>
      </w:r>
    </w:p>
    <w:p>
      <w:pPr>
        <w:spacing w:after="0" w:line="32" w:lineRule="exact"/>
        <w:rPr>
          <w:sz w:val="20"/>
          <w:szCs w:val="20"/>
          <w:color w:val="auto"/>
        </w:rPr>
      </w:pPr>
    </w:p>
    <w:p>
      <w:pPr>
        <w:jc w:val="center"/>
        <w:ind w:left="3080"/>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assets: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Restricted cash</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Pawn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Consumer loans, net</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Pawn service charges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Consumer loan fees and interest receivable, net</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Inventory,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Deferred tax asset</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Income tax prepaid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Prepaid expenses and other assets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Investments in unconsolidated affiliates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Restricted cash, non-current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Intangible assets, net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Non-current consumer loans,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tax asset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Total assets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77470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liabilities: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Current maturities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Current capital lease obligations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payable and 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Other current liabilities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Customer layaway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Total current liabilities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Long-term debt, less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Long-term capital lease obligations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gains and other long-term liabilities</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Temporary equity:</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Redeemable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EZCORP, Inc. stockholders’ equity</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Total liabilities and stockholders’ equity</w:t>
      </w:r>
    </w:p>
    <w:p>
      <w:pPr>
        <w:spacing w:after="0" w:line="200" w:lineRule="exact"/>
        <w:rPr>
          <w:sz w:val="20"/>
          <w:szCs w:val="20"/>
          <w:color w:val="auto"/>
        </w:rPr>
      </w:pPr>
    </w:p>
    <w:p>
      <w:pPr>
        <w:spacing w:after="0" w:line="34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7 of 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r>
      <w:tr>
        <w:trPr>
          <w:trHeight w:val="783"/>
        </w:trPr>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49,999</w:t>
            </w:r>
          </w:p>
        </w:tc>
        <w:tc>
          <w:tcPr>
            <w:tcW w:w="100" w:type="dxa"/>
            <w:vAlign w:val="bottom"/>
          </w:tcPr>
          <w:p>
            <w:pPr>
              <w:spacing w:after="0"/>
              <w:rPr>
                <w:sz w:val="24"/>
                <w:szCs w:val="24"/>
                <w:color w:val="auto"/>
              </w:rPr>
            </w:pP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45,955</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13,248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3,132</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157,491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154,095</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76,748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42,883</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29,307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28,590</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38,351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35,315</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132,021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122,503</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13,825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15,716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21,779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12,937</w:t>
            </w:r>
          </w:p>
        </w:tc>
      </w:tr>
      <w:tr>
        <w:trPr>
          <w:trHeight w:val="278"/>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113,458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37,377</w:t>
            </w:r>
          </w:p>
        </w:tc>
      </w:tr>
      <w:tr>
        <w:trPr>
          <w:trHeight w:val="243"/>
        </w:trPr>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646,227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498,503</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90,730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146,707</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109,458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110,312</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22,473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2,182</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436,765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430,940</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62,915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60,687</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51,798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82,935</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9,308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8"/>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92,693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28,835</w:t>
            </w:r>
          </w:p>
        </w:tc>
      </w:tr>
      <w:tr>
        <w:trPr>
          <w:trHeight w:val="237"/>
        </w:trPr>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1,522,367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1,361,101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83"/>
        </w:trPr>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21,029</w:t>
            </w:r>
          </w:p>
        </w:tc>
        <w:tc>
          <w:tcPr>
            <w:tcW w:w="100" w:type="dxa"/>
            <w:vAlign w:val="bottom"/>
          </w:tcPr>
          <w:p>
            <w:pPr>
              <w:spacing w:after="0"/>
              <w:rPr>
                <w:sz w:val="24"/>
                <w:szCs w:val="24"/>
                <w:color w:val="auto"/>
              </w:rPr>
            </w:pP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33,525</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533</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90,234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68,960</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8,716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22,640</w:t>
            </w:r>
          </w:p>
        </w:tc>
      </w:tr>
      <w:tr>
        <w:trPr>
          <w:trHeight w:val="278"/>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8,206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7,912</w:t>
            </w:r>
          </w:p>
        </w:tc>
      </w:tr>
      <w:tr>
        <w:trPr>
          <w:trHeight w:val="243"/>
        </w:trPr>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128,705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133,570</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360,628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198,374</w:t>
            </w:r>
          </w:p>
        </w:tc>
      </w:tr>
      <w:tr>
        <w:trPr>
          <w:trHeight w:val="270"/>
        </w:trPr>
        <w:tc>
          <w:tcPr>
            <w:tcW w:w="2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521</w:t>
            </w:r>
          </w:p>
        </w:tc>
      </w:tr>
      <w:tr>
        <w:trPr>
          <w:trHeight w:val="270"/>
        </w:trPr>
        <w:tc>
          <w:tcPr>
            <w:tcW w:w="2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8,948</w:t>
            </w:r>
          </w:p>
        </w:tc>
      </w:tr>
      <w:tr>
        <w:trPr>
          <w:trHeight w:val="278"/>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18,463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23,351</w:t>
            </w:r>
          </w:p>
        </w:tc>
      </w:tr>
      <w:tr>
        <w:trPr>
          <w:trHeight w:val="243"/>
        </w:trPr>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507,796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364,764</w:t>
            </w:r>
          </w:p>
        </w:tc>
      </w:tr>
      <w:tr>
        <w:trPr>
          <w:trHeight w:val="540"/>
        </w:trPr>
        <w:tc>
          <w:tcPr>
            <w:tcW w:w="28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36,645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56,837</w:t>
            </w:r>
          </w:p>
        </w:tc>
      </w:tr>
      <w:tr>
        <w:trPr>
          <w:trHeight w:val="278"/>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977,926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939,500</w:t>
            </w:r>
          </w:p>
        </w:tc>
      </w:tr>
      <w:tr>
        <w:trPr>
          <w:trHeight w:val="237"/>
        </w:trPr>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1,522,367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1,361,101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260" w:space="720"/>
            <w:col w:w="2400"/>
          </w:cols>
          <w:pgMar w:left="28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June 30, 2014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74,674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14,496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89,170</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89,170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20,273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51,894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59,917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59,917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61,144</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Consumer loan sales and other</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10,333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10,876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10,876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187,757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241,380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241,380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45,927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9,824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55,751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55,751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12,894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17,246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17,246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153,252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 (income):</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84,553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109,575</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14,467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14,467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on sale or disposal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Interest expense (income), net</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6,073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Equity in net income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25,648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35,122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Income (loss) from continuing operations before</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restart"/>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35,122</w:t>
            </w:r>
          </w:p>
        </w:tc>
        <w:tc>
          <w:tcPr>
            <w:tcW w:w="100" w:type="dxa"/>
            <w:vAlign w:val="bottom"/>
          </w:tcPr>
          <w:p>
            <w:pPr>
              <w:spacing w:after="0"/>
              <w:rPr>
                <w:sz w:val="16"/>
                <w:szCs w:val="16"/>
                <w:color w:val="auto"/>
              </w:rPr>
            </w:pPr>
          </w:p>
        </w:tc>
        <w:tc>
          <w:tcPr>
            <w:tcW w:w="300" w:type="dxa"/>
            <w:vAlign w:val="bottom"/>
            <w:vMerge w:val="restart"/>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(18,663)</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16,459</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8"/>
                <w:szCs w:val="18"/>
                <w:color w:val="auto"/>
              </w:rPr>
              <w:t>8 of 14</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June 30, 2013</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Segments Total</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71,464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15,112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86,576</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86,576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26,288</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52,505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60,397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60,397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59,234</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Consumer loan sales and other</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191,594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235,166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235,166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41,795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9,255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51,050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51,050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20,377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 expense</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9,994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12,518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12,518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119,520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151,221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 (income):</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84,194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104,230</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12,644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12,644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Equity in net income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30,272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41,442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Income (loss) from continuing operations before</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restart"/>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41,442</w:t>
            </w:r>
          </w:p>
        </w:tc>
        <w:tc>
          <w:tcPr>
            <w:tcW w:w="100" w:type="dxa"/>
            <w:vAlign w:val="bottom"/>
          </w:tcPr>
          <w:p>
            <w:pPr>
              <w:spacing w:after="0"/>
              <w:rPr>
                <w:sz w:val="16"/>
                <w:szCs w:val="16"/>
                <w:color w:val="auto"/>
              </w:rPr>
            </w:pPr>
          </w:p>
        </w:tc>
        <w:tc>
          <w:tcPr>
            <w:tcW w:w="300" w:type="dxa"/>
            <w:vAlign w:val="bottom"/>
            <w:vMerge w:val="restart"/>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(15,646)</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25,796</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8"/>
                <w:szCs w:val="18"/>
                <w:color w:val="auto"/>
              </w:rPr>
              <w:t>9 of 14</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Nine Months Ended June 30, 2014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253,501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44,710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298,211</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298,211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69,531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74,169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161,117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22,095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183,212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183,212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136,108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192,258</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Consumer loan sales and other</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20,520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22,587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22,587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135,423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770,437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770,437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153,864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29,332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183,196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183,196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55,262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37,571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5,323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46,100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46,100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379,590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98,880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485,879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485,879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 (income):</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261,161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330,408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330,408</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50,244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50,244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22,556</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sale or disposal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11,628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11,613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4,067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15,680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Equity in net income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Impairment of investments</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110,487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22,901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125,386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(loss) from continuing operations before</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125,386</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(62,822)</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62,564</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vMerge w:val="restart"/>
          </w:tcPr>
          <w:p>
            <w:pPr>
              <w:ind w:left="120"/>
              <w:spacing w:after="0"/>
              <w:rPr>
                <w:sz w:val="20"/>
                <w:szCs w:val="20"/>
                <w:color w:val="auto"/>
              </w:rPr>
            </w:pPr>
            <w:r>
              <w:rPr>
                <w:rFonts w:ascii="Arial" w:cs="Arial" w:eastAsia="Arial" w:hAnsi="Arial"/>
                <w:sz w:val="18"/>
                <w:szCs w:val="18"/>
                <w:color w:val="auto"/>
              </w:rPr>
              <w:t>10 of 14</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Nine Months Ended June 30, 2013</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Segments Total</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237,577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43,685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281,262</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281,262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108,777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113,579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165,202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22,610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187,812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187,812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126,873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183,119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Consumer loan sales and other</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5,469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10,169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10,169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643,898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110,560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775,941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775,941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138,936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25,775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164,711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164,711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76,922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80,993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 expense (benefit)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27,363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34,496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34,496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400,677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495,741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495,741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 (income):</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251,593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309,346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309,346</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34,918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34,918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21,008</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3,621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Interest expense (income), net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8,205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8,211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11,027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Equity in net income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135,485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22,203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15,280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172,968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Income (loss) from continuing operations before</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restart"/>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172,968</w:t>
            </w:r>
          </w:p>
        </w:tc>
        <w:tc>
          <w:tcPr>
            <w:tcW w:w="100" w:type="dxa"/>
            <w:vAlign w:val="bottom"/>
          </w:tcPr>
          <w:p>
            <w:pPr>
              <w:spacing w:after="0"/>
              <w:rPr>
                <w:sz w:val="16"/>
                <w:szCs w:val="16"/>
                <w:color w:val="auto"/>
              </w:rPr>
            </w:pPr>
          </w:p>
        </w:tc>
        <w:tc>
          <w:tcPr>
            <w:tcW w:w="300" w:type="dxa"/>
            <w:vAlign w:val="bottom"/>
            <w:vMerge w:val="restart"/>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(43,876)</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129,092</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11 of 14</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Store Count Activity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5"/>
          </w:tcPr>
          <w:p>
            <w:pPr>
              <w:jc w:val="center"/>
              <w:ind w:left="1096"/>
              <w:spacing w:after="0"/>
              <w:rPr>
                <w:sz w:val="20"/>
                <w:szCs w:val="20"/>
                <w:color w:val="auto"/>
              </w:rPr>
            </w:pPr>
            <w:r>
              <w:rPr>
                <w:rFonts w:ascii="Arial" w:cs="Arial" w:eastAsia="Arial" w:hAnsi="Arial"/>
                <w:sz w:val="14"/>
                <w:szCs w:val="14"/>
                <w:b w:val="1"/>
                <w:bCs w:val="1"/>
                <w:color w:val="auto"/>
                <w:w w:val="93"/>
              </w:rPr>
              <w:t>Three Months Ended June 30, 2014</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8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Other</w:t>
            </w:r>
          </w:p>
        </w:tc>
        <w:tc>
          <w:tcPr>
            <w:tcW w:w="12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4"/>
              </w:rPr>
              <w:t>Consolidated</w:t>
            </w:r>
          </w:p>
        </w:tc>
        <w:tc>
          <w:tcPr>
            <w:tcW w:w="100" w:type="dxa"/>
            <w:vAlign w:val="bottom"/>
            <w:vMerge w:val="restart"/>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jc w:val="center"/>
              <w:ind w:left="1096"/>
              <w:spacing w:after="0"/>
              <w:rPr>
                <w:sz w:val="20"/>
                <w:szCs w:val="20"/>
                <w:color w:val="auto"/>
              </w:rPr>
            </w:pPr>
            <w:r>
              <w:rPr>
                <w:rFonts w:ascii="Arial" w:cs="Arial" w:eastAsia="Arial" w:hAnsi="Arial"/>
                <w:sz w:val="14"/>
                <w:szCs w:val="14"/>
                <w:b w:val="1"/>
                <w:bCs w:val="1"/>
                <w:color w:val="auto"/>
                <w:w w:val="93"/>
              </w:rPr>
              <w:t>Three Months Ended June 30, 2013</w:t>
            </w: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8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Other</w:t>
            </w:r>
          </w:p>
        </w:tc>
        <w:tc>
          <w:tcPr>
            <w:tcW w:w="12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4"/>
              </w:rPr>
              <w:t>Consolidated</w:t>
            </w:r>
          </w:p>
        </w:tc>
        <w:tc>
          <w:tcPr>
            <w:tcW w:w="100" w:type="dxa"/>
            <w:vAlign w:val="bottom"/>
            <w:vMerge w:val="restart"/>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Acquired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5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Stores in continuing operations:</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1,011</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jc w:val="center"/>
              <w:ind w:left="1096"/>
              <w:spacing w:after="0"/>
              <w:rPr>
                <w:sz w:val="20"/>
                <w:szCs w:val="20"/>
                <w:color w:val="auto"/>
              </w:rPr>
            </w:pPr>
            <w:r>
              <w:rPr>
                <w:rFonts w:ascii="Arial" w:cs="Arial" w:eastAsia="Arial" w:hAnsi="Arial"/>
                <w:sz w:val="14"/>
                <w:szCs w:val="14"/>
                <w:b w:val="1"/>
                <w:bCs w:val="1"/>
                <w:color w:val="auto"/>
                <w:w w:val="93"/>
              </w:rPr>
              <w:t>Nine Months Ended June 30, 2014</w:t>
            </w: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8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Other</w:t>
            </w:r>
          </w:p>
        </w:tc>
        <w:tc>
          <w:tcPr>
            <w:tcW w:w="12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4"/>
              </w:rPr>
              <w:t>Consolidated</w:t>
            </w:r>
          </w:p>
        </w:tc>
        <w:tc>
          <w:tcPr>
            <w:tcW w:w="100" w:type="dxa"/>
            <w:vAlign w:val="bottom"/>
            <w:vMerge w:val="restart"/>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30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jc w:val="center"/>
              <w:ind w:left="1096"/>
              <w:spacing w:after="0"/>
              <w:rPr>
                <w:sz w:val="20"/>
                <w:szCs w:val="20"/>
                <w:color w:val="auto"/>
              </w:rPr>
            </w:pPr>
            <w:r>
              <w:rPr>
                <w:rFonts w:ascii="Arial" w:cs="Arial" w:eastAsia="Arial" w:hAnsi="Arial"/>
                <w:sz w:val="14"/>
                <w:szCs w:val="14"/>
                <w:b w:val="1"/>
                <w:bCs w:val="1"/>
                <w:color w:val="auto"/>
                <w:w w:val="93"/>
              </w:rPr>
              <w:t>Nine Months Ended June 30, 2013</w:t>
            </w: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8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Other</w:t>
            </w:r>
          </w:p>
        </w:tc>
        <w:tc>
          <w:tcPr>
            <w:tcW w:w="12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4"/>
              </w:rPr>
              <w:t>Consolidated</w:t>
            </w:r>
          </w:p>
        </w:tc>
        <w:tc>
          <w:tcPr>
            <w:tcW w:w="100" w:type="dxa"/>
            <w:vAlign w:val="bottom"/>
            <w:vMerge w:val="restart"/>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Stores in continuing operations:</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 of 14</w:t>
      </w:r>
    </w:p>
    <w:p>
      <w:pPr>
        <w:sectPr>
          <w:pgSz w:w="11900" w:h="16838" w:orient="portrait"/>
          <w:cols w:equalWidth="0" w:num="1">
            <w:col w:w="11420"/>
          </w:cols>
          <w:pgMar w:left="240" w:top="580"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9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following tables provide a reconciliation of the differences between the reported or projected non-GAAP financial measures for the periods indicated and the most comparable GAAP financial measures. The non-GAAP financial measures presented may not be directly comparable to similarly titled measures reported by other companies and their usefulness for such purposes are therefore limited. EZCORP management believes presentation of the non-GAAP financial measures enhances investors’ ability to analyze the Company’s operating results. However, non-GAAP financial measures are not an alternative to GAAP financial measures and should be read only in conjunction with financial measures presented on a GAAP basis.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7"/>
          </w:tcPr>
          <w:p>
            <w:pPr>
              <w:jc w:val="center"/>
              <w:ind w:right="137"/>
              <w:spacing w:after="0"/>
              <w:rPr>
                <w:sz w:val="20"/>
                <w:szCs w:val="20"/>
                <w:color w:val="auto"/>
              </w:rPr>
            </w:pPr>
            <w:r>
              <w:rPr>
                <w:rFonts w:ascii="Arial" w:cs="Arial" w:eastAsia="Arial" w:hAnsi="Arial"/>
                <w:sz w:val="14"/>
                <w:szCs w:val="14"/>
                <w:b w:val="1"/>
                <w:bCs w:val="1"/>
                <w:color w:val="auto"/>
                <w:w w:val="93"/>
              </w:rPr>
              <w:t>Three Months Ended June 30, 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7"/>
          </w:tcPr>
          <w:p>
            <w:pPr>
              <w:jc w:val="center"/>
              <w:ind w:right="117"/>
              <w:spacing w:after="0"/>
              <w:rPr>
                <w:sz w:val="20"/>
                <w:szCs w:val="20"/>
                <w:color w:val="auto"/>
              </w:rPr>
            </w:pPr>
            <w:r>
              <w:rPr>
                <w:rFonts w:ascii="Arial" w:cs="Arial" w:eastAsia="Arial" w:hAnsi="Arial"/>
                <w:sz w:val="14"/>
                <w:szCs w:val="14"/>
                <w:b w:val="1"/>
                <w:bCs w:val="1"/>
                <w:color w:val="auto"/>
                <w:w w:val="93"/>
              </w:rPr>
              <w:t>Three Months Ended June 30, 2013</w:t>
            </w: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Non-GAAP</w:t>
            </w:r>
          </w:p>
        </w:tc>
        <w:tc>
          <w:tcPr>
            <w:tcW w:w="14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Non-GAAP</w:t>
            </w:r>
          </w:p>
        </w:tc>
        <w:tc>
          <w:tcPr>
            <w:tcW w:w="220" w:type="dxa"/>
            <w:vAlign w:val="bottom"/>
          </w:tcPr>
          <w:p>
            <w:pPr>
              <w:spacing w:after="0"/>
              <w:rPr>
                <w:sz w:val="13"/>
                <w:szCs w:val="13"/>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Non-GAAP</w:t>
            </w:r>
          </w:p>
        </w:tc>
        <w:tc>
          <w:tcPr>
            <w:tcW w:w="140" w:type="dxa"/>
            <w:vAlign w:val="bottom"/>
          </w:tcPr>
          <w:p>
            <w:pPr>
              <w:spacing w:after="0"/>
              <w:rPr>
                <w:sz w:val="13"/>
                <w:szCs w:val="13"/>
                <w:color w:val="auto"/>
              </w:rPr>
            </w:pPr>
          </w:p>
        </w:tc>
        <w:tc>
          <w:tcPr>
            <w:tcW w:w="98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Adjustment</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Segment Contribution:</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3"/>
                <w:szCs w:val="13"/>
                <w:color w:val="auto"/>
              </w:rPr>
              <w:t>U.S. &amp; Canada</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25,648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25,648</w:t>
            </w:r>
          </w:p>
        </w:tc>
        <w:tc>
          <w:tcPr>
            <w:tcW w:w="100" w:type="dxa"/>
            <w:vAlign w:val="bottom"/>
          </w:tcPr>
          <w:p>
            <w:pPr>
              <w:spacing w:after="0"/>
              <w:rPr>
                <w:sz w:val="22"/>
                <w:szCs w:val="22"/>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30,272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30,272</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Latin America</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8,612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8,612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5,652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5,652</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International*</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862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862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5,518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(1,493)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4,025</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Segment Contribution (Loss)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35,122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35,122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41,442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39,949</w:t>
            </w: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Administrative expense</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14,467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14,467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12,644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12,644</w:t>
            </w:r>
          </w:p>
        </w:tc>
        <w:tc>
          <w:tcPr>
            <w:tcW w:w="0" w:type="dxa"/>
            <w:vAlign w:val="bottom"/>
          </w:tcPr>
          <w:p>
            <w:pPr>
              <w:spacing w:after="0"/>
              <w:rPr>
                <w:sz w:val="1"/>
                <w:szCs w:val="1"/>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3"/>
                <w:szCs w:val="13"/>
                <w:color w:val="auto"/>
              </w:rPr>
              <w:t>Depreciation</w:t>
            </w:r>
          </w:p>
        </w:tc>
        <w:tc>
          <w:tcPr>
            <w:tcW w:w="240" w:type="dxa"/>
            <w:vAlign w:val="bottom"/>
          </w:tcPr>
          <w:p>
            <w:pPr>
              <w:spacing w:after="0"/>
              <w:rPr>
                <w:sz w:val="22"/>
                <w:szCs w:val="22"/>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1,664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1,664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1,680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1,680</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3"/>
                <w:szCs w:val="13"/>
                <w:color w:val="auto"/>
              </w:rPr>
              <w:t>Gain on sale or disposal of assets</w:t>
            </w:r>
          </w:p>
        </w:tc>
        <w:tc>
          <w:tcPr>
            <w:tcW w:w="240" w:type="dxa"/>
            <w:vAlign w:val="bottom"/>
          </w:tcPr>
          <w:p>
            <w:pPr>
              <w:spacing w:after="0"/>
              <w:rPr>
                <w:sz w:val="22"/>
                <w:szCs w:val="22"/>
                <w:color w:val="auto"/>
              </w:rPr>
            </w:pP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 expense,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1,841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872</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(income) expense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(196)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from continuing operations before income taxes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16,459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25,796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24,303</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 (benefit)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4,302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4,302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9,139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(529)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8,610</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from continuing operations, net of tax</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12,157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12,157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16,657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15,693</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(loss) from discontinued operations, net of tax</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186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(21,497)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(21,497)</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12,343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(5,804)</w:t>
            </w:r>
          </w:p>
        </w:tc>
        <w:tc>
          <w:tcPr>
            <w:tcW w:w="0" w:type="dxa"/>
            <w:vAlign w:val="bottom"/>
          </w:tcPr>
          <w:p>
            <w:pPr>
              <w:spacing w:after="0"/>
              <w:rPr>
                <w:sz w:val="1"/>
                <w:szCs w:val="1"/>
                <w:color w:val="auto"/>
              </w:rPr>
            </w:pPr>
          </w:p>
        </w:tc>
      </w:tr>
      <w:tr>
        <w:trPr>
          <w:trHeight w:val="148"/>
        </w:trPr>
        <w:tc>
          <w:tcPr>
            <w:tcW w:w="4000" w:type="dxa"/>
            <w:vAlign w:val="bottom"/>
          </w:tcPr>
          <w:p>
            <w:pPr>
              <w:ind w:left="40"/>
              <w:spacing w:after="0" w:line="148" w:lineRule="exact"/>
              <w:rPr>
                <w:sz w:val="20"/>
                <w:szCs w:val="20"/>
                <w:color w:val="auto"/>
              </w:rPr>
            </w:pPr>
            <w:r>
              <w:rPr>
                <w:rFonts w:ascii="Arial" w:cs="Arial" w:eastAsia="Arial" w:hAnsi="Arial"/>
                <w:sz w:val="13"/>
                <w:szCs w:val="13"/>
                <w:color w:val="auto"/>
              </w:rPr>
              <w:t>Net income from continuing operations attributable to redeemable</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noncontrolling interest</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837</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837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1,041</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1,041</w:t>
            </w:r>
          </w:p>
        </w:tc>
        <w:tc>
          <w:tcPr>
            <w:tcW w:w="0" w:type="dxa"/>
            <w:vAlign w:val="bottom"/>
          </w:tcPr>
          <w:p>
            <w:pPr>
              <w:spacing w:after="0"/>
              <w:rPr>
                <w:sz w:val="1"/>
                <w:szCs w:val="1"/>
                <w:color w:val="auto"/>
              </w:rPr>
            </w:pPr>
          </w:p>
        </w:tc>
      </w:tr>
      <w:tr>
        <w:trPr>
          <w:trHeight w:val="242"/>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 attributable to EZCORP, Inc.</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11,506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Weighted Average Shares Outstanding - Diluted</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54,395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54,395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54,255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54,255</w:t>
            </w:r>
          </w:p>
        </w:tc>
        <w:tc>
          <w:tcPr>
            <w:tcW w:w="0" w:type="dxa"/>
            <w:vAlign w:val="bottom"/>
          </w:tcPr>
          <w:p>
            <w:pPr>
              <w:spacing w:after="0"/>
              <w:rPr>
                <w:sz w:val="1"/>
                <w:szCs w:val="1"/>
                <w:color w:val="auto"/>
              </w:rPr>
            </w:pPr>
          </w:p>
        </w:tc>
      </w:tr>
      <w:tr>
        <w:trPr>
          <w:trHeight w:val="254"/>
        </w:trPr>
        <w:tc>
          <w:tcPr>
            <w:tcW w:w="4000" w:type="dxa"/>
            <w:vAlign w:val="bottom"/>
          </w:tcPr>
          <w:p>
            <w:pPr>
              <w:ind w:left="40"/>
              <w:spacing w:after="0"/>
              <w:rPr>
                <w:sz w:val="20"/>
                <w:szCs w:val="20"/>
                <w:color w:val="auto"/>
              </w:rPr>
            </w:pPr>
            <w:r>
              <w:rPr>
                <w:rFonts w:ascii="Arial" w:cs="Arial" w:eastAsia="Arial" w:hAnsi="Arial"/>
                <w:sz w:val="13"/>
                <w:szCs w:val="13"/>
                <w:color w:val="auto"/>
              </w:rPr>
              <w:t>EPS - Diluted</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0.21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0.21</w:t>
            </w:r>
          </w:p>
        </w:tc>
        <w:tc>
          <w:tcPr>
            <w:tcW w:w="100" w:type="dxa"/>
            <w:vAlign w:val="bottom"/>
          </w:tcPr>
          <w:p>
            <w:pPr>
              <w:spacing w:after="0"/>
              <w:rPr>
                <w:sz w:val="22"/>
                <w:szCs w:val="22"/>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(0.11)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(0.02)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(0.13)</w:t>
            </w: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 The Other International non-GAAP adjustment includes our equity in the net income of Albemarle &amp; Bond for the three months ended June 30, 2013.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14</w:t>
      </w:r>
    </w:p>
    <w:p>
      <w:pPr>
        <w:sectPr>
          <w:pgSz w:w="11900" w:h="16838" w:orient="portrait"/>
          <w:cols w:equalWidth="0" w:num="1">
            <w:col w:w="11420"/>
          </w:cols>
          <w:pgMar w:left="240" w:top="58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7"/>
          </w:tcPr>
          <w:p>
            <w:pPr>
              <w:jc w:val="center"/>
              <w:ind w:right="137"/>
              <w:spacing w:after="0"/>
              <w:rPr>
                <w:sz w:val="20"/>
                <w:szCs w:val="20"/>
                <w:color w:val="auto"/>
              </w:rPr>
            </w:pPr>
            <w:r>
              <w:rPr>
                <w:rFonts w:ascii="Arial" w:cs="Arial" w:eastAsia="Arial" w:hAnsi="Arial"/>
                <w:sz w:val="14"/>
                <w:szCs w:val="14"/>
                <w:b w:val="1"/>
                <w:bCs w:val="1"/>
                <w:color w:val="auto"/>
                <w:w w:val="93"/>
              </w:rPr>
              <w:t>Nine Months Ended June 30, 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7"/>
          </w:tcPr>
          <w:p>
            <w:pPr>
              <w:jc w:val="center"/>
              <w:ind w:right="117"/>
              <w:spacing w:after="0"/>
              <w:rPr>
                <w:sz w:val="20"/>
                <w:szCs w:val="20"/>
                <w:color w:val="auto"/>
              </w:rPr>
            </w:pPr>
            <w:r>
              <w:rPr>
                <w:rFonts w:ascii="Arial" w:cs="Arial" w:eastAsia="Arial" w:hAnsi="Arial"/>
                <w:sz w:val="14"/>
                <w:szCs w:val="14"/>
                <w:b w:val="1"/>
                <w:bCs w:val="1"/>
                <w:color w:val="auto"/>
                <w:w w:val="93"/>
              </w:rPr>
              <w:t>Nine Months Ended June 30, 2013</w:t>
            </w: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Non-GAAP</w:t>
            </w:r>
          </w:p>
        </w:tc>
        <w:tc>
          <w:tcPr>
            <w:tcW w:w="14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Non-GAAP</w:t>
            </w:r>
          </w:p>
        </w:tc>
        <w:tc>
          <w:tcPr>
            <w:tcW w:w="220" w:type="dxa"/>
            <w:vAlign w:val="bottom"/>
          </w:tcPr>
          <w:p>
            <w:pPr>
              <w:spacing w:after="0"/>
              <w:rPr>
                <w:sz w:val="13"/>
                <w:szCs w:val="13"/>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Non-GAAP</w:t>
            </w:r>
          </w:p>
        </w:tc>
        <w:tc>
          <w:tcPr>
            <w:tcW w:w="140" w:type="dxa"/>
            <w:vAlign w:val="bottom"/>
          </w:tcPr>
          <w:p>
            <w:pPr>
              <w:spacing w:after="0"/>
              <w:rPr>
                <w:sz w:val="13"/>
                <w:szCs w:val="13"/>
                <w:color w:val="auto"/>
              </w:rPr>
            </w:pPr>
          </w:p>
        </w:tc>
        <w:tc>
          <w:tcPr>
            <w:tcW w:w="98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Adjustment</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Segment Contribution:</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3"/>
                <w:szCs w:val="13"/>
                <w:color w:val="auto"/>
              </w:rPr>
              <w:t>U.S. &amp; Canada</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110,487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110,487</w:t>
            </w:r>
          </w:p>
        </w:tc>
        <w:tc>
          <w:tcPr>
            <w:tcW w:w="100" w:type="dxa"/>
            <w:vAlign w:val="bottom"/>
          </w:tcPr>
          <w:p>
            <w:pPr>
              <w:spacing w:after="0"/>
              <w:rPr>
                <w:sz w:val="22"/>
                <w:szCs w:val="22"/>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135,485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135,485</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Latin America</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22,901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22,901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22,203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22,203</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International*</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(8,002)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9,489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1,487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15,280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(4,430)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10,850</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Segment Contribution (Loss)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125,386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9,489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134,875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172,968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168,538</w:t>
            </w: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Administrative expense (income)**</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50,244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(7,951)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42,293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34,918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34,918</w:t>
            </w:r>
          </w:p>
        </w:tc>
        <w:tc>
          <w:tcPr>
            <w:tcW w:w="0" w:type="dxa"/>
            <w:vAlign w:val="bottom"/>
          </w:tcPr>
          <w:p>
            <w:pPr>
              <w:spacing w:after="0"/>
              <w:rPr>
                <w:sz w:val="1"/>
                <w:szCs w:val="1"/>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3"/>
                <w:szCs w:val="13"/>
                <w:color w:val="auto"/>
              </w:rPr>
              <w:t>Depreciation</w:t>
            </w:r>
          </w:p>
        </w:tc>
        <w:tc>
          <w:tcPr>
            <w:tcW w:w="240" w:type="dxa"/>
            <w:vAlign w:val="bottom"/>
          </w:tcPr>
          <w:p>
            <w:pPr>
              <w:spacing w:after="0"/>
              <w:rPr>
                <w:sz w:val="22"/>
                <w:szCs w:val="22"/>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4,990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4,990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5,058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5,058</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2,224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772</w:t>
            </w:r>
          </w:p>
        </w:tc>
        <w:tc>
          <w:tcPr>
            <w:tcW w:w="0" w:type="dxa"/>
            <w:vAlign w:val="bottom"/>
          </w:tcPr>
          <w:p>
            <w:pPr>
              <w:spacing w:after="0"/>
              <w:rPr>
                <w:sz w:val="1"/>
                <w:szCs w:val="1"/>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3"/>
                <w:szCs w:val="13"/>
                <w:color w:val="auto"/>
              </w:rPr>
              <w:t>Loss on sale or disposal of assets</w:t>
            </w:r>
          </w:p>
        </w:tc>
        <w:tc>
          <w:tcPr>
            <w:tcW w:w="240" w:type="dxa"/>
            <w:vAlign w:val="bottom"/>
          </w:tcPr>
          <w:p>
            <w:pPr>
              <w:spacing w:after="0"/>
              <w:rPr>
                <w:sz w:val="22"/>
                <w:szCs w:val="22"/>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642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642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 expense,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4,067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4,067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2,816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2,816</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3"/>
                <w:szCs w:val="13"/>
                <w:color w:val="auto"/>
              </w:rPr>
              <w:t>Other expense</w:t>
            </w:r>
          </w:p>
        </w:tc>
        <w:tc>
          <w:tcPr>
            <w:tcW w:w="240" w:type="dxa"/>
            <w:vAlign w:val="bottom"/>
          </w:tcPr>
          <w:p>
            <w:pPr>
              <w:spacing w:after="0"/>
              <w:rPr>
                <w:sz w:val="22"/>
                <w:szCs w:val="22"/>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655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655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312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257"/>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Income (loss) from continuing operations before income taxes</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62,564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17,440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80,004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129,092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(4,430)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124,662</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 (benefit)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18,387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5,125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23,512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42,084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(1,444)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40,640</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from continuing operations, net of tax</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44,177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12,315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56,492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87,008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(2,986)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84,022</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3"/>
                <w:szCs w:val="13"/>
                <w:color w:val="auto"/>
              </w:rPr>
              <w:t>Income (loss) from discontinued operations, net of tax</w:t>
            </w:r>
          </w:p>
        </w:tc>
        <w:tc>
          <w:tcPr>
            <w:tcW w:w="240" w:type="dxa"/>
            <w:vAlign w:val="bottom"/>
          </w:tcPr>
          <w:p>
            <w:pPr>
              <w:spacing w:after="0"/>
              <w:rPr>
                <w:sz w:val="22"/>
                <w:szCs w:val="22"/>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1,628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1,628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(24,813)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(24,813)</w:t>
            </w:r>
          </w:p>
        </w:tc>
        <w:tc>
          <w:tcPr>
            <w:tcW w:w="0" w:type="dxa"/>
            <w:vAlign w:val="bottom"/>
          </w:tcPr>
          <w:p>
            <w:pPr>
              <w:spacing w:after="0"/>
              <w:rPr>
                <w:sz w:val="1"/>
                <w:szCs w:val="1"/>
                <w:color w:val="auto"/>
              </w:rPr>
            </w:pPr>
          </w:p>
        </w:tc>
      </w:tr>
      <w:tr>
        <w:trPr>
          <w:trHeight w:val="257"/>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45,805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12,315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58,120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62,195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(2,986)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59,209</w:t>
            </w:r>
          </w:p>
        </w:tc>
        <w:tc>
          <w:tcPr>
            <w:tcW w:w="0" w:type="dxa"/>
            <w:vAlign w:val="bottom"/>
          </w:tcPr>
          <w:p>
            <w:pPr>
              <w:spacing w:after="0"/>
              <w:rPr>
                <w:sz w:val="1"/>
                <w:szCs w:val="1"/>
                <w:color w:val="auto"/>
              </w:rPr>
            </w:pPr>
          </w:p>
        </w:tc>
      </w:tr>
      <w:tr>
        <w:trPr>
          <w:trHeight w:val="148"/>
        </w:trPr>
        <w:tc>
          <w:tcPr>
            <w:tcW w:w="4000" w:type="dxa"/>
            <w:vAlign w:val="bottom"/>
          </w:tcPr>
          <w:p>
            <w:pPr>
              <w:ind w:left="40"/>
              <w:spacing w:after="0" w:line="148" w:lineRule="exact"/>
              <w:rPr>
                <w:sz w:val="20"/>
                <w:szCs w:val="20"/>
                <w:color w:val="auto"/>
              </w:rPr>
            </w:pPr>
            <w:r>
              <w:rPr>
                <w:rFonts w:ascii="Arial" w:cs="Arial" w:eastAsia="Arial" w:hAnsi="Arial"/>
                <w:sz w:val="13"/>
                <w:szCs w:val="13"/>
                <w:color w:val="auto"/>
              </w:rPr>
              <w:t>Net income from continuing operations attributable to redeemable</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40"/>
              <w:spacing w:after="0"/>
              <w:rPr>
                <w:sz w:val="20"/>
                <w:szCs w:val="20"/>
                <w:color w:val="auto"/>
              </w:rPr>
            </w:pPr>
            <w:r>
              <w:rPr>
                <w:rFonts w:ascii="Arial" w:cs="Arial" w:eastAsia="Arial" w:hAnsi="Arial"/>
                <w:sz w:val="13"/>
                <w:szCs w:val="13"/>
                <w:color w:val="auto"/>
              </w:rPr>
              <w:t>noncontrolling interest</w:t>
            </w:r>
          </w:p>
        </w:tc>
        <w:tc>
          <w:tcPr>
            <w:tcW w:w="240" w:type="dxa"/>
            <w:vAlign w:val="bottom"/>
          </w:tcPr>
          <w:p>
            <w:pPr>
              <w:spacing w:after="0"/>
              <w:rPr>
                <w:sz w:val="14"/>
                <w:szCs w:val="14"/>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3,738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3,738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3,378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3,378</w:t>
            </w:r>
          </w:p>
        </w:tc>
        <w:tc>
          <w:tcPr>
            <w:tcW w:w="0" w:type="dxa"/>
            <w:vAlign w:val="bottom"/>
          </w:tcPr>
          <w:p>
            <w:pPr>
              <w:spacing w:after="0"/>
              <w:rPr>
                <w:sz w:val="1"/>
                <w:szCs w:val="1"/>
                <w:color w:val="auto"/>
              </w:rPr>
            </w:pPr>
          </w:p>
        </w:tc>
      </w:tr>
      <w:tr>
        <w:trPr>
          <w:trHeight w:val="242"/>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income (loss) attributable to EZCORP, Inc.</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42,067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12,315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54,382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58,817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55,831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Weighted Average Shares Outstanding - Diluted</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54,529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54,529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53,540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53,540</w:t>
            </w:r>
          </w:p>
        </w:tc>
        <w:tc>
          <w:tcPr>
            <w:tcW w:w="0" w:type="dxa"/>
            <w:vAlign w:val="bottom"/>
          </w:tcPr>
          <w:p>
            <w:pPr>
              <w:spacing w:after="0"/>
              <w:rPr>
                <w:sz w:val="1"/>
                <w:szCs w:val="1"/>
                <w:color w:val="auto"/>
              </w:rPr>
            </w:pPr>
          </w:p>
        </w:tc>
      </w:tr>
      <w:tr>
        <w:trPr>
          <w:trHeight w:val="254"/>
        </w:trPr>
        <w:tc>
          <w:tcPr>
            <w:tcW w:w="4000" w:type="dxa"/>
            <w:vAlign w:val="bottom"/>
          </w:tcPr>
          <w:p>
            <w:pPr>
              <w:ind w:left="40"/>
              <w:spacing w:after="0"/>
              <w:rPr>
                <w:sz w:val="20"/>
                <w:szCs w:val="20"/>
                <w:color w:val="auto"/>
              </w:rPr>
            </w:pPr>
            <w:r>
              <w:rPr>
                <w:rFonts w:ascii="Arial" w:cs="Arial" w:eastAsia="Arial" w:hAnsi="Arial"/>
                <w:sz w:val="13"/>
                <w:szCs w:val="13"/>
                <w:color w:val="auto"/>
              </w:rPr>
              <w:t>EPS - Diluted</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0.77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6"/>
              <w:spacing w:after="0"/>
              <w:rPr>
                <w:sz w:val="20"/>
                <w:szCs w:val="20"/>
                <w:color w:val="auto"/>
              </w:rPr>
            </w:pPr>
            <w:r>
              <w:rPr>
                <w:rFonts w:ascii="Arial" w:cs="Arial" w:eastAsia="Arial" w:hAnsi="Arial"/>
                <w:sz w:val="13"/>
                <w:szCs w:val="13"/>
                <w:color w:val="auto"/>
              </w:rPr>
              <w:t>0.23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22"/>
                <w:szCs w:val="22"/>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(0.06)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bl>
    <w:p>
      <w:pPr>
        <w:spacing w:after="0" w:line="2" w:lineRule="exact"/>
        <w:rPr>
          <w:sz w:val="20"/>
          <w:szCs w:val="20"/>
          <w:color w:val="auto"/>
        </w:rPr>
      </w:pPr>
    </w:p>
    <w:p>
      <w:pPr>
        <w:ind w:right="60" w:firstLine="8"/>
        <w:spacing w:after="0" w:line="246" w:lineRule="auto"/>
        <w:tabs>
          <w:tab w:leader="none" w:pos="95"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Other International non-GAAP adjustment includes the Albemarle &amp; Bond impairment charge and its related foreign currency exchange loss during the nine months ended June 30, 2014 and our equity in the net income of Albemarle &amp; Bond for the nine months ended June 30, 2013.</w:t>
      </w:r>
    </w:p>
    <w:p>
      <w:pPr>
        <w:spacing w:after="0"/>
        <w:rPr>
          <w:rFonts w:ascii="Arial" w:cs="Arial" w:eastAsia="Arial" w:hAnsi="Arial"/>
          <w:sz w:val="13"/>
          <w:szCs w:val="13"/>
          <w:color w:val="auto"/>
        </w:rPr>
      </w:pPr>
      <w:r>
        <w:rPr>
          <w:rFonts w:ascii="Arial" w:cs="Arial" w:eastAsia="Arial" w:hAnsi="Arial"/>
          <w:sz w:val="13"/>
          <w:szCs w:val="13"/>
          <w:color w:val="auto"/>
        </w:rPr>
        <w:t>** The administrative expense (income) non-GAAP adjustment is due to the compensatory benefits charge recorded in the second quarter of fiscal 2014 related to Sterling B. Brinkley's retirement.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14</w:t>
      </w:r>
    </w:p>
    <w:sectPr>
      <w:pgSz w:w="11900" w:h="16838" w:orient="portrait"/>
      <w:cols w:equalWidth="0" w:num="1">
        <w:col w:w="11420"/>
      </w:cols>
      <w:pgMar w:left="240" w:top="8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2020-01-28T01:01:30Z</dcterms:created>
  <dcterms:modified xsi:type="dcterms:W3CDTF">2020-01-28T01:01:30Z</dcterms:modified>
</cp:coreProperties>
</file>