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980" w:right="1640" w:hanging="3945"/>
        <w:spacing w:after="0" w:line="416" w:lineRule="auto"/>
        <w:tabs>
          <w:tab w:leader="none" w:pos="622"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5300" w:type="dxa"/>
            <w:vAlign w:val="bottom"/>
          </w:tcPr>
          <w:p>
            <w:pPr>
              <w:ind w:left="294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108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45"/>
        </w:trPr>
        <w:tc>
          <w:tcPr>
            <w:tcW w:w="9140" w:type="dxa"/>
            <w:vAlign w:val="bottom"/>
            <w:gridSpan w:val="5"/>
          </w:tcPr>
          <w:p>
            <w:pPr>
              <w:jc w:val="center"/>
              <w:ind w:left="1252"/>
              <w:spacing w:after="0"/>
              <w:rPr>
                <w:sz w:val="20"/>
                <w:szCs w:val="20"/>
                <w:color w:val="auto"/>
              </w:rPr>
            </w:pPr>
            <w:r>
              <w:rPr>
                <w:rFonts w:ascii="Arial" w:cs="Arial" w:eastAsia="Arial" w:hAnsi="Arial"/>
                <w:sz w:val="18"/>
                <w:szCs w:val="18"/>
                <w:b w:val="1"/>
                <w:bCs w:val="1"/>
                <w:color w:val="auto"/>
                <w:w w:val="89"/>
              </w:rPr>
              <w:t>Commission File No. 0-19424</w:t>
            </w:r>
          </w:p>
        </w:tc>
      </w:tr>
      <w:tr>
        <w:trPr>
          <w:trHeight w:val="982"/>
        </w:trPr>
        <w:tc>
          <w:tcPr>
            <w:tcW w:w="6200" w:type="dxa"/>
            <w:vAlign w:val="bottom"/>
            <w:gridSpan w:val="2"/>
          </w:tcPr>
          <w:p>
            <w:pPr>
              <w:jc w:val="center"/>
              <w:ind w:left="4192"/>
              <w:spacing w:after="0"/>
              <w:rPr>
                <w:sz w:val="20"/>
                <w:szCs w:val="20"/>
                <w:color w:val="auto"/>
              </w:rPr>
            </w:pPr>
            <w:r>
              <w:rPr>
                <w:rFonts w:ascii="Arial" w:cs="Arial" w:eastAsia="Arial" w:hAnsi="Arial"/>
                <w:sz w:val="22"/>
                <w:szCs w:val="22"/>
                <w:b w:val="1"/>
                <w:bCs w:val="1"/>
                <w:color w:val="auto"/>
                <w:w w:val="97"/>
              </w:rPr>
              <w:t>EZCORP, INC.</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9140" w:type="dxa"/>
            <w:vAlign w:val="bottom"/>
            <w:gridSpan w:val="5"/>
          </w:tcPr>
          <w:p>
            <w:pPr>
              <w:jc w:val="center"/>
              <w:ind w:left="125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78"/>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548"/>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0" w:type="dxa"/>
            <w:vAlign w:val="bottom"/>
          </w:tcPr>
          <w:p>
            <w:pPr>
              <w:spacing w:after="0"/>
              <w:rPr>
                <w:sz w:val="18"/>
                <w:szCs w:val="18"/>
                <w:color w:val="auto"/>
              </w:rPr>
            </w:pPr>
          </w:p>
        </w:tc>
        <w:tc>
          <w:tcPr>
            <w:tcW w:w="2700" w:type="dxa"/>
            <w:vAlign w:val="bottom"/>
            <w:gridSpan w:val="2"/>
          </w:tcPr>
          <w:p>
            <w:pPr>
              <w:jc w:val="center"/>
              <w:ind w:left="528"/>
              <w:spacing w:after="0"/>
              <w:rPr>
                <w:sz w:val="20"/>
                <w:szCs w:val="20"/>
                <w:color w:val="auto"/>
              </w:rPr>
            </w:pPr>
            <w:r>
              <w:rPr>
                <w:rFonts w:ascii="Arial" w:cs="Arial" w:eastAsia="Arial" w:hAnsi="Arial"/>
                <w:sz w:val="14"/>
                <w:szCs w:val="14"/>
                <w:color w:val="auto"/>
                <w:w w:val="97"/>
              </w:rPr>
              <w:t>(I.R.S. Employer Identification No.)</w:t>
            </w:r>
          </w:p>
        </w:tc>
      </w:tr>
      <w:tr>
        <w:trPr>
          <w:trHeight w:val="377"/>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89"/>
              </w:rPr>
              <w:t>2500 Bee Cave Road, Bldg One, Suite 200, Rollingwood, Texas</w:t>
            </w:r>
          </w:p>
        </w:tc>
        <w:tc>
          <w:tcPr>
            <w:tcW w:w="294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78746</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(Address of principal executive offices)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jc w:val="center"/>
              <w:ind w:right="408"/>
              <w:spacing w:after="0"/>
              <w:rPr>
                <w:sz w:val="20"/>
                <w:szCs w:val="20"/>
                <w:color w:val="auto"/>
              </w:rPr>
            </w:pPr>
            <w:r>
              <w:rPr>
                <w:rFonts w:ascii="Arial" w:cs="Arial" w:eastAsia="Arial" w:hAnsi="Arial"/>
                <w:sz w:val="14"/>
                <w:szCs w:val="14"/>
                <w:color w:val="auto"/>
                <w:w w:val="93"/>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-1543685</wp:posOffset>
            </wp:positionV>
            <wp:extent cx="200660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111760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6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8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190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rPr>
                <w:sz w:val="20"/>
                <w:szCs w:val="20"/>
                <w:color w:val="auto"/>
              </w:rPr>
            </w:pPr>
            <w:r>
              <w:rPr>
                <w:rFonts w:ascii="Arial" w:cs="Arial" w:eastAsia="Arial" w:hAnsi="Arial"/>
                <w:sz w:val="16"/>
                <w:szCs w:val="16"/>
                <w:color w:val="auto"/>
              </w:rPr>
              <w:t>x</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160"/>
              <w:spacing w:after="0"/>
              <w:rPr>
                <w:sz w:val="20"/>
                <w:szCs w:val="20"/>
                <w:color w:val="auto"/>
              </w:rPr>
            </w:pPr>
            <w:r>
              <w:rPr>
                <w:rFonts w:ascii="Arial" w:cs="Arial" w:eastAsia="Arial" w:hAnsi="Arial"/>
                <w:sz w:val="16"/>
                <w:szCs w:val="16"/>
                <w:color w:val="auto"/>
              </w:rPr>
              <w:t>(Do not check if a smaller reporting company)</w:t>
            </w:r>
          </w:p>
        </w:tc>
        <w:tc>
          <w:tcPr>
            <w:tcW w:w="700" w:type="dxa"/>
            <w:vAlign w:val="bottom"/>
          </w:tcPr>
          <w:p>
            <w:pPr>
              <w:spacing w:after="0"/>
              <w:rPr>
                <w:sz w:val="23"/>
                <w:szCs w:val="23"/>
                <w:color w:val="auto"/>
              </w:rPr>
            </w:pPr>
          </w:p>
        </w:tc>
      </w:tr>
      <w:tr>
        <w:trPr>
          <w:trHeight w:val="270"/>
        </w:trPr>
        <w:tc>
          <w:tcPr>
            <w:tcW w:w="2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4"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As of July 24, 2018, 51,494,246 shares of the registrant’s Class A Non-voting Common Stock ("Class A Common Stock"), par value $.01 per share, and 2,970,171 shares of the registrant’s Class B Voting Common Stock, par value $.01 per share, were outstanding.</w:t>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9"/>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40" w:type="dxa"/>
            <w:vAlign w:val="bottom"/>
            <w:gridSpan w:val="9"/>
          </w:tcPr>
          <w:p>
            <w:pPr>
              <w:jc w:val="center"/>
              <w:ind w:right="476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jc w:val="center"/>
              <w:ind w:right="292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12"/>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2018 and 2017 (Unaudited) and September 30, 2017</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June 30, 2018 and 2017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2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and Nine Months Ended June 30, 2018 and 2017</w:t>
              </w:r>
            </w:hyperlink>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w:t>
              </w:r>
            </w:hyperlink>
          </w:p>
        </w:tc>
        <w:tc>
          <w:tcPr>
            <w:tcW w:w="964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0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for the Nine Months Ended June 30, 2018 and 2017 (Unaudited)</w:t>
              </w:r>
            </w:hyperlink>
          </w:p>
        </w:tc>
        <w:tc>
          <w:tcPr>
            <w:tcW w:w="14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June 30, 2018 and 2017 (Unaudited)</w:t>
              </w:r>
            </w:hyperlink>
          </w:p>
        </w:tc>
        <w:tc>
          <w:tcPr>
            <w:tcW w:w="21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7"/>
          </w:tcPr>
          <w:p>
            <w:pPr>
              <w:spacing w:after="0"/>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Notes to Interim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53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1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Note 1: Organization and Summary of Significant Accounting Policies</w:t>
              </w:r>
            </w:hyperlink>
          </w:p>
        </w:tc>
        <w:tc>
          <w:tcPr>
            <w:tcW w:w="120" w:type="dxa"/>
            <w:vAlign w:val="bottom"/>
            <w:tcBorders>
              <w:top w:val="single" w:sz="8" w:color="0000EE"/>
            </w:tcBorders>
          </w:tcPr>
          <w:p>
            <w:pPr>
              <w:spacing w:after="0"/>
              <w:rPr>
                <w:sz w:val="24"/>
                <w:szCs w:val="24"/>
                <w:color w:val="auto"/>
              </w:rPr>
            </w:pPr>
          </w:p>
        </w:tc>
        <w:tc>
          <w:tcPr>
            <w:tcW w:w="53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Note 2: Acquisitions</w:t>
              </w:r>
            </w:hyperlink>
          </w:p>
        </w:tc>
        <w:tc>
          <w:tcPr>
            <w:tcW w:w="9040" w:type="dxa"/>
            <w:vAlign w:val="bottom"/>
            <w:gridSpan w:val="1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 3: Earnings Per Share</w:t>
              </w:r>
            </w:hyperlink>
          </w:p>
        </w:tc>
        <w:tc>
          <w:tcPr>
            <w:tcW w:w="18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 4: Strategic Investments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 5: Fair Value Measurements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Borders>
              <w:top w:val="single" w:sz="8" w:color="0000EE"/>
            </w:tcBorders>
            <w:gridSpan w:val="1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Note 6: Debt</w:t>
              </w:r>
            </w:hyperlink>
          </w:p>
        </w:tc>
        <w:tc>
          <w:tcPr>
            <w:tcW w:w="8100" w:type="dxa"/>
            <w:vAlign w:val="bottom"/>
            <w:gridSpan w:val="10"/>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Note 7: Stock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Note 8: Contingencies</w:t>
              </w:r>
            </w:hyperlink>
          </w:p>
        </w:tc>
        <w:tc>
          <w:tcPr>
            <w:tcW w:w="500" w:type="dxa"/>
            <w:vAlign w:val="bottom"/>
            <w:tcBorders>
              <w:top w:val="single" w:sz="8" w:color="0000EE"/>
            </w:tcBorders>
            <w:gridSpan w:val="4"/>
          </w:tcPr>
          <w:p>
            <w:pPr>
              <w:spacing w:after="0"/>
              <w:rPr>
                <w:sz w:val="24"/>
                <w:szCs w:val="24"/>
                <w:color w:val="auto"/>
              </w:rPr>
            </w:pPr>
          </w:p>
        </w:tc>
        <w:tc>
          <w:tcPr>
            <w:tcW w:w="8400" w:type="dxa"/>
            <w:vAlign w:val="bottom"/>
            <w:gridSpan w:val="1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Note 9: Segment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Note 10: Supplemental Consolidated Financial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16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22"/>
          </w:tcPr>
          <w:p>
            <w:pPr>
              <w:spacing w:after="0"/>
              <w:rPr>
                <w:rFonts w:ascii="Arial" w:cs="Arial" w:eastAsia="Arial" w:hAnsi="Arial"/>
                <w:sz w:val="18"/>
                <w:szCs w:val="18"/>
                <w:i w:val="1"/>
                <w:iCs w:val="1"/>
                <w:color w:val="0000EE"/>
                <w:w w:val="91"/>
              </w:rPr>
            </w:pPr>
            <w:hyperlink w:anchor="page24">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7"/>
          </w:tcPr>
          <w:p>
            <w:pPr>
              <w:spacing w:after="0"/>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4"/>
          </w:tcPr>
          <w:p>
            <w:pPr>
              <w:spacing w:after="0"/>
              <w:rPr>
                <w:rFonts w:ascii="Arial" w:cs="Arial" w:eastAsia="Arial" w:hAnsi="Arial"/>
                <w:sz w:val="18"/>
                <w:szCs w:val="18"/>
                <w:i w:val="1"/>
                <w:iCs w:val="1"/>
                <w:color w:val="0000EE"/>
                <w:w w:val="90"/>
              </w:rPr>
            </w:pPr>
            <w:hyperlink w:anchor="page44">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5"/>
          </w:tcPr>
          <w:p>
            <w:pPr>
              <w:spacing w:after="0"/>
              <w:rPr>
                <w:sz w:val="24"/>
                <w:szCs w:val="24"/>
                <w:color w:val="auto"/>
              </w:rPr>
            </w:pPr>
          </w:p>
        </w:tc>
        <w:tc>
          <w:tcPr>
            <w:tcW w:w="596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372"/>
        </w:trPr>
        <w:tc>
          <w:tcPr>
            <w:tcW w:w="40" w:type="dxa"/>
            <w:vAlign w:val="bottom"/>
          </w:tcPr>
          <w:p>
            <w:pPr>
              <w:spacing w:after="0"/>
              <w:rPr>
                <w:sz w:val="24"/>
                <w:szCs w:val="24"/>
                <w:color w:val="auto"/>
              </w:rPr>
            </w:pPr>
          </w:p>
        </w:tc>
        <w:tc>
          <w:tcPr>
            <w:tcW w:w="11180" w:type="dxa"/>
            <w:vAlign w:val="bottom"/>
            <w:gridSpan w:val="2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10"/>
          </w:tcPr>
          <w:p>
            <w:pPr>
              <w:spacing w:after="0"/>
              <w:rPr>
                <w:rFonts w:ascii="Arial" w:cs="Arial" w:eastAsia="Arial" w:hAnsi="Arial"/>
                <w:sz w:val="18"/>
                <w:szCs w:val="18"/>
                <w:i w:val="1"/>
                <w:iCs w:val="1"/>
                <w:color w:val="0000EE"/>
                <w:w w:val="89"/>
              </w:rPr>
            </w:pPr>
            <w:hyperlink w:anchor="page44">
              <w:r>
                <w:rPr>
                  <w:rFonts w:ascii="Arial" w:cs="Arial" w:eastAsia="Arial" w:hAnsi="Arial"/>
                  <w:sz w:val="18"/>
                  <w:szCs w:val="18"/>
                  <w:i w:val="1"/>
                  <w:iCs w:val="1"/>
                  <w:color w:val="0000EE"/>
                  <w:w w:val="89"/>
                </w:rPr>
                <w:t>Item 1. Legal Proceedings</w:t>
              </w:r>
            </w:hyperlink>
          </w:p>
        </w:tc>
        <w:tc>
          <w:tcPr>
            <w:tcW w:w="540" w:type="dxa"/>
            <w:vAlign w:val="bottom"/>
            <w:tcBorders>
              <w:top w:val="single" w:sz="8" w:color="0000EE"/>
            </w:tcBorders>
            <w:gridSpan w:val="5"/>
          </w:tcPr>
          <w:p>
            <w:pPr>
              <w:spacing w:after="0"/>
              <w:rPr>
                <w:sz w:val="24"/>
                <w:szCs w:val="24"/>
                <w:color w:val="auto"/>
              </w:rPr>
            </w:pPr>
          </w:p>
        </w:tc>
        <w:tc>
          <w:tcPr>
            <w:tcW w:w="840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8"/>
          </w:tcPr>
          <w:p>
            <w:pPr>
              <w:spacing w:after="0"/>
              <w:rPr>
                <w:rFonts w:ascii="Arial" w:cs="Arial" w:eastAsia="Arial" w:hAnsi="Arial"/>
                <w:sz w:val="18"/>
                <w:szCs w:val="18"/>
                <w:i w:val="1"/>
                <w:iCs w:val="1"/>
                <w:color w:val="0000EE"/>
                <w:w w:val="90"/>
              </w:rPr>
            </w:pPr>
            <w:hyperlink w:anchor="page45">
              <w:r>
                <w:rPr>
                  <w:rFonts w:ascii="Arial" w:cs="Arial" w:eastAsia="Arial" w:hAnsi="Arial"/>
                  <w:sz w:val="18"/>
                  <w:szCs w:val="18"/>
                  <w:i w:val="1"/>
                  <w:iCs w:val="1"/>
                  <w:color w:val="0000EE"/>
                  <w:w w:val="90"/>
                </w:rPr>
                <w:t>Item 1A. Risk Factors</w:t>
              </w:r>
            </w:hyperlink>
          </w:p>
        </w:tc>
        <w:tc>
          <w:tcPr>
            <w:tcW w:w="9260" w:type="dxa"/>
            <w:vAlign w:val="bottom"/>
            <w:gridSpan w:val="1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7"/>
          </w:tcPr>
          <w:p>
            <w:pPr>
              <w:spacing w:after="0"/>
              <w:rPr>
                <w:rFonts w:ascii="Arial" w:cs="Arial" w:eastAsia="Arial" w:hAnsi="Arial"/>
                <w:sz w:val="18"/>
                <w:szCs w:val="18"/>
                <w:i w:val="1"/>
                <w:iCs w:val="1"/>
                <w:color w:val="0000EE"/>
              </w:rPr>
            </w:pPr>
            <w:hyperlink w:anchor="page45">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700" w:type="dxa"/>
            <w:vAlign w:val="bottom"/>
            <w:gridSpan w:val="2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SIGNATURES</w:t>
              </w:r>
            </w:hyperlink>
          </w:p>
        </w:tc>
        <w:tc>
          <w:tcPr>
            <w:tcW w:w="10080" w:type="dxa"/>
            <w:vAlign w:val="bottom"/>
            <w:gridSpan w:val="2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r>
      <w:tr>
        <w:trPr>
          <w:trHeight w:val="174"/>
        </w:trPr>
        <w:tc>
          <w:tcPr>
            <w:tcW w:w="7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2017</w:t>
            </w:r>
          </w:p>
        </w:tc>
      </w:tr>
      <w:tr>
        <w:trPr>
          <w:trHeight w:val="384"/>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285,031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113,729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164,393</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183,054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168,262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169,242</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33,388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30,585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31,548</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151,145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135,053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154,411</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37,906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22,024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32,598</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43,448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31,993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28,765</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733,972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501,646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580,957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61,056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41,725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43,319</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71,587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53,022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57,959</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292,544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254,469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254,760</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59,678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32,551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32,420</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Non-current notes receivable, net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13,432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41,253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28,377</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36,506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16,856</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net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3,575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9,145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9,715</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1,240,113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970,317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1,024,363</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8"/>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 net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195,796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61,813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64,830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61,543</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11,938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11,091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11,032</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269,547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75,921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72,575</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222,897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260,414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284,807</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11,111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9,680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7,055</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503,555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346,015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364,437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Commitments and contingencies (Note 8)</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57"/>
        </w:trPr>
        <w:tc>
          <w:tcPr>
            <w:tcW w:w="7780" w:type="dxa"/>
            <w:vAlign w:val="bottom"/>
          </w:tcPr>
          <w:p>
            <w:pPr>
              <w:ind w:left="500"/>
              <w:spacing w:after="0" w:line="157" w:lineRule="exact"/>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7780" w:type="dxa"/>
            <w:vAlign w:val="bottom"/>
          </w:tcPr>
          <w:p>
            <w:pPr>
              <w:ind w:left="500"/>
              <w:spacing w:after="0"/>
              <w:rPr>
                <w:sz w:val="20"/>
                <w:szCs w:val="20"/>
                <w:color w:val="auto"/>
              </w:rPr>
            </w:pPr>
            <w:r>
              <w:rPr>
                <w:rFonts w:ascii="Arial" w:cs="Arial" w:eastAsia="Arial" w:hAnsi="Arial"/>
                <w:sz w:val="14"/>
                <w:szCs w:val="14"/>
                <w:color w:val="auto"/>
              </w:rPr>
              <w:t>51,494,246 as of June 30, 2018; 51,326,582 as of June 30, 2017; and 51,427,832 as of September 30, 2017</w:t>
            </w:r>
          </w:p>
        </w:tc>
        <w:tc>
          <w:tcPr>
            <w:tcW w:w="22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514</w:t>
            </w:r>
          </w:p>
        </w:tc>
      </w:tr>
      <w:tr>
        <w:trPr>
          <w:trHeight w:val="163"/>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2,970,171</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395,428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322,559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348,532</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392,315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340,256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351,666</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(48,040)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(38,367)</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EZCORP, Inc. stockholders’ equity</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740,248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625,437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662,375</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(3,690)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w:t>
            </w:r>
          </w:p>
        </w:tc>
      </w:tr>
      <w:tr>
        <w:trPr>
          <w:trHeight w:val="25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736,558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624,302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659,926</w:t>
            </w:r>
          </w:p>
        </w:tc>
      </w:tr>
      <w:tr>
        <w:trPr>
          <w:trHeight w:val="243"/>
        </w:trPr>
        <w:tc>
          <w:tcPr>
            <w:tcW w:w="7780" w:type="dxa"/>
            <w:vAlign w:val="bottom"/>
          </w:tcPr>
          <w:p>
            <w:pPr>
              <w:ind w:left="40"/>
              <w:spacing w:after="0"/>
              <w:rPr>
                <w:sz w:val="20"/>
                <w:szCs w:val="20"/>
                <w:color w:val="auto"/>
              </w:rPr>
            </w:pPr>
            <w:r>
              <w:rPr>
                <w:rFonts w:ascii="Arial" w:cs="Arial" w:eastAsia="Arial" w:hAnsi="Arial"/>
                <w:sz w:val="14"/>
                <w:szCs w:val="14"/>
                <w:color w:val="auto"/>
              </w:rPr>
              <w:t>Total liabilities and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1,240,113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970,317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1,024,363</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24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5"/>
              </w:rPr>
              <w:t>Nine Months Ended June 30,</w:t>
            </w: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379"/>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104,737</w:t>
            </w:r>
          </w:p>
        </w:tc>
        <w:tc>
          <w:tcPr>
            <w:tcW w:w="12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97,921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333,270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319,672</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37,658</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72,874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65,878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223,601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201,983</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6,572</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199,942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183,633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607,184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565,885</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204,840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17,625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37,536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32,195</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115,072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105,555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358,092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327,417</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83,032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74,246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248,802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226,352</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41,305</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6,124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5,843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18,298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18,246</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sale or disposal of assets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102,738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94,201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307,480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285,914</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41,503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7,394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19,070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16,847</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(3,768)</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15,736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8,899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53,388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35,627</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13,663</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14,183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5,467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38,477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21,964</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(1,868)</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14,274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37,846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20,096</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EZCORP,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14,633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5,260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39,194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20,448</w:t>
            </w:r>
          </w:p>
        </w:tc>
      </w:tr>
      <w:tr>
        <w:trPr>
          <w:trHeight w:val="257"/>
        </w:trPr>
        <w:tc>
          <w:tcPr>
            <w:tcW w:w="6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0.41</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r>
      <w:tr>
        <w:trPr>
          <w:trHeight w:val="270"/>
        </w:trPr>
        <w:tc>
          <w:tcPr>
            <w:tcW w:w="6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57,954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54,367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57,080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54,310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379"/>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14,274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37,846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20,096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gain (loss):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Foreign currency translation gain (loss), net of income tax benefit (expense) from our</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unconsolidated affiliate of $135 and ($76) for the three and nine months ended June 30,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2018 respectively, and ($820) and ($290) for the three and nine months ended June 30,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2017,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6,163</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gain (loss), net of tax</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(7,576)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4,608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6,163</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9,810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29,735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26,259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EZCORP,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30,976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26,616</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92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9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9"/>
          </w:tcPr>
          <w:p>
            <w:pPr>
              <w:jc w:val="center"/>
              <w:ind w:right="3"/>
              <w:spacing w:after="0"/>
              <w:rPr>
                <w:sz w:val="20"/>
                <w:szCs w:val="20"/>
                <w:color w:val="auto"/>
              </w:rPr>
            </w:pPr>
            <w:r>
              <w:rPr>
                <w:rFonts w:ascii="Arial" w:cs="Arial" w:eastAsia="Arial" w:hAnsi="Arial"/>
                <w:sz w:val="14"/>
                <w:szCs w:val="14"/>
                <w:b w:val="1"/>
                <w:bCs w:val="1"/>
                <w:color w:val="auto"/>
                <w:w w:val="90"/>
              </w:rPr>
              <w:t>(Unaudited, except balances as of September 30, 2016)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920"/>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Balances as of September 30, 2016</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54,099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318,723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319,808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594,205</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5,126</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0"/>
        </w:trPr>
        <w:tc>
          <w:tcPr>
            <w:tcW w:w="3740" w:type="dxa"/>
            <w:vAlign w:val="bottom"/>
          </w:tcPr>
          <w:p>
            <w:pPr>
              <w:ind w:left="280"/>
              <w:spacing w:after="0"/>
              <w:rPr>
                <w:sz w:val="20"/>
                <w:szCs w:val="20"/>
                <w:color w:val="auto"/>
              </w:rPr>
            </w:pPr>
            <w:r>
              <w:rPr>
                <w:rFonts w:ascii="Arial" w:cs="Arial" w:eastAsia="Arial" w:hAnsi="Arial"/>
                <w:sz w:val="16"/>
                <w:szCs w:val="16"/>
                <w:color w:val="auto"/>
                <w:w w:val="94"/>
              </w:rPr>
              <w:t>Taxes paid related to net share settlement of equity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tcPr>
          <w:p>
            <w:pPr>
              <w:ind w:left="280"/>
              <w:spacing w:after="0"/>
              <w:rPr>
                <w:sz w:val="20"/>
                <w:szCs w:val="20"/>
                <w:color w:val="auto"/>
              </w:rPr>
            </w:pPr>
            <w:r>
              <w:rPr>
                <w:rFonts w:ascii="Arial" w:cs="Arial" w:eastAsia="Arial" w:hAnsi="Arial"/>
                <w:sz w:val="16"/>
                <w:szCs w:val="16"/>
                <w:color w:val="auto"/>
              </w:rPr>
              <w:t>awards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Reclassification of Cash Convertible Notes Warrants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 liabilities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6,168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6,163</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20,448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20,096</w:t>
            </w:r>
          </w:p>
        </w:tc>
        <w:tc>
          <w:tcPr>
            <w:tcW w:w="0" w:type="dxa"/>
            <w:vAlign w:val="bottom"/>
          </w:tcPr>
          <w:p>
            <w:pPr>
              <w:spacing w:after="0"/>
              <w:rPr>
                <w:sz w:val="1"/>
                <w:szCs w:val="1"/>
                <w:color w:val="auto"/>
              </w:rPr>
            </w:pPr>
          </w:p>
        </w:tc>
      </w:tr>
      <w:tr>
        <w:trPr>
          <w:trHeight w:val="244"/>
        </w:trPr>
        <w:tc>
          <w:tcPr>
            <w:tcW w:w="3740" w:type="dxa"/>
            <w:vAlign w:val="bottom"/>
          </w:tcPr>
          <w:p>
            <w:pPr>
              <w:ind w:left="40"/>
              <w:spacing w:after="0"/>
              <w:rPr>
                <w:sz w:val="20"/>
                <w:szCs w:val="20"/>
                <w:color w:val="auto"/>
              </w:rPr>
            </w:pPr>
            <w:r>
              <w:rPr>
                <w:rFonts w:ascii="Arial" w:cs="Arial" w:eastAsia="Arial" w:hAnsi="Arial"/>
                <w:sz w:val="16"/>
                <w:szCs w:val="16"/>
                <w:color w:val="auto"/>
              </w:rPr>
              <w:t>Balances as of June 30, 2017</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54,297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322,559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340,256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(37,921)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624,302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740" w:type="dxa"/>
            <w:vAlign w:val="bottom"/>
          </w:tcPr>
          <w:p>
            <w:pPr>
              <w:spacing w:after="0"/>
              <w:rPr>
                <w:sz w:val="24"/>
                <w:szCs w:val="24"/>
                <w:color w:val="auto"/>
              </w:rPr>
            </w:pPr>
          </w:p>
        </w:tc>
        <w:tc>
          <w:tcPr>
            <w:tcW w:w="20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740" w:type="dxa"/>
            <w:vAlign w:val="bottom"/>
          </w:tcPr>
          <w:p>
            <w:pPr>
              <w:spacing w:after="0"/>
              <w:rPr>
                <w:sz w:val="5"/>
                <w:szCs w:val="5"/>
                <w:color w:val="auto"/>
              </w:rPr>
            </w:pPr>
          </w:p>
        </w:tc>
        <w:tc>
          <w:tcPr>
            <w:tcW w:w="9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9"/>
          </w:tcPr>
          <w:p>
            <w:pPr>
              <w:jc w:val="center"/>
              <w:ind w:right="3"/>
              <w:spacing w:after="0"/>
              <w:rPr>
                <w:sz w:val="20"/>
                <w:szCs w:val="20"/>
                <w:color w:val="auto"/>
              </w:rPr>
            </w:pPr>
            <w:r>
              <w:rPr>
                <w:rFonts w:ascii="Arial" w:cs="Arial" w:eastAsia="Arial" w:hAnsi="Arial"/>
                <w:sz w:val="14"/>
                <w:szCs w:val="14"/>
                <w:b w:val="1"/>
                <w:bCs w:val="1"/>
                <w:color w:val="auto"/>
                <w:w w:val="90"/>
              </w:rPr>
              <w:t>(Unaudited, except balances as of September 30, 2017)</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920"/>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2017</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54,398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348,532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351,666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659,926</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8,150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8,150</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3740" w:type="dxa"/>
            <w:vAlign w:val="bottom"/>
          </w:tcPr>
          <w:p>
            <w:pPr>
              <w:ind w:left="280"/>
              <w:spacing w:after="0"/>
              <w:rPr>
                <w:sz w:val="20"/>
                <w:szCs w:val="20"/>
                <w:color w:val="auto"/>
              </w:rPr>
            </w:pPr>
            <w:r>
              <w:rPr>
                <w:rFonts w:ascii="Arial" w:cs="Arial" w:eastAsia="Arial" w:hAnsi="Arial"/>
                <w:sz w:val="16"/>
                <w:szCs w:val="16"/>
                <w:color w:val="auto"/>
                <w:w w:val="94"/>
              </w:rPr>
              <w:t>Taxes paid related to net share settlement of equity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tcPr>
          <w:p>
            <w:pPr>
              <w:ind w:left="280"/>
              <w:spacing w:after="0"/>
              <w:rPr>
                <w:sz w:val="20"/>
                <w:szCs w:val="20"/>
                <w:color w:val="auto"/>
              </w:rPr>
            </w:pPr>
            <w:r>
              <w:rPr>
                <w:rFonts w:ascii="Arial" w:cs="Arial" w:eastAsia="Arial" w:hAnsi="Arial"/>
                <w:sz w:val="16"/>
                <w:szCs w:val="16"/>
                <w:color w:val="auto"/>
              </w:rPr>
              <w:t>awards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Reclassification of stranded tax effects resulting</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from the Tax Cuts and Jobs Act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(8,111)</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Equity classified conversion feature of 2025</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Convertible Notes, net of tax</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39,057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39,057</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39,194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37,846</w:t>
            </w:r>
          </w:p>
        </w:tc>
        <w:tc>
          <w:tcPr>
            <w:tcW w:w="0" w:type="dxa"/>
            <w:vAlign w:val="bottom"/>
          </w:tcPr>
          <w:p>
            <w:pPr>
              <w:spacing w:after="0"/>
              <w:rPr>
                <w:sz w:val="1"/>
                <w:szCs w:val="1"/>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June 30, 2018</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395,428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392,315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736,558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259"/>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379"/>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r>
      <w:tr>
        <w:trPr>
          <w:trHeight w:val="209"/>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8"/>
                <w:szCs w:val="18"/>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37,846</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20,096</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18,298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18,246</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8,595</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(2,898)</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Other adjustments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1,948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1,397</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5,145</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Income from investment in unconsolidated affiliate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(3,768)</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604</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1,470</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6,808</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(29,464)</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288</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net of excess tax benefit from stock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9,873</w:t>
            </w:r>
          </w:p>
        </w:tc>
      </w:tr>
      <w:tr>
        <w:trPr>
          <w:trHeight w:val="217"/>
        </w:trPr>
        <w:tc>
          <w:tcPr>
            <w:tcW w:w="8320" w:type="dxa"/>
            <w:vAlign w:val="bottom"/>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69,050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35,521</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(512,914)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(472,676)</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318,636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288,833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202,078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187,819</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and capitalized labor,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(14,887)</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(93,165)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Principal collections on notes receivable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16,210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23,336</w:t>
            </w: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(117,108)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12,425</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Proceeds from borrowings, net of issuance costs and other</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170,468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170,157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813</w:t>
            </w: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120,638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47,992</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164,393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65,737</w:t>
            </w: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285,031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113,729</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197,163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182,682</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reinvestment acquisition of additional ownership in unconsolidated affiliate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Deferred acquisition consideration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00"/>
          </w:cols>
          <w:pgMar w:left="240" w:top="121"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report, the terms “we,” “us,” “our,” “EZCORP” and the “Company” mean EZCORP, Inc. and its consolidated subsidiaries, collectively.</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which are of a normal, recurring nature. All intercompany accounts and transactions have been eliminated in consolidation.</w:t>
      </w:r>
    </w:p>
    <w:p>
      <w:pPr>
        <w:spacing w:after="0" w:line="13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accompanying financial statements should be read in conjunction with the consolidated financial statements and notes included in our Annual Report on Form 10-K for the year ended September 30, 2017. The balance sheet as of September 30, 2017 has been derived from the audited financial statements at that date but does not include all of the information and footnotes required by GAAP for complete financial statements.</w:t>
      </w:r>
    </w:p>
    <w:p>
      <w:pPr>
        <w:spacing w:after="0" w:line="1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business is subject to seasonal variations, and operating results for the three and nine months ended June 30, 2018 and 2017 (the "current quarter" and "current nine-months" and "prior-year quarter" and "prior-year nine-months," respectively) are not necessarily indicative of the results of operations for the full fiscal year.</w:t>
      </w:r>
    </w:p>
    <w:p>
      <w:pPr>
        <w:spacing w:after="0" w:line="127" w:lineRule="exact"/>
        <w:rPr>
          <w:sz w:val="20"/>
          <w:szCs w:val="20"/>
          <w:color w:val="auto"/>
        </w:rPr>
      </w:pPr>
    </w:p>
    <w:p>
      <w:pPr>
        <w:ind w:right="460"/>
        <w:spacing w:after="0" w:line="438" w:lineRule="auto"/>
        <w:rPr>
          <w:sz w:val="20"/>
          <w:szCs w:val="20"/>
          <w:color w:val="auto"/>
        </w:rPr>
      </w:pPr>
      <w:r>
        <w:rPr>
          <w:rFonts w:ascii="Arial" w:cs="Arial" w:eastAsia="Arial" w:hAnsi="Arial"/>
          <w:sz w:val="18"/>
          <w:szCs w:val="18"/>
          <w:color w:val="auto"/>
        </w:rPr>
        <w:t xml:space="preserve">There have been no changes in significant accounting policies as described in our Annual Report on Form 10-K for the year ended September 30, 2017. </w:t>
      </w:r>
      <w:r>
        <w:rPr>
          <w:rFonts w:ascii="Arial" w:cs="Arial" w:eastAsia="Arial" w:hAnsi="Arial"/>
          <w:sz w:val="18"/>
          <w:szCs w:val="18"/>
          <w:b w:val="1"/>
          <w:bCs w:val="1"/>
          <w:i w:val="1"/>
          <w:iCs w:val="1"/>
          <w:color w:val="auto"/>
        </w:rPr>
        <w:t>Reclassifications to Prior Period Financial Statements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reclassified certain capitalized labor expenditures in the previous period on our condensed consolidated statements of cash flows from "Prepaid expenses, other current assets and other assets" in operating cash flows to "Additions to property and equipment and capitalized labor, net" in investing cash flows. Additionally, we have reclassified certain information included in Note 10 to conform to the current period presentation. These reclassifications do not have a material impact to prior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December 22, 2017, the Tax Cuts and Jobs Act of 2017 (the "Act") was signed into law. Among other things, the Act reduces the U.S. federal corporate tax rate from 35% to 21%, requires companies to pay a one-time transition tax on earnings of certain foreign subsidiaries that were previously tax deferred and creates new taxes on certain foreign sourced earnings. The corporate tax rate reduction was effective as of January 1, 2018 and, accordingly, reduced our current fiscal year federal statutory rate to a blended rate of 24.5%, and will further reduce it to 21% beginning in fiscal 2019. As of June 30, 2018, while we are able to make reasonable estimates of the impact of the reduction in the corporate rate and the deemed repatriation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transition tax, the final impact of the Act may differ from these estimates, due to, among other things, changes in our interpretations and assumptions, additional guidance that may be issued by the Internal Revenue Service and actions we may take. We are continuing to gather additional information to determine the final impact of the Act. We recognized $2.8 million during the quarter ended December 31, 2017, as discussed below, for the revaluation of our deferred tax assets and liabilities upon enactment of the Act, which is included as a component of "Income tax expense" in our condensed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Provisional amounts</w:t>
      </w:r>
    </w:p>
    <w:p>
      <w:pPr>
        <w:spacing w:after="0" w:line="171" w:lineRule="exact"/>
        <w:rPr>
          <w:sz w:val="20"/>
          <w:szCs w:val="20"/>
          <w:color w:val="auto"/>
        </w:rPr>
      </w:pPr>
    </w:p>
    <w:p>
      <w:pPr>
        <w:ind w:left="660" w:right="2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Deferred tax assets and liabilities: We remeasured certain deferred tax assets and liabilities based on the rates at which they are expected to reverse in the future, which is generally either 24.5% or 21%, depending on whether they are expected to reverse in fiscal 2018 or in future fiscal years. We also recorded a valuation allowance against certain foreign tax credit carryforwards which management does not believe will be realized based on changes in the taxation of dividends of foreign subsidiaries in the Act. The amount recorded related to the remeasurement of our deferred tax balances was $2.8 million. This amount was recorded in the quarter ended December 31, 2017 with no further adjustment.</w:t>
      </w:r>
    </w:p>
    <w:p>
      <w:pPr>
        <w:spacing w:after="0" w:line="104"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tax effects: The one-time transition tax is based on our total post-1986 earnings and profits ("E&amp;P") for which we have previously deferred U.S. income taxes. We do not believe that we will owe any transition tax as we have foreign tax credits sufficient to cover the tax that we estimate will be due on the deferred earnings of our foreign subsidiaries. No additional income taxes have been provided for any remaining undistributed foreign earnings not subject to the transition tax and any additional outside basis differences inherent in these entities as these amounts continue to be indefinitely reinvested in foreign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ind w:left="660" w:right="40" w:hanging="328"/>
        <w:spacing w:after="0" w:line="25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In March 2018, the Financial Accounting Standards Board ("FASB") issued Accounting Standards Update ("ASU") 2018-05, Income Taxes — (Topic 740): Amendments to SEC (U.S. Securities and Exchange Commission) Paragraphs Pursuant to SEC Staff Accounting Bulletin No. 118. This ASU adds various paragraphs to the accounting standards codification from SEC Staff Accounting Bulletin No. 118. The provisions of this ASU were effective immediately. The discussion above of the impacts of the Act have incorporated the provisions of this ASU and SEC Staff Accounting Bulletin No. 118.</w:t>
      </w:r>
    </w:p>
    <w:p>
      <w:pPr>
        <w:spacing w:after="0" w:line="201" w:lineRule="exact"/>
        <w:rPr>
          <w:rFonts w:ascii="Arial" w:cs="Arial" w:eastAsia="Arial" w:hAnsi="Arial"/>
          <w:sz w:val="18"/>
          <w:szCs w:val="18"/>
          <w:b w:val="1"/>
          <w:bCs w:val="1"/>
          <w:i w:val="1"/>
          <w:iCs w:val="1"/>
          <w:color w:val="auto"/>
        </w:rPr>
      </w:pPr>
    </w:p>
    <w:p>
      <w:pPr>
        <w:ind w:left="660" w:right="4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This ASU allows entities to reclassify from accumulated other comprehensive income to retained earnings the stranded tax effects resulting from the Act. The provisions of this ASU are effective for fiscal years, and interim periods within those fiscal years, beginning after December 15, 2018. As allowed, we early adopted ASU 2018-02 on a prospective basis as of January 1, 2018 and reclassified $1.5 million of accumulated foreign currency translation associated with our unconsolidated affiliate Cash Converters International Limited (“Cash Converters International”), resulting from the stranded tax effects from the reduction of our effective tax rate, from accumulated other comprehensive loss to retained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and Significant Accounting Policies</w:t>
      </w:r>
    </w:p>
    <w:p>
      <w:pPr>
        <w:spacing w:after="0" w:line="239" w:lineRule="exact"/>
        <w:rPr>
          <w:sz w:val="20"/>
          <w:szCs w:val="20"/>
          <w:color w:val="auto"/>
        </w:rPr>
      </w:pPr>
    </w:p>
    <w:p>
      <w:pPr>
        <w:ind w:left="660" w:right="60" w:hanging="328"/>
        <w:spacing w:after="0" w:line="27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that we believe will be material as a result of the adoption of the ASU, although we continue to evaluate the impact of adoption. We believe we are following an appropriate timeline to allow for proper recognition, presentation and disclosure upon adoption of the ASU which is effective for our fiscal 2021.</w:t>
      </w:r>
    </w:p>
    <w:p>
      <w:pPr>
        <w:spacing w:after="0" w:line="195" w:lineRule="exact"/>
        <w:rPr>
          <w:rFonts w:ascii="Arial" w:cs="Arial" w:eastAsia="Arial" w:hAnsi="Arial"/>
          <w:sz w:val="17"/>
          <w:szCs w:val="17"/>
          <w:color w:val="auto"/>
        </w:rPr>
      </w:pPr>
    </w:p>
    <w:p>
      <w:pPr>
        <w:jc w:val="both"/>
        <w:ind w:left="660" w:right="3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660" w:right="40"/>
        <w:spacing w:after="0" w:line="302" w:lineRule="auto"/>
        <w:rPr>
          <w:sz w:val="20"/>
          <w:szCs w:val="20"/>
          <w:color w:val="auto"/>
        </w:rPr>
      </w:pPr>
      <w:r>
        <w:rPr>
          <w:rFonts w:ascii="Arial" w:cs="Arial" w:eastAsia="Arial" w:hAnsi="Arial"/>
          <w:sz w:val="18"/>
          <w:szCs w:val="18"/>
          <w:color w:val="auto"/>
        </w:rPr>
        <w:t>those fiscal years. Early adoption is permitted based upon guidance issued within the ASU. We are in the process of evaluating the impact of adopting ASU 2016-02 on our consolidated financial position, results of operations and cash flows, and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have completed upgrades to our third party software solution to support adoption. We will complete our implementation to allow for proper recognition, presentation and disclosure upon adoption of the ASU which is effective for our fiscal 2020.</w:t>
      </w:r>
    </w:p>
    <w:p>
      <w:pPr>
        <w:spacing w:after="0" w:line="112" w:lineRule="exact"/>
        <w:rPr>
          <w:sz w:val="20"/>
          <w:szCs w:val="20"/>
          <w:color w:val="auto"/>
        </w:rPr>
      </w:pPr>
    </w:p>
    <w:p>
      <w:pPr>
        <w:ind w:left="660" w:right="20" w:hanging="328"/>
        <w:spacing w:after="0" w:line="288"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ASU 2014-09, and the subsequently issued ASUs modifying or clarifying ASU 2014-09,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115" w:lineRule="exact"/>
        <w:rPr>
          <w:rFonts w:ascii="Arial" w:cs="Arial" w:eastAsia="Arial" w:hAnsi="Arial"/>
          <w:sz w:val="16"/>
          <w:szCs w:val="16"/>
          <w:color w:val="auto"/>
        </w:rPr>
      </w:pPr>
    </w:p>
    <w:p>
      <w:pPr>
        <w:ind w:left="660" w:right="20"/>
        <w:spacing w:after="0" w:line="273" w:lineRule="auto"/>
        <w:rPr>
          <w:rFonts w:ascii="Arial" w:cs="Arial" w:eastAsia="Arial" w:hAnsi="Arial"/>
          <w:sz w:val="16"/>
          <w:szCs w:val="16"/>
          <w:color w:val="auto"/>
        </w:rPr>
      </w:pPr>
      <w:r>
        <w:rPr>
          <w:rFonts w:ascii="Arial" w:cs="Arial" w:eastAsia="Arial" w:hAnsi="Arial"/>
          <w:sz w:val="17"/>
          <w:szCs w:val="17"/>
          <w:color w:val="auto"/>
        </w:rPr>
        <w:t>We are evaluating the impact that will result from adopting ASU 2014-09 on our consolidated financial position, results of operations, cash flows and disclosure requirements. We currently anticipate adopting the ASU using the modified retrospective method. We do not believe the adoption will have an impact on our pawn service charges recognition as we do not believe such charges are within the scope of the ASU. Further, we have not identified any impacts to our financial statements that we believe will be material as a result of the adoption of the ASU for other revenue streams, although we continue to evaluate the impact of adoption. We believe we are following an appropriate timeline to allow for proper recognition, presentation and disclosure upon adoption of the ASU which is effective for our fiscal 2019.</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refer to Note 1, Summary of Significant Accounting Policies, of Notes to Consolidated Financial Statements included in "Part II, Item 8 — Financial Statements and Supplementary Data" of our Annual Report on Form 10-K for the year ended September 30, 2017 for discussion of our significant accounting policies and other accounting pronouncements issued but not yet adopted.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Camira Administration Corp. and subsidiaries (“GPMX”)</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6, 2017, we completed the acquisition of 100% of the outstanding stock of Camira Administration Corp. and subsidiaries (“GPMX”), a business that owns and operates 112 stores located in Guatemala, El Salvador, Honduras and Peru. The GPMX acquisition significantly expands our store base into Latin American countries outside of Mexico and provides us with a platform for further growth in the region. Under the terms of the stock purchase agreement ("SPA"), we paid $53.4 million in cash upon closing and, subsequent to the closing, paid $6.7 million to satisfy the acquired company's indebtedness to members of the seller’s affiliated group. The SPA specified a further $2.25 million to be paid contingent upon performance of GPMX’s business during a period up to 24 months following the closing date, and the business achieved the specified performance goal during the first quarter of fiscal 2018. Consequently, we made a final payment of $1.6 million in January 2018 in satisfaction of the contingent purchase price obligation, after reduction for certain adjustments under the SPA, yielding a total purchase price of $61.7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25, 2018, we acquired 40 pawn stores operating under the name "Montepio San Patricio” in and around Mexico City, the largest market in Mexico. The acquisition of these stores is our largest acquisition in Mexico to date and significantly strengthens our competitive position in the strategically important Mexico City metropolitan area. The physical space in these stores is substantially larger than our average store in Mexico, giving us the capacity to increase their focus on general merchandise pawn loan and retail activities.</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11, 2018, we acquired 23 pawn stores operating under the name "Presta Dinero," giving us a presence in a number of cities within seven central-Mexico states in which we already have Empeño Fácil stores. These stores complement our existing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stores, allowing us to achieve synergies in management and administration while giving us a presence in new cities and neighborhoods.</w:t>
      </w:r>
    </w:p>
    <w:p>
      <w:pPr>
        <w:spacing w:after="0" w:line="17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December 4, 2017, we acquired 21 pawn stores located in the Mexican state of Sinaloa and operating under the name "Bazareño." The Bazareño stores make up the largest chain of pawn stores in Culiacan, the capital city of Sinaloa, giving EZCORP the number one position in that market with more than double the store count of the nearest competitor and an important strategic presence in the northwest region of Mexico.</w:t>
      </w:r>
    </w:p>
    <w:p>
      <w:pPr>
        <w:spacing w:after="0" w:line="11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purchase prices of the above acquisitions were paid in cash. These acquisitions, collectively referred to as "All Other" below, were individually immaterial and we have therefore omitted or aggregated certain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With the completion of the GPMX acquisition, we have combined the results of that business with the results of our Mexico pawn business, and that reporting segment is now referred to as "Latin America Pawn." See Note 9, Segment Information, below. The acquisitions described above were all attributable to our Latin America Pawn segment. The allocation of the consideration for the net acquired assets from these business combinations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GPMX</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8"/>
              </w:rPr>
              <w:t>All Other</w:t>
            </w:r>
          </w:p>
        </w:tc>
      </w:tr>
      <w:tr>
        <w:trPr>
          <w:trHeight w:val="385"/>
        </w:trPr>
        <w:tc>
          <w:tcPr>
            <w:tcW w:w="8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Earning assets</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7,980</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Property and equipment, intangible assets and other assets, net*</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18,868</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payable, deferred taxes and other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consideration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61,716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35,153</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Intangible assets consist primarily of $9.8 million and $14.0 million in trade names acquired with indefinite useful lives, for GPMX and All Other, respectively.</w:t>
      </w:r>
    </w:p>
    <w:p>
      <w:pPr>
        <w:spacing w:after="0" w:line="16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factors contributing to the recognition of goodwill, which is recorded in our Latin America Pawn segment, were based on several strategic and synergistic benefits we expect to realize from the acquisitions, including expansion of our store base as well as the ability to further leverage our pawn expertise, investments in information technology and other back office and support functions of our existing Mexico pawn business. We expect none of the goodwill resulting from these business combinations will be deductible for tax purposes. As the acquisition of Montepio San Patricio and Presta Dinero were consummated near the end of the current quarter, we may include certain revisions to the initial purchase accounting in subsequent quarters.</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results of the acquired businesses have been included in our condensed consolidated financial statements beginning after the acquisition dates as indicated above in our Latin America Pawn segment with revenue and net income amounts as presented below. Such net income does not include acquisition-related costs of approximately $0.2 million and $0.6 million during the three and nine months ended June 30, 2018, respectively, which were expensed as incurred and primarily included under “Administrative” expense in our condensed consolidated statements of operations. It is impracticable to provide historical supplemental pro forma financial information for GPMX and All Other acquisitions due to a variety of factors, including complexity of restructured entities acquired and access to historical information, such as information necessary to eliminate intercompany transactions.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5"/>
              </w:rPr>
              <w:t>Three Months Ended June 30, 2018</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w w:val="97"/>
              </w:rPr>
              <w:t>Nine Months Ended June 30, 2018</w:t>
            </w: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Income</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Net Income</w:t>
            </w:r>
          </w:p>
        </w:tc>
      </w:tr>
      <w:tr>
        <w:trPr>
          <w:trHeight w:val="318"/>
        </w:trPr>
        <w:tc>
          <w:tcPr>
            <w:tcW w:w="5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GPMX</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0.5</w:t>
            </w:r>
          </w:p>
        </w:tc>
      </w:tr>
      <w:tr>
        <w:trPr>
          <w:trHeight w:val="486"/>
        </w:trPr>
        <w:tc>
          <w:tcPr>
            <w:tcW w:w="5160" w:type="dxa"/>
            <w:vAlign w:val="bottom"/>
          </w:tcPr>
          <w:p>
            <w:pPr>
              <w:spacing w:after="0"/>
              <w:rPr>
                <w:sz w:val="24"/>
                <w:szCs w:val="24"/>
                <w:color w:val="auto"/>
              </w:rPr>
            </w:pPr>
          </w:p>
        </w:tc>
        <w:tc>
          <w:tcPr>
            <w:tcW w:w="1040" w:type="dxa"/>
            <w:vAlign w:val="bottom"/>
          </w:tcPr>
          <w:p>
            <w:pPr>
              <w:jc w:val="right"/>
              <w:ind w:right="359"/>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318"/>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4"/>
                <w:szCs w:val="14"/>
                <w:i w:val="1"/>
                <w:iCs w:val="1"/>
                <w:color w:val="auto"/>
                <w:w w:val="99"/>
              </w:rPr>
              <w:t>(in thousands, except per share amounts)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EZCORP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 (B)</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EZCORP (C)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39,194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20,448</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restricted stock and 2024 Convertible Notes*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57,954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54,367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57,080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54,310</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EZCORP:</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97"/>
        </w:trPr>
        <w:tc>
          <w:tcPr>
            <w:tcW w:w="6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earnings per share (C / 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0.38</w:t>
            </w:r>
          </w:p>
        </w:tc>
      </w:tr>
      <w:tr>
        <w:trPr>
          <w:trHeight w:val="109"/>
        </w:trPr>
        <w:tc>
          <w:tcPr>
            <w:tcW w:w="60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EZCORP:</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per share (C / 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Potential common shares excluded from the calculation of diluted earnings per</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share above, exclusive of the additional potential impact of the 2019 Convertible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Warrants, 2024 Convertible Notes and 2025 Convertible Notes*: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2,435</w:t>
            </w:r>
          </w:p>
        </w:tc>
      </w:tr>
    </w:tbl>
    <w:p>
      <w:pPr>
        <w:spacing w:after="0" w:line="17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6 for discussion of the terms and conditions of these potential common shares and dilutive impact thereon.</w:t>
      </w:r>
    </w:p>
    <w:p>
      <w:pPr>
        <w:spacing w:after="0" w:line="163" w:lineRule="exact"/>
        <w:rPr>
          <w:sz w:val="20"/>
          <w:szCs w:val="20"/>
          <w:color w:val="auto"/>
        </w:rPr>
      </w:pPr>
    </w:p>
    <w:p>
      <w:pPr>
        <w:ind w:left="340" w:right="14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As of June 30, 2018, we owned 214,183,714 shares, or approximately 34.75%, of our unconsolidated affiliate Cash Converters International Limited. We acquired 57,631,230 shares in June 2018 for $14.0 million (increasing our ownership by three percentage points) in connection with an underwritten placement of approximately 123.3 million shares by Cash Converters International for AUD 39.5 million, excluding costs. Cash Converters International stated it will use the proceeds from the offering to reduce outstanding indebtedness and provide additional capital to pursue growth opportunities while maintaining sufficient working capital. Our participation in this offering, including our incremental equity ownership, does not change our conclusion to account for our investment in Cash Converters International under the equity method. The following tables present summary financial information for Cash Converters International’s most recently reported results as of June 30, 2018 after translation to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203,664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158,235</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151,189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141,218</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354,853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299,453</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128,731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70,468</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14,559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48,181</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211,563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180,804</w:t>
            </w:r>
          </w:p>
        </w:tc>
      </w:tr>
      <w:tr>
        <w:trPr>
          <w:trHeight w:val="257"/>
        </w:trPr>
        <w:tc>
          <w:tcPr>
            <w:tcW w:w="8560" w:type="dxa"/>
            <w:vAlign w:val="bottom"/>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354,853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299,453</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19"/>
        </w:trPr>
        <w:tc>
          <w:tcPr>
            <w:tcW w:w="8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4"/>
              </w:rPr>
              <w:t>Half-Year Ended December 31,</w:t>
            </w: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95,784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105,816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32,572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38,533</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profit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7,292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8,633</w:t>
            </w:r>
          </w:p>
        </w:tc>
      </w:tr>
      <w:tr>
        <w:trPr>
          <w:trHeight w:val="27"/>
        </w:trPr>
        <w:tc>
          <w:tcPr>
            <w:tcW w:w="8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right="26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Certain reclassifications of prior period amounts have been made. These reclassifications were made to conform to the current period presentation included in the report of Cash Converters International for the half year ended December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assets and liabilities discussed below are classified in one of the following three categories based on the inputs used to develop their fair values: Level 1</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Quoted market prices in active markets for identical assets or liabilities; Level 2 — Other observable market-based inputs or unobservable inputs that are corroborated by market data; and Level 3 — Unobservable inputs that are not corroborated by market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(liabilities) that were carried and measured at fair value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vMerge w:val="restart"/>
          </w:tcPr>
          <w:p>
            <w:pPr>
              <w:spacing w:after="0"/>
              <w:rPr>
                <w:sz w:val="14"/>
                <w:szCs w:val="14"/>
                <w:color w:val="auto"/>
              </w:rPr>
            </w:pPr>
          </w:p>
        </w:tc>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4"/>
                <w:szCs w:val="14"/>
                <w:i w:val="1"/>
                <w:iCs w:val="1"/>
                <w:color w:val="auto"/>
                <w:w w:val="94"/>
              </w:rPr>
              <w:t>(in thousands)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Hedges — Level 2</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Convertible Notes Hedges — Level 2</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Embedded Derivative —</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 net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Convertible Notes Embedded Derivative —</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Level 2</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We measured the fair value of the cash-settled call options pertaining to the </w:t>
      </w:r>
      <w:r>
        <w:rPr>
          <w:rFonts w:ascii="Arial" w:cs="Arial" w:eastAsia="Arial" w:hAnsi="Arial"/>
          <w:sz w:val="18"/>
          <w:szCs w:val="18"/>
          <w:color w:val="252525"/>
        </w:rPr>
        <w:t>2.125% Cash Convertible Senior</w:t>
      </w:r>
      <w:r>
        <w:rPr>
          <w:rFonts w:ascii="Arial" w:cs="Arial" w:eastAsia="Arial" w:hAnsi="Arial"/>
          <w:sz w:val="18"/>
          <w:szCs w:val="18"/>
          <w:color w:val="auto"/>
        </w:rPr>
        <w:t xml:space="preserve"> Notes Due 2019 (the “2019 Convertible Notes Hedges”) and the 2019 Convertible Notes derivative instrument (the “2019 Convertible Notes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Embedded Derivative”) using the Black-Scholes-Merton model based on observable Level 1 and Level 2 inputs such as conversion price of underlying shares, current share price, implied volatility, risk free interest rate and other factors. The volatility input used as of June 30, 2018 was 36% based on observed market inputs. As an estimate of the sensitivity of the fair values of the 2019 Convertible Notes Hedges and 2019 Convertible Notes Embedded Derivative, were volatility inputs of 30% and 45% used, the fair values would have ranged from $4.9 million to $12.2 million.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were not measured at fair value on a recurring basis:</w:t>
      </w:r>
    </w:p>
    <w:p>
      <w:pPr>
        <w:sectPr>
          <w:pgSz w:w="11900" w:h="16838" w:orient="portrait"/>
          <w:cols w:equalWidth="0" w:num="1">
            <w:col w:w="11420"/>
          </w:cols>
          <w:pgMar w:left="240" w:top="122" w:right="239" w:bottom="1440" w:gutter="0" w:footer="0" w:header="0"/>
        </w:sect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r>
      <w:tr>
        <w:trPr>
          <w:trHeight w:val="547"/>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2018</w:t>
            </w:r>
          </w:p>
        </w:tc>
      </w:tr>
      <w:tr>
        <w:trPr>
          <w:trHeight w:val="635"/>
        </w:trPr>
        <w:tc>
          <w:tcPr>
            <w:tcW w:w="4420" w:type="dxa"/>
            <w:vAlign w:val="bottom"/>
          </w:tcPr>
          <w:p>
            <w:pPr>
              <w:spacing w:after="0"/>
              <w:rPr>
                <w:sz w:val="20"/>
                <w:szCs w:val="20"/>
                <w:color w:val="auto"/>
              </w:rPr>
            </w:pPr>
            <w:r>
              <w:rPr>
                <w:rFonts w:ascii="Arial" w:cs="Arial" w:eastAsia="Arial" w:hAnsi="Arial"/>
                <w:sz w:val="18"/>
                <w:szCs w:val="18"/>
                <w:color w:val="auto"/>
              </w:rPr>
              <w:t>Financial assets: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Notes receivable, net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51,338</w:t>
            </w:r>
          </w:p>
        </w:tc>
        <w:tc>
          <w:tcPr>
            <w:tcW w:w="20" w:type="dxa"/>
            <w:vAlign w:val="bottom"/>
          </w:tcPr>
          <w:p>
            <w:pPr>
              <w:spacing w:after="0"/>
              <w:rPr>
                <w:sz w:val="23"/>
                <w:szCs w:val="23"/>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Investment in unconsolidated affiliate</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61,056</w:t>
            </w:r>
          </w:p>
        </w:tc>
        <w:tc>
          <w:tcPr>
            <w:tcW w:w="20" w:type="dxa"/>
            <w:vAlign w:val="bottom"/>
          </w:tcPr>
          <w:p>
            <w:pPr>
              <w:spacing w:after="0"/>
              <w:rPr>
                <w:sz w:val="23"/>
                <w:szCs w:val="23"/>
                <w:color w:val="auto"/>
              </w:rPr>
            </w:pPr>
          </w:p>
        </w:tc>
      </w:tr>
      <w:tr>
        <w:trPr>
          <w:trHeight w:val="392"/>
        </w:trPr>
        <w:tc>
          <w:tcPr>
            <w:tcW w:w="44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184,823</w:t>
            </w:r>
          </w:p>
        </w:tc>
        <w:tc>
          <w:tcPr>
            <w:tcW w:w="20" w:type="dxa"/>
            <w:vAlign w:val="bottom"/>
          </w:tcPr>
          <w:p>
            <w:pPr>
              <w:spacing w:after="0"/>
              <w:rPr>
                <w:sz w:val="23"/>
                <w:szCs w:val="23"/>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2024 Convertible Notes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104,562</w:t>
            </w:r>
          </w:p>
        </w:tc>
        <w:tc>
          <w:tcPr>
            <w:tcW w:w="20" w:type="dxa"/>
            <w:vAlign w:val="bottom"/>
          </w:tcPr>
          <w:p>
            <w:pPr>
              <w:spacing w:after="0"/>
              <w:rPr>
                <w:sz w:val="23"/>
                <w:szCs w:val="23"/>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2025 Convertible Notes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118,335</w:t>
            </w:r>
          </w:p>
        </w:tc>
        <w:tc>
          <w:tcPr>
            <w:tcW w:w="20" w:type="dxa"/>
            <w:vAlign w:val="bottom"/>
          </w:tcPr>
          <w:p>
            <w:pPr>
              <w:spacing w:after="0"/>
              <w:rPr>
                <w:sz w:val="23"/>
                <w:szCs w:val="23"/>
                <w:color w:val="auto"/>
              </w:rPr>
            </w:pPr>
          </w:p>
        </w:tc>
      </w:tr>
      <w:tr>
        <w:trPr>
          <w:trHeight w:val="426"/>
        </w:trPr>
        <w:tc>
          <w:tcPr>
            <w:tcW w:w="4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Carrying Value</w:t>
            </w:r>
          </w:p>
        </w:tc>
        <w:tc>
          <w:tcPr>
            <w:tcW w:w="20" w:type="dxa"/>
            <w:vAlign w:val="bottom"/>
          </w:tcPr>
          <w:p>
            <w:pPr>
              <w:spacing w:after="0"/>
              <w:rPr>
                <w:sz w:val="24"/>
                <w:szCs w:val="24"/>
                <w:color w:val="auto"/>
              </w:rPr>
            </w:pPr>
          </w:p>
        </w:tc>
      </w:tr>
      <w:tr>
        <w:trPr>
          <w:trHeight w:val="547"/>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2017</w:t>
            </w:r>
          </w:p>
        </w:tc>
      </w:tr>
      <w:tr>
        <w:trPr>
          <w:trHeight w:val="635"/>
        </w:trPr>
        <w:tc>
          <w:tcPr>
            <w:tcW w:w="4420" w:type="dxa"/>
            <w:vAlign w:val="bottom"/>
          </w:tcPr>
          <w:p>
            <w:pPr>
              <w:spacing w:after="0"/>
              <w:rPr>
                <w:sz w:val="20"/>
                <w:szCs w:val="20"/>
                <w:color w:val="auto"/>
              </w:rPr>
            </w:pPr>
            <w:r>
              <w:rPr>
                <w:rFonts w:ascii="Arial" w:cs="Arial" w:eastAsia="Arial" w:hAnsi="Arial"/>
                <w:sz w:val="18"/>
                <w:szCs w:val="18"/>
                <w:color w:val="auto"/>
              </w:rPr>
              <w:t>Financial assets:</w:t>
            </w: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Notes receivable, net</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63,277</w:t>
            </w:r>
          </w:p>
        </w:tc>
        <w:tc>
          <w:tcPr>
            <w:tcW w:w="20" w:type="dxa"/>
            <w:vAlign w:val="bottom"/>
          </w:tcPr>
          <w:p>
            <w:pPr>
              <w:spacing w:after="0"/>
              <w:rPr>
                <w:sz w:val="23"/>
                <w:szCs w:val="23"/>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Investment in unconsolidated affiliate</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41,725</w:t>
            </w:r>
          </w:p>
        </w:tc>
        <w:tc>
          <w:tcPr>
            <w:tcW w:w="20" w:type="dxa"/>
            <w:vAlign w:val="bottom"/>
          </w:tcPr>
          <w:p>
            <w:pPr>
              <w:spacing w:after="0"/>
              <w:rPr>
                <w:sz w:val="23"/>
                <w:szCs w:val="23"/>
                <w:color w:val="auto"/>
              </w:rPr>
            </w:pPr>
          </w:p>
        </w:tc>
      </w:tr>
      <w:tr>
        <w:trPr>
          <w:trHeight w:val="392"/>
        </w:trPr>
        <w:tc>
          <w:tcPr>
            <w:tcW w:w="44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206,279</w:t>
            </w:r>
          </w:p>
        </w:tc>
        <w:tc>
          <w:tcPr>
            <w:tcW w:w="20" w:type="dxa"/>
            <w:vAlign w:val="bottom"/>
          </w:tcPr>
          <w:p>
            <w:pPr>
              <w:spacing w:after="0"/>
              <w:rPr>
                <w:sz w:val="23"/>
                <w:szCs w:val="23"/>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Term loan facility</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48,235</w:t>
            </w:r>
          </w:p>
        </w:tc>
        <w:tc>
          <w:tcPr>
            <w:tcW w:w="20" w:type="dxa"/>
            <w:vAlign w:val="bottom"/>
          </w:tcPr>
          <w:p>
            <w:pPr>
              <w:spacing w:after="0"/>
              <w:rPr>
                <w:sz w:val="23"/>
                <w:szCs w:val="23"/>
                <w:color w:val="auto"/>
              </w:rPr>
            </w:pPr>
          </w:p>
        </w:tc>
      </w:tr>
      <w:tr>
        <w:trPr>
          <w:trHeight w:val="426"/>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r>
      <w:tr>
        <w:trPr>
          <w:trHeight w:val="547"/>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r>
      <w:tr>
        <w:trPr>
          <w:trHeight w:val="635"/>
        </w:trPr>
        <w:tc>
          <w:tcPr>
            <w:tcW w:w="4420" w:type="dxa"/>
            <w:vAlign w:val="bottom"/>
          </w:tcPr>
          <w:p>
            <w:pPr>
              <w:spacing w:after="0"/>
              <w:rPr>
                <w:sz w:val="20"/>
                <w:szCs w:val="20"/>
                <w:color w:val="auto"/>
              </w:rPr>
            </w:pPr>
            <w:r>
              <w:rPr>
                <w:rFonts w:ascii="Arial" w:cs="Arial" w:eastAsia="Arial" w:hAnsi="Arial"/>
                <w:sz w:val="18"/>
                <w:szCs w:val="18"/>
                <w:color w:val="auto"/>
              </w:rPr>
              <w:t>Financial assets: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Notes receivable, net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60,975</w:t>
            </w:r>
          </w:p>
        </w:tc>
        <w:tc>
          <w:tcPr>
            <w:tcW w:w="20" w:type="dxa"/>
            <w:vAlign w:val="bottom"/>
          </w:tcPr>
          <w:p>
            <w:pPr>
              <w:spacing w:after="0"/>
              <w:rPr>
                <w:sz w:val="23"/>
                <w:szCs w:val="23"/>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Investment in unconsolidated affiliate</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43,319</w:t>
            </w:r>
          </w:p>
        </w:tc>
        <w:tc>
          <w:tcPr>
            <w:tcW w:w="20" w:type="dxa"/>
            <w:vAlign w:val="bottom"/>
          </w:tcPr>
          <w:p>
            <w:pPr>
              <w:spacing w:after="0"/>
              <w:rPr>
                <w:sz w:val="23"/>
                <w:szCs w:val="23"/>
                <w:color w:val="auto"/>
              </w:rPr>
            </w:pPr>
          </w:p>
        </w:tc>
      </w:tr>
      <w:tr>
        <w:trPr>
          <w:trHeight w:val="392"/>
        </w:trPr>
        <w:tc>
          <w:tcPr>
            <w:tcW w:w="44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177,346</w:t>
            </w:r>
          </w:p>
        </w:tc>
        <w:tc>
          <w:tcPr>
            <w:tcW w:w="20" w:type="dxa"/>
            <w:vAlign w:val="bottom"/>
          </w:tcPr>
          <w:p>
            <w:pPr>
              <w:spacing w:after="0"/>
              <w:rPr>
                <w:sz w:val="23"/>
                <w:szCs w:val="23"/>
                <w:color w:val="auto"/>
              </w:rPr>
            </w:pPr>
          </w:p>
        </w:tc>
      </w:tr>
      <w:tr>
        <w:trPr>
          <w:trHeight w:val="270"/>
        </w:trPr>
        <w:tc>
          <w:tcPr>
            <w:tcW w:w="4420" w:type="dxa"/>
            <w:vAlign w:val="bottom"/>
          </w:tcPr>
          <w:p>
            <w:pPr>
              <w:ind w:left="240"/>
              <w:spacing w:after="0"/>
              <w:rPr>
                <w:sz w:val="20"/>
                <w:szCs w:val="20"/>
                <w:color w:val="auto"/>
              </w:rPr>
            </w:pPr>
            <w:r>
              <w:rPr>
                <w:rFonts w:ascii="Arial" w:cs="Arial" w:eastAsia="Arial" w:hAnsi="Arial"/>
                <w:sz w:val="18"/>
                <w:szCs w:val="18"/>
                <w:color w:val="auto"/>
              </w:rPr>
              <w:t>2024 Convertible Notes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100,870</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-5222240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-4878705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-4630420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-4287520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-3069590</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-2726690</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-2477770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-2134870</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464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0"/>
          </w:tcPr>
          <w:p>
            <w:pPr>
              <w:jc w:val="center"/>
              <w:ind w:left="657"/>
              <w:spacing w:after="0"/>
              <w:rPr>
                <w:sz w:val="20"/>
                <w:szCs w:val="20"/>
                <w:color w:val="auto"/>
              </w:rPr>
            </w:pPr>
            <w:r>
              <w:rPr>
                <w:rFonts w:ascii="Arial" w:cs="Arial" w:eastAsia="Arial" w:hAnsi="Arial"/>
                <w:sz w:val="14"/>
                <w:szCs w:val="14"/>
                <w:b w:val="1"/>
                <w:bCs w:val="1"/>
                <w:color w:val="auto"/>
                <w:w w:val="94"/>
              </w:rPr>
              <w:t>Fair Value Measurement Using</w:t>
            </w: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383"/>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ind w:left="8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1"/>
        </w:trPr>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57,116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57,116</w:t>
            </w:r>
          </w:p>
        </w:tc>
        <w:tc>
          <w:tcPr>
            <w:tcW w:w="6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49,205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49,205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662"/>
        </w:trPr>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197,925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197,925</w:t>
            </w:r>
          </w:p>
        </w:tc>
        <w:tc>
          <w:tcPr>
            <w:tcW w:w="40" w:type="dxa"/>
            <w:vAlign w:val="bottom"/>
          </w:tcPr>
          <w:p>
            <w:pPr>
              <w:spacing w:after="0"/>
              <w:rPr>
                <w:sz w:val="24"/>
                <w:szCs w:val="24"/>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195,974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195,974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168,464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168,464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26"/>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rPr>
              <w:t>Fair Value Measurement Using</w:t>
            </w:r>
          </w:p>
        </w:tc>
        <w:tc>
          <w:tcPr>
            <w:tcW w:w="9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2"/>
                <w:szCs w:val="22"/>
                <w:color w:val="auto"/>
              </w:rPr>
            </w:pPr>
          </w:p>
        </w:tc>
      </w:tr>
      <w:tr>
        <w:trPr>
          <w:trHeight w:val="383"/>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ind w:left="4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1"/>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65,570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65,570</w:t>
            </w:r>
          </w:p>
        </w:tc>
        <w:tc>
          <w:tcPr>
            <w:tcW w:w="6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37,306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37,306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662"/>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218,500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218,500</w:t>
            </w:r>
          </w:p>
        </w:tc>
        <w:tc>
          <w:tcPr>
            <w:tcW w:w="40" w:type="dxa"/>
            <w:vAlign w:val="bottom"/>
          </w:tcPr>
          <w:p>
            <w:pPr>
              <w:spacing w:after="0"/>
              <w:rPr>
                <w:sz w:val="24"/>
                <w:szCs w:val="24"/>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48,159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48,159</w:t>
            </w:r>
          </w:p>
        </w:tc>
        <w:tc>
          <w:tcPr>
            <w:tcW w:w="60" w:type="dxa"/>
            <w:vAlign w:val="bottom"/>
          </w:tcPr>
          <w:p>
            <w:pPr>
              <w:spacing w:after="0"/>
              <w:rPr>
                <w:sz w:val="23"/>
                <w:szCs w:val="23"/>
                <w:color w:val="auto"/>
              </w:rPr>
            </w:pPr>
          </w:p>
        </w:tc>
      </w:tr>
      <w:tr>
        <w:trPr>
          <w:trHeight w:val="426"/>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10"/>
          </w:tcPr>
          <w:p>
            <w:pPr>
              <w:jc w:val="center"/>
              <w:ind w:left="657"/>
              <w:spacing w:after="0"/>
              <w:rPr>
                <w:sz w:val="20"/>
                <w:szCs w:val="20"/>
                <w:color w:val="auto"/>
              </w:rPr>
            </w:pPr>
            <w:r>
              <w:rPr>
                <w:rFonts w:ascii="Arial" w:cs="Arial" w:eastAsia="Arial" w:hAnsi="Arial"/>
                <w:sz w:val="14"/>
                <w:szCs w:val="14"/>
                <w:b w:val="1"/>
                <w:bCs w:val="1"/>
                <w:color w:val="auto"/>
                <w:w w:val="94"/>
              </w:rPr>
              <w:t>Fair Value Measurement Using</w:t>
            </w: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64"/>
        </w:trPr>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383"/>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ind w:left="8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1"/>
        </w:trPr>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74,262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74,262</w:t>
            </w:r>
          </w:p>
        </w:tc>
        <w:tc>
          <w:tcPr>
            <w:tcW w:w="6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49,057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49,057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662"/>
        </w:trPr>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193,811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193,811</w:t>
            </w:r>
          </w:p>
        </w:tc>
        <w:tc>
          <w:tcPr>
            <w:tcW w:w="40" w:type="dxa"/>
            <w:vAlign w:val="bottom"/>
          </w:tcPr>
          <w:p>
            <w:pPr>
              <w:spacing w:after="0"/>
              <w:rPr>
                <w:sz w:val="24"/>
                <w:szCs w:val="24"/>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175,016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175,016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ectPr>
          <w:pgSz w:w="11900" w:h="16838" w:orient="portrait"/>
          <w:cols w:equalWidth="0" w:num="2">
            <w:col w:w="5860" w:space="100"/>
            <w:col w:w="5460"/>
          </w:cols>
          <w:pgMar w:left="240" w:top="122" w:right="239" w:bottom="1440" w:gutter="0" w:footer="0" w:header="0"/>
          <w:type w:val="continuous"/>
        </w:sectPr>
      </w:pPr>
    </w:p>
    <w:p>
      <w:pPr>
        <w:ind w:right="20"/>
        <w:spacing w:after="0" w:line="259" w:lineRule="auto"/>
        <w:rPr>
          <w:sz w:val="20"/>
          <w:szCs w:val="20"/>
          <w:color w:val="auto"/>
        </w:rPr>
      </w:pPr>
      <w:r>
        <w:rPr>
          <w:rFonts w:ascii="Arial" w:cs="Arial" w:eastAsia="Arial" w:hAnsi="Arial"/>
          <w:sz w:val="18"/>
          <w:szCs w:val="18"/>
          <w:color w:val="auto"/>
        </w:rPr>
        <w:t>Based on the short-term nature of cash and cash equivalents, pawn loans, pawn service charges receivable, current consumer loans, fees and interest receivable and other debt, we estimate that their carrying value approximates fair value. We consider our cash and cash equivalents to be measured using Level 1 inputs and our pawn loans, pawn service charges receivable, consumer loans, fees and interest receivable and other debt to be measured using Level 3 inputs. Significant increases or</w:t>
      </w:r>
    </w:p>
    <w:p>
      <w:pPr>
        <w:sectPr>
          <w:pgSz w:w="11900" w:h="16838" w:orient="portrait"/>
          <w:cols w:equalWidth="0" w:num="1">
            <w:col w:w="11420"/>
          </w:cols>
          <w:pgMar w:left="240" w:top="122"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decreases in the underlying assumptions used to value pawn loans, pawn service charges receivable, consumer loans, fees and interest receivable and other debt could significantly increase or decrease these fair value estimates.</w:t>
      </w:r>
    </w:p>
    <w:p>
      <w:pPr>
        <w:spacing w:after="0" w:line="1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Subsequent to the sale of Prestaciones Finmart, S.A.P.I. de C.V., SOFOM, E.N.R. ("Grupo Finmart") to Alpha Holding, S.A. de C.V. (“AlphaCredit”) in September 2016, we determined that we retained a variable interest in Grupo Finmart including notes receivable. We determined that we are not the primary beneficiary of Grupo Finmart subsequent to its disposition as we lack a controlling financial interest in Grupo Finmart. We measured the fair value of the notes receivable as of June 30, 2018 under a discounted cash flow approach considering the estimated credit ratings for Grupo Finmart and AlphaCredit and as determined with external consultation, with discount rates ranging from 7% to 13%. Certain of the significant inputs used for the valuation were not observable in the market. Included in the fair value of the notes receivable is the estimated fair value of the deferred compensation fee negotiated in September 2017, of which the ultimate amount to be received is dependent upon the timing of payment of the notes receivable. Significant increases or decreases in the underlying assumptions used to value the notes receivable could significantly increase or decrease these fair value estimates.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measured the fair value of the 2019 Convertible Notes, 2024 Convertible Notes and 2025 Convertible Notes using quoted price inputs. The 2019 Convertible Notes, 2024 Convertible Notes and 2025 Convertible Notes are not actively traded, and thus the price inputs represent a Level 2 measurement. As the quoted price inputs are highly variable from day to day, the fair value estimates disclosed above could significantly increase or decrease.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debt instruments outstanding, contractual maturities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2018</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Debt Discount</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80" w:type="dxa"/>
            <w:vAlign w:val="bottom"/>
          </w:tcPr>
          <w:p>
            <w:pPr>
              <w:spacing w:after="0"/>
              <w:rPr>
                <w:sz w:val="13"/>
                <w:szCs w:val="13"/>
                <w:color w:val="auto"/>
              </w:rPr>
            </w:pPr>
          </w:p>
        </w:tc>
        <w:tc>
          <w:tcPr>
            <w:tcW w:w="8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and Issuance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2019 Convertible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(10,177)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184,823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206,279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177,346</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9"/>
              </w:rPr>
              <w:t>2019 Convertible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w w:val="97"/>
              </w:rPr>
              <w:t>Notes Embedded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Derivative</w:t>
            </w: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7,491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7,491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6,591</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2024 Convertible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(39,188)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104,562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100,870</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9"/>
              </w:rPr>
              <w:t>2025 Convertible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(54,165)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118,335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w w:val="99"/>
              </w:rPr>
              <w:t>Term loan facility</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48,235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522,223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(103,530)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418,693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285,900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260,414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345,341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284,807</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rPr>
              <w:t>Less current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portion</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(205,973)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10,177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(195,796)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long-</w:t>
            </w: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316,250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(93,353)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222,897</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285,900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(25,486)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260,414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345,341</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(60,534)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284,807</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term debt</w:t>
            </w: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Purchase money financing; debt classified as current as collateral was destroyed. Insurance proceeds are expected to cover the entire loss.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w w:val="94"/>
              </w:rPr>
              <w:t>Schedule of Contractual Maturities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3"/>
            <w:shd w:val="clear" w:color="auto" w:fill="CCEEFF"/>
          </w:tcPr>
          <w:p>
            <w:pPr>
              <w:jc w:val="center"/>
              <w:ind w:right="2820"/>
              <w:spacing w:after="0"/>
              <w:rPr>
                <w:sz w:val="20"/>
                <w:szCs w:val="20"/>
                <w:color w:val="auto"/>
              </w:rPr>
            </w:pPr>
            <w:r>
              <w:rPr>
                <w:rFonts w:ascii="Arial" w:cs="Arial" w:eastAsia="Arial" w:hAnsi="Arial"/>
                <w:sz w:val="18"/>
                <w:szCs w:val="18"/>
                <w:color w:val="auto"/>
                <w:w w:val="92"/>
              </w:rPr>
              <w:t>2019 Convertible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jc w:val="center"/>
              <w:ind w:right="2820"/>
              <w:spacing w:after="0"/>
              <w:rPr>
                <w:sz w:val="20"/>
                <w:szCs w:val="20"/>
                <w:color w:val="auto"/>
              </w:rPr>
            </w:pPr>
            <w:r>
              <w:rPr>
                <w:rFonts w:ascii="Arial" w:cs="Arial" w:eastAsia="Arial" w:hAnsi="Arial"/>
                <w:sz w:val="18"/>
                <w:szCs w:val="18"/>
                <w:color w:val="auto"/>
                <w:w w:val="92"/>
              </w:rPr>
              <w:t>2024 Convertible Notes*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143,750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jc w:val="center"/>
              <w:ind w:right="2820"/>
              <w:spacing w:after="0"/>
              <w:rPr>
                <w:sz w:val="20"/>
                <w:szCs w:val="20"/>
                <w:color w:val="auto"/>
              </w:rPr>
            </w:pPr>
            <w:r>
              <w:rPr>
                <w:rFonts w:ascii="Arial" w:cs="Arial" w:eastAsia="Arial" w:hAnsi="Arial"/>
                <w:sz w:val="18"/>
                <w:szCs w:val="18"/>
                <w:color w:val="auto"/>
                <w:w w:val="92"/>
              </w:rPr>
              <w:t>2025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Other debt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3,482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514,732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198,482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    Excludes the potential impact of embedded derivatives.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70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24"/>
                <w:szCs w:val="24"/>
                <w:color w:val="auto"/>
              </w:rPr>
            </w:pPr>
          </w:p>
        </w:tc>
        <w:tc>
          <w:tcPr>
            <w:tcW w:w="232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660" w:type="dxa"/>
            <w:vAlign w:val="bottom"/>
            <w:tcBorders>
              <w:bottom w:val="single" w:sz="8" w:color="CCEEFF"/>
            </w:tcBorders>
            <w:gridSpan w:val="2"/>
            <w:shd w:val="clear" w:color="auto" w:fill="CCEEFF"/>
          </w:tcPr>
          <w:p>
            <w:pPr>
              <w:jc w:val="center"/>
              <w:ind w:right="2840"/>
              <w:spacing w:after="0"/>
              <w:rPr>
                <w:sz w:val="20"/>
                <w:szCs w:val="20"/>
                <w:color w:val="auto"/>
              </w:rPr>
            </w:pPr>
            <w:r>
              <w:rPr>
                <w:rFonts w:ascii="Arial" w:cs="Arial" w:eastAsia="Arial" w:hAnsi="Arial"/>
                <w:sz w:val="18"/>
                <w:szCs w:val="18"/>
                <w:color w:val="auto"/>
                <w:w w:val="92"/>
              </w:rPr>
              <w:t>2019 Convertible Notes: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Contractual interest 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4"/>
              </w:rPr>
              <w:t>Amortization of debt discount and deferred financing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6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3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jc w:val="center"/>
              <w:ind w:right="2840"/>
              <w:spacing w:after="0"/>
              <w:rPr>
                <w:sz w:val="20"/>
                <w:szCs w:val="20"/>
                <w:color w:val="auto"/>
              </w:rPr>
            </w:pPr>
            <w:r>
              <w:rPr>
                <w:rFonts w:ascii="Arial" w:cs="Arial" w:eastAsia="Arial" w:hAnsi="Arial"/>
                <w:sz w:val="18"/>
                <w:szCs w:val="18"/>
                <w:color w:val="auto"/>
                <w:w w:val="92"/>
              </w:rPr>
              <w:t>2024 Convertible Notes: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Contractual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w w:val="94"/>
              </w:rPr>
              <w:t>Amortization of debt discount and deferred financing costs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jc w:val="center"/>
              <w:ind w:right="2840"/>
              <w:spacing w:after="0"/>
              <w:rPr>
                <w:sz w:val="20"/>
                <w:szCs w:val="20"/>
                <w:color w:val="auto"/>
              </w:rPr>
            </w:pPr>
            <w:r>
              <w:rPr>
                <w:rFonts w:ascii="Arial" w:cs="Arial" w:eastAsia="Arial" w:hAnsi="Arial"/>
                <w:sz w:val="18"/>
                <w:szCs w:val="18"/>
                <w:color w:val="auto"/>
                <w:w w:val="92"/>
              </w:rPr>
              <w:t>2025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Contractual interest 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4"/>
              </w:rPr>
              <w:t>Amortization of debt discount and deferred financing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480"/>
              <w:spacing w:after="0"/>
              <w:rPr>
                <w:sz w:val="20"/>
                <w:szCs w:val="20"/>
                <w:color w:val="auto"/>
              </w:rPr>
            </w:pPr>
            <w:r>
              <w:rPr>
                <w:rFonts w:ascii="Arial" w:cs="Arial" w:eastAsia="Arial" w:hAnsi="Arial"/>
                <w:sz w:val="18"/>
                <w:szCs w:val="18"/>
                <w:color w:val="auto"/>
              </w:rPr>
              <w:t>Total interest expense</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2.375% Convertible Senior Notes Due 2025</w:t>
      </w:r>
    </w:p>
    <w:p>
      <w:pPr>
        <w:spacing w:after="0" w:line="33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May 2018, we issued $172.5 million aggregate principal amount of 2.375% Convertible Senior Notes Due 2025 (the “2025 Convertible Notes”). The 2025 Convertible Notes were issued pursuant to an indenture dated May 14, 2018 (the "2018 Indenture") by and between us and Wells Fargo Bank, National Association, as the trustee.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their terms prior to such date.</w:t>
      </w:r>
    </w:p>
    <w:p>
      <w:pPr>
        <w:spacing w:after="0" w:line="10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measured the fair value of the liability component of the 2025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a discount rate of 8% for a similarly structured liability with no conversion feature, maturing in seven years. Our estimate resulted in an initial carrying value of the liability component of the 2025 Convertible Notes of $121.3 million with an associated original issue discount of $51.2 million, exclusive of deferred financing costs. The carrying amount of the 2025 Convertible Notes as a separate equity-classified instrument (the “2025 Convertible Notes Embedded Derivative”) as initially calculated and is currently included under “Additional paid-in capital” in our condensed consolidated balance sheets of June 30, 2018 was $49.6 million ($39.1 million, net of tax). The 2025 Convertible Notes Embedded Derivative is expected to remain recorded in equity in our condensed consolidated balance sheets as long as it continues to meet the criteria as an equity-classified instrument in subsequent reporting periods. We incurred transaction costs of $5.5 million related to the issuance of the 2025 Convertible Notes, which we recorded as deferred financing costs and are included under “Long-term debt, net” and “Additional paid-in capital” in our condensed consolidated balance sheets. The effective interest rate for the three and nine months ended June 30, 2018 was approximately 9%. As of June 30, 2018, the remaining unamortized debt discount and issuance costs will be amortized through the 2025 Maturity Date assuming no early conversion.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2025 Convertible Notes are convertible into cash or shares of Class A Non-Voting Common Stock ("Class A Common Stock"), or any combination thereof, at our option subject to satisfaction of certain conditions and during the periods described in the 2018 Indenture, based on an initial conversion rate of 62.8931 shares of Class A Common Stock per $1,000 principal amount of 2025 Convertible Notes (equivalent to an initial conversion price of $15.90 per share of our Class A Common Stock). We account for the Class A Common Stock issuable upon conversion under the treasury stock method. To the extent our average share price is over $15.90 per share for any fiscal quarter, we are required to recognize incremental dilution of our earnings per share.</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November 1, 2024, the 2025 Convertible Notes will be convertible only under the following circumstances: (1) during any fiscal quarter commencing after the fiscal quarter ended on June 30, 2018 (and only during such fiscal quarter), if the last reported sale price of our Class A Common Stock for at</w:t>
      </w:r>
    </w:p>
    <w:p>
      <w:pPr>
        <w:ind w:right="100"/>
        <w:spacing w:after="0" w:line="281" w:lineRule="auto"/>
        <w:rPr>
          <w:sz w:val="20"/>
          <w:szCs w:val="20"/>
          <w:color w:val="auto"/>
        </w:rPr>
      </w:pPr>
      <w:r>
        <w:rPr>
          <w:rFonts w:ascii="Arial" w:cs="Arial" w:eastAsia="Arial" w:hAnsi="Arial"/>
          <w:sz w:val="16"/>
          <w:szCs w:val="16"/>
          <w:color w:val="auto"/>
        </w:rPr>
        <w:t>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the Company provides notice of redemption. The redemption price will be equal to 100% of the principal amount of the 2025 Convertible Notes to be redeemed, plus accrued and unpaid interest to, but excluding, the redemption date.</w:t>
      </w:r>
    </w:p>
    <w:p>
      <w:pPr>
        <w:spacing w:after="0" w:line="13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among other triggers described in the 2018 Indenture, the market price of our Class A Common Stock meets the threshold based on at least 20 of the final 30 trading days of the quarter for the 2025 Convertible Notes to become convertible at the option of the holders during the subsequent quarter, we may be required to classify the 2025 Convertible Notes as current on our condensed consolidated balance sheets for each quarter in which such triggers are met. The stock trading price condition and other triggers are measured on a quarter-by-quarter basis and were not met as of June 30, 2018. As of June 30, 2018, the if-converted value of the 2025 Convertible Notes did not exceed the principal amount.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2.875% Convertible Senior Notes Due 2024</w:t>
      </w:r>
    </w:p>
    <w:p>
      <w:pPr>
        <w:spacing w:after="0" w:line="33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July 2017, we issued $143.75 million aggregate principal amount of 2.875% Convertible Senior Notes Due 2024 (the “2024 Convertible Notes”). All of the 2024 Convertible Notes were issued pursuant to an indenture dated July 5, 2017 (the "2017 Indenture") by and between us and Wells Fargo Bank, National Association, as the trustee.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their terms prior to such date. The carrying amount of the 2024 Convertible Notes as a separate equity-classified instrument (the “2024 Convertible Notes Embedded Derivative”) included under “Additional paid-in capital” in our condensed consolidated balance sheets of June 30, 2018 was $25.3 million. The effective interest rate for the three and nine months ended June 30, 2018 was approximately 9%. As of June 30, 2018, the remaining unamortized debt discount and issuance costs will be amortized through the 2024 Maturity Date assuming no early conversion.</w:t>
      </w:r>
    </w:p>
    <w:p>
      <w:pPr>
        <w:spacing w:after="0" w:line="12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w:t>
      </w:r>
    </w:p>
    <w:p>
      <w:pPr>
        <w:ind w:right="240"/>
        <w:spacing w:after="0" w:line="255" w:lineRule="auto"/>
        <w:rPr>
          <w:sz w:val="20"/>
          <w:szCs w:val="20"/>
          <w:color w:val="auto"/>
        </w:rPr>
      </w:pPr>
      <w:r>
        <w:rPr>
          <w:rFonts w:ascii="Arial" w:cs="Arial" w:eastAsia="Arial" w:hAnsi="Arial"/>
          <w:sz w:val="18"/>
          <w:szCs w:val="18"/>
          <w:color w:val="auto"/>
        </w:rPr>
        <w:t>per $1,000 principal amount of 2024 Convertible Notes (equivalent to an initial conversion price of $10.00 per share of our Class A Common Stock). We account for the Class A Common Stock issuable upon conversion under the treasury stock method. To the extent our average share price is over $10.00 per share for any fiscal quarter, we are required to recognize incremental dilution of our earnings per share.</w:t>
      </w:r>
    </w:p>
    <w:p>
      <w:pPr>
        <w:spacing w:after="0" w:line="13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among other triggers described in the 2017 Indenture, the market price of our Class A Common Stock meets the threshold based on at least 20 of the final 30 trading days of a quarter for the 2024 Convertible Notes to become convertible at the option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June 30, 2018, and therefore, the 2024 Convertible notes are not classified as current as of June 30, 2018. Though not currently convertible, we estimate that the if-converted value of the 2024 Convertible Notes exceeded the principal amount by $39.6 million as of June 30,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52525"/>
        </w:rPr>
        <w:t xml:space="preserve">In June 2014, we issued $200 million aggregate principal amount of 2.125% Cash Convertible Senior </w:t>
      </w:r>
      <w:r>
        <w:rPr>
          <w:rFonts w:ascii="Arial" w:cs="Arial" w:eastAsia="Arial" w:hAnsi="Arial"/>
          <w:sz w:val="17"/>
          <w:szCs w:val="17"/>
          <w:color w:val="000000"/>
        </w:rPr>
        <w:t>Notes Due 2019 (the "2019 Convertible Notes"), with</w:t>
      </w:r>
      <w:r>
        <w:rPr>
          <w:rFonts w:ascii="Arial" w:cs="Arial" w:eastAsia="Arial" w:hAnsi="Arial"/>
          <w:sz w:val="17"/>
          <w:szCs w:val="17"/>
          <w:color w:val="252525"/>
        </w:rPr>
        <w:t xml:space="preserve"> </w:t>
      </w:r>
      <w:r>
        <w:rPr>
          <w:rFonts w:ascii="Arial" w:cs="Arial" w:eastAsia="Arial" w:hAnsi="Arial"/>
          <w:sz w:val="17"/>
          <w:szCs w:val="17"/>
          <w:color w:val="000000"/>
        </w:rPr>
        <w:t xml:space="preserve">an additional $30 million principal amount of 2019 Convertible Notes issued in July 2014. </w:t>
      </w:r>
      <w:r>
        <w:rPr>
          <w:rFonts w:ascii="Arial" w:cs="Arial" w:eastAsia="Arial" w:hAnsi="Arial"/>
          <w:sz w:val="17"/>
          <w:szCs w:val="17"/>
          <w:color w:val="252525"/>
        </w:rPr>
        <w:t>In</w:t>
      </w:r>
      <w:r>
        <w:rPr>
          <w:rFonts w:ascii="Arial" w:cs="Arial" w:eastAsia="Arial" w:hAnsi="Arial"/>
          <w:sz w:val="17"/>
          <w:szCs w:val="17"/>
          <w:color w:val="000000"/>
        </w:rPr>
        <w:t xml:space="preserve"> July 2017, we used $34.4 million of net proceeds from the 2024 Convertible Notes offering to repurchase and retire $35.0 million aggregate principal amount of 2019 Convertible Notes. The 2019 Convertible Notes were issued </w:t>
      </w:r>
      <w:r>
        <w:rPr>
          <w:rFonts w:ascii="Arial" w:cs="Arial" w:eastAsia="Arial" w:hAnsi="Arial"/>
          <w:sz w:val="17"/>
          <w:szCs w:val="17"/>
          <w:color w:val="252525"/>
        </w:rPr>
        <w:t>pursuant to an indenture dated June 23, 2014 (the "2014 Indenture") by and between us and Wells Fargo Bank, National Association, as the trustee.</w:t>
      </w:r>
      <w:r>
        <w:rPr>
          <w:rFonts w:ascii="Arial" w:cs="Arial" w:eastAsia="Arial" w:hAnsi="Arial"/>
          <w:sz w:val="17"/>
          <w:szCs w:val="17"/>
          <w:color w:val="000000"/>
        </w:rPr>
        <w:t xml:space="preserve"> </w:t>
      </w:r>
      <w:r>
        <w:rPr>
          <w:rFonts w:ascii="Arial" w:cs="Arial" w:eastAsia="Arial" w:hAnsi="Arial"/>
          <w:sz w:val="17"/>
          <w:szCs w:val="17"/>
          <w:color w:val="252525"/>
        </w:rPr>
        <w:t xml:space="preserve">The 2019 Convertible Notes were issued in a private offering </w:t>
      </w:r>
      <w:r>
        <w:rPr>
          <w:rFonts w:ascii="Arial" w:cs="Arial" w:eastAsia="Arial" w:hAnsi="Arial"/>
          <w:sz w:val="17"/>
          <w:szCs w:val="17"/>
          <w:color w:val="000000"/>
        </w:rPr>
        <w:t>and resold under Rule 144A under the Securities Act of 1933.</w:t>
      </w:r>
      <w:r>
        <w:rPr>
          <w:rFonts w:ascii="Arial" w:cs="Arial" w:eastAsia="Arial" w:hAnsi="Arial"/>
          <w:sz w:val="17"/>
          <w:szCs w:val="17"/>
          <w:color w:val="252525"/>
        </w:rPr>
        <w:t xml:space="preserve"> The 2019 Convertible Notes pay interest semi-annually in arrears at a rate of 2.125% per annum on June 15 and December 15 of each year and mature on June 15, 2019 (the "2019 Maturity Date")</w:t>
      </w:r>
      <w:r>
        <w:rPr>
          <w:rFonts w:ascii="Arial" w:cs="Arial" w:eastAsia="Arial" w:hAnsi="Arial"/>
          <w:sz w:val="17"/>
          <w:szCs w:val="17"/>
          <w:color w:val="000000"/>
        </w:rPr>
        <w:t>, unless converted, redeemed or repurchased in accordance with their terms prior to such date</w:t>
      </w:r>
      <w:r>
        <w:rPr>
          <w:rFonts w:ascii="Arial" w:cs="Arial" w:eastAsia="Arial" w:hAnsi="Arial"/>
          <w:sz w:val="17"/>
          <w:szCs w:val="17"/>
          <w:color w:val="252525"/>
        </w:rPr>
        <w:t xml:space="preserve">. </w:t>
      </w:r>
      <w:r>
        <w:rPr>
          <w:rFonts w:ascii="Arial" w:cs="Arial" w:eastAsia="Arial" w:hAnsi="Arial"/>
          <w:sz w:val="17"/>
          <w:szCs w:val="17"/>
          <w:color w:val="000000"/>
        </w:rPr>
        <w:t>The effective interest rate for the three and nine months</w:t>
      </w:r>
      <w:r>
        <w:rPr>
          <w:rFonts w:ascii="Arial" w:cs="Arial" w:eastAsia="Arial" w:hAnsi="Arial"/>
          <w:sz w:val="17"/>
          <w:szCs w:val="17"/>
          <w:color w:val="252525"/>
        </w:rPr>
        <w:t xml:space="preserve"> </w:t>
      </w:r>
      <w:r>
        <w:rPr>
          <w:rFonts w:ascii="Arial" w:cs="Arial" w:eastAsia="Arial" w:hAnsi="Arial"/>
          <w:sz w:val="17"/>
          <w:szCs w:val="17"/>
          <w:color w:val="000000"/>
        </w:rPr>
        <w:t>ended June 30, 2018 and 2017 was approximately 8%. As of June 30, 2018, the remaining unamortized debt discount and issuance costs will be amortized through the 2019 Maturity Date assuming no early conversion.</w:t>
      </w:r>
    </w:p>
    <w:p>
      <w:pPr>
        <w:spacing w:after="0" w:line="12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2019 Convertible Notes are convertible into cash, subject to satisfaction of certain conditions and during the periods described in the 2014 Indenture, based on an initial conversion rate of 62.2471 shares of Class A Common Stock per $1,000 principal amount of 2019 Convertible Notes (equivalent to an initial conversion price of approximately $16.065 per share of our Class A Common Stock). As of June 30, 2018, the if-converted value of the 2019 Convertible Notes did not exceed the principal amount.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2019 Convertible Notes, we purchased cash-settled call options (the “2019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2019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12.1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2019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2019 Convertible Notes. </w:t>
      </w:r>
      <w:r>
        <w:rPr>
          <w:rFonts w:ascii="Arial" w:cs="Arial" w:eastAsia="Arial" w:hAnsi="Arial"/>
          <w:sz w:val="16"/>
          <w:szCs w:val="16"/>
          <w:color w:val="252525"/>
        </w:rPr>
        <w:t>If we exercise the 2019 Convertible Notes</w:t>
      </w:r>
      <w:r>
        <w:rPr>
          <w:rFonts w:ascii="Arial" w:cs="Arial" w:eastAsia="Arial" w:hAnsi="Arial"/>
          <w:sz w:val="16"/>
          <w:szCs w:val="16"/>
          <w:color w:val="auto"/>
        </w:rPr>
        <w:t xml:space="preserve"> Hedges</w:t>
      </w:r>
      <w:r>
        <w:rPr>
          <w:rFonts w:ascii="Arial" w:cs="Arial" w:eastAsia="Arial" w:hAnsi="Arial"/>
          <w:sz w:val="16"/>
          <w:szCs w:val="16"/>
          <w:color w:val="252525"/>
        </w:rPr>
        <w:t>, the aggregate amount of cash we will receive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Option Counterparties will cover the aggregate amount of cash that we would be required to pay to the holders of the converted 2019 Convertible Notes, less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52525"/>
        </w:rPr>
        <w:t>the principal amount thereof.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issuance of the 2019 Convertible Notes, we also sold net-share-settled warrants (the “2019 Convertible Notes Warrants”) in privately negotiated transactions with the Option Counterparties. Subsequent to repurchase and retirement of $35.0 million aggregate principal amount of 2019 Convertible Notes in July 2017, the 2019 Convertible Notes Warrants allow for the purchase of up to approximately 9.4 million shares of our Class A Common Stock at a strike price of $20.83 per share. We account for the Class A Common Stock issuable upon exercise under the treasury stock method. As a result of the 2019 Convertible Notes Warrants and related transactions, we are required to recognize incremental dilution of our earnings per share to the extent our average share price is over $20.83 for any fiscal quarter. The 2019 Convertible Notes Warrants expire on various dates from September 2019 through February 2020 and must be settled in net shares of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May 1, 2010 our Board of Directors approved the adoption of the EZCORP, Inc. 2010 Long-Term Incentive Plan (the “2010 Plan”). As of September 30, 2017, the 2010 Plan permitted grants of options, restricted stock awards and stock appreciation rights covering up to 3,985,649 shares of our Class A Common Stock. In December 2017, the Board of Directors and the voting stockholder approved the addition of 1,100,000 shares to the 2010 Plan.</w:t>
      </w:r>
    </w:p>
    <w:p>
      <w:pPr>
        <w:spacing w:after="0" w:line="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December 2017, we granted 1,308,533 restricted stock unit awards to employees and 84,250 restricted stock awards to non-employee directors with a grant date fair value of primarily $9.75 per share. Our long-term incentive awards are generally granted based on our share price as of October 1 each year, which was $9.50 for these fiscal 2018 awards. For the awards granted to employees, 190,725 vest on September 30, 2018 and 1,117,808 vest on September 30, 2020, subject to the achievement of certain earnings before interest, taxes, depreciation and amortization ("EBITDA") performance targets. As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June 30, 2018, we considered the achievement of these performance targets probable. The awards granted to non-employee directors vest on September 30, 2018 and are subject only to service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w:t>
      </w:r>
    </w:p>
    <w:p>
      <w:pPr>
        <w:spacing w:after="0" w:line="17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Except as noted below, we have not recorded a liability for any of these matters as of June 30, 2018 because we do not believe at this time that any loss is probable or that the amount of any probable loss can be reasonably estimated. The following is a description of significant proceedings.</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Common Stock, filed a derivative action in the Court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named as defendants Phillip E. Cohen, the beneficial owner of all of our outstanding Class B Voting Common Stock; several current and former members of our Board of Directors; three entities controlled by Mr. Cohen (MS Pawn Limited Partnership, the record holder of our Class B Voting Common Stock; MS Pawn Corporation, the general partner of MS Pawn Limited Partnership; and Madison Park LLC); and EZCORP, Inc., as nominal defendant. The amended complaint asserted the following claims:</w:t>
      </w:r>
    </w:p>
    <w:p>
      <w:pPr>
        <w:spacing w:after="0" w:line="139" w:lineRule="exact"/>
        <w:rPr>
          <w:sz w:val="20"/>
          <w:szCs w:val="20"/>
          <w:color w:val="auto"/>
        </w:rPr>
      </w:pPr>
    </w:p>
    <w:p>
      <w:pPr>
        <w:ind w:left="660" w:right="2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(Count III);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 (Count IV).</w:t>
      </w:r>
    </w:p>
    <w:p>
      <w:pPr>
        <w:spacing w:after="0" w:line="17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plaintiff sought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Following briefing and a hearing on the defendants' motions to dismiss, the Court, on January 25, 2016, issued an opinion granting in part and denying in part those motions. Specifically, the Court granted the motion to dismiss Count IV (unjust enrichment) for failure to state a claim. The Court also dismissed Count</w:t>
      </w:r>
    </w:p>
    <w:p>
      <w:pPr>
        <w:ind w:right="180" w:firstLine="8"/>
        <w:spacing w:after="0" w:line="253" w:lineRule="auto"/>
        <w:tabs>
          <w:tab w:leader="none" w:pos="2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(aiding and abetting) as to Mr. Cohen, but interpreted Count I (breach of fiduciary duty) to state a claim against Mr. Cohen and MS Pawn, as well as Thomas C. Roberts (the sole remaining director defendant). The Court otherwise denied the motions to dismiss, including the motion to dismiss Count III (aiding and abetting) against MS Pawn. On March 4, 2016, following the resolution of additional procedural motions, the plaintiff filed a Second Amended Derivative Complaint against Mr. Roberts, Mr. Cohen, Madison Park, MS Pawn Corporation and MS Pawn Limited Partnership with EZCORP, Inc., as nominal defendant.</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23, 2017, the parties agreed to a mediated settlement of all remaining claims and entered into a Memorandum of Understanding regarding that settlement. After the completion of confirmatory discovery, the parties agreed to a Stipulation and Agreement of Settlement, Compromise and Release and other settlement papers, which were filed with the Court on January 11, 2018. On April 3, 2018, following a settlement fairness hearing, the Court approved the proposed settlement as presented, as well as a fee award of $1.3 million to the plaintiff’s attorneys, and entered a final and binding judgment to that effect, dismissing the action with prejudice.</w:t>
      </w:r>
    </w:p>
    <w:p>
      <w:pPr>
        <w:spacing w:after="0" w:line="13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Under the terms of the agreed and approved settlement, a total of $6.5 million was paid into a settlement fund. Of such amount, $5.5 million was funded by the Company’s insurance carriers and $1.0 million was funded by Madison Park LLC. After payment of the approved fee to the plaintiff's attorneys, the remaining $5.2 million of the settlement fund was paid to the Company because, as a derivative action, the lawsuit was brought on behalf of the Company. We recorded that amount in "Other income" in our condensed consolidated statements of operations for the third quarter of fiscal 2018.</w:t>
      </w:r>
    </w:p>
    <w:p>
      <w:pPr>
        <w:spacing w:after="0" w:line="100"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Federal Securities Litigation (WDT) </w:t>
      </w:r>
      <w:r>
        <w:rPr>
          <w:rFonts w:ascii="Arial" w:cs="Arial" w:eastAsia="Arial" w:hAnsi="Arial"/>
          <w:sz w:val="16"/>
          <w:szCs w:val="16"/>
          <w:color w:val="auto"/>
        </w:rPr>
        <w:t>— On July 20, 2015, Wu Winfred Huang, a purported holder of Class A Common Stock, for himself and on behalf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similarly situated holders of Class A Common Stock, filed a lawsuit in the United States District Court for the Western District of Texas styled </w:t>
      </w:r>
      <w:r>
        <w:rPr>
          <w:rFonts w:ascii="Arial" w:cs="Arial" w:eastAsia="Arial" w:hAnsi="Arial"/>
          <w:sz w:val="16"/>
          <w:szCs w:val="16"/>
          <w:i w:val="1"/>
          <w:iCs w:val="1"/>
          <w:color w:val="auto"/>
        </w:rPr>
        <w:t>Huang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EZCORP, Inc., et al. </w:t>
      </w:r>
      <w:r>
        <w:rPr>
          <w:rFonts w:ascii="Arial" w:cs="Arial" w:eastAsia="Arial" w:hAnsi="Arial"/>
          <w:sz w:val="16"/>
          <w:szCs w:val="16"/>
          <w:color w:val="auto"/>
        </w:rPr>
        <w:t>(Case No. 1:15-cv-00608-SS). The complaint names as defendants EZCORP, Inc., Stuart I. Grimshaw (our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 E. Kuchenrither (our former chief financial officer) and asserts violations of Sections 10(b) and 20(a) of the Securities Exchange Act of 1934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3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spacing w:after="0" w:line="1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May 8,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w:t>
      </w:r>
    </w:p>
    <w:p>
      <w:pPr>
        <w:spacing w:after="0" w:line="12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Following discovery on the surviving claims, the plaintiff filed a Motion for Leave to File a Third Amended Complaint, seeking to revive the "nonperforming" loan claims that the Court previously dismissed. We opposed that motion, and on May 14, 2018, the Court heard oral arguments on the motion, as well as plaintiff's Motion for Class Certification and Appointment of Class Representative and Class Counsel, which was also pending.</w:t>
      </w:r>
    </w:p>
    <w:p>
      <w:pPr>
        <w:spacing w:after="0" w:line="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July 26, 2018, the Court granted the plaintiff's motion for leave to amend, thus accepting the Third Amended Consolidated Class Action Complaint, and gave the defendants until August 3, 2018 to file their amended answer. The Court also dismissed the motion for class certification and gave plaintiff until August 31, 2018 to amend and refile such motion.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Following the acquisition of GPMX during the first quarter of fiscal 2018 (see Note 2), we have retitled our Mexico Pawn segment to "Latin America Pawn" and have combined the results of GPMX with the results of our Mexico pawn business, as we expect the financial performance and economic characteristics of those businesses to be similar over the long-term. Segment information is prepared on the same basis that our chief operating decision maker reviews financial information for operational decision-making purposes. As a result, we currently report our segments as follows: U.S. Pawn — all pawn activities in the United States; Latin America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consolidated financial statements.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7"/>
              </w:rPr>
              <w:t>Three Months Ended June 30,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America</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83,898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20,839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104,737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104,737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20,428</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72,874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72,874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157,386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199,942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199,942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66,896</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89,717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115,072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115,072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83,032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13,268</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color w:val="auto"/>
                <w:shd w:val="clear" w:color="auto" w:fill="CCEEFF"/>
              </w:rPr>
              <w:t>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97"/>
        </w:trPr>
        <w:tc>
          <w:tcPr>
            <w:tcW w:w="4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21,376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8,799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ind w:lef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June 30, 2017</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82,714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15,207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97,921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97,921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56,774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65,878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65,878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16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156,795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183,633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183,633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62,615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160" w:type="dxa"/>
            <w:vAlign w:val="bottom"/>
            <w:gridSpan w:val="2"/>
          </w:tcPr>
          <w:p>
            <w:pPr>
              <w:ind w:left="4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89,633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105,555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105,555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63,593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74,246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74,246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5,652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color w:val="auto"/>
                <w:shd w:val="clear" w:color="auto" w:fill="CCEEFF"/>
              </w:rPr>
              <w:t>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23,815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30,041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restart"/>
          </w:tcPr>
          <w:p>
            <w:pPr>
              <w:jc w:val="right"/>
              <w:ind w:right="4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14" w:right="29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Nine Months Ended June 30, 2018</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3"/>
                <w:szCs w:val="13"/>
                <w:color w:val="auto"/>
              </w:rPr>
            </w:pPr>
          </w:p>
        </w:tc>
        <w:tc>
          <w:tcPr>
            <w:tcW w:w="124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1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2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Pawn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center"/>
              <w:ind w:right="20"/>
              <w:spacing w:after="0"/>
              <w:rPr>
                <w:sz w:val="20"/>
                <w:szCs w:val="20"/>
                <w:color w:val="auto"/>
              </w:rPr>
            </w:pPr>
            <w:r>
              <w:rPr>
                <w:rFonts w:ascii="Arial" w:cs="Arial" w:eastAsia="Arial" w:hAnsi="Arial"/>
                <w:sz w:val="14"/>
                <w:szCs w:val="14"/>
                <w:i w:val="1"/>
                <w:iCs w:val="1"/>
                <w:color w:val="auto"/>
                <w:w w:val="94"/>
              </w:rPr>
              <w:t>(in thousands)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270,145</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63,125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333,270</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333,270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44,166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174,439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223,601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223,601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50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479,304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122,526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607,184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607,184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210,283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37,536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500" w:type="dxa"/>
            <w:vAlign w:val="bottom"/>
            <w:gridSpan w:val="2"/>
          </w:tcPr>
          <w:p>
            <w:pPr>
              <w:ind w:left="4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283,656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358,092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358,092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196,748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248,802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248,802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39,927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18,298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Equity in net income of unconsolidated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affiliate</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77,374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24,889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102,521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Income from continuing operations before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102,521</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(49,133)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53,388</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14"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 June 30, 2017</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273,125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46,547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319,672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319,672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177,480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24,503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201,983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201,983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37"/>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485,920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74,007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5,958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565,885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565,885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204,840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204,840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30,114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32,195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32,195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7"/>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282,571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40,321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327,417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327,417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194,499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26,439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226,352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226,352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41,305</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18,246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29"/>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affiliate</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80,653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96,266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96,266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(60,639)</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35,627</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right"/>
              <w:ind w:right="19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SUPPLEMENTAL CONSOLIDATED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r>
      <w:tr>
        <w:trPr>
          <w:trHeight w:val="318"/>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(10,569)</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33,388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30,585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31,548</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141,510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(6,801)</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151,145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135,053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154,411</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Accounts receivable and other</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17,483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19,515</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2019 Convertible Notes Hedges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31,993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28,765</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215,823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(162,801)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(166,281)</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71,587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53,022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57,959</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54,157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48,479</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61,813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64,830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61,543</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w:t>
      </w:r>
    </w:p>
    <w:p>
      <w:pPr>
        <w:spacing w:after="0"/>
        <w:rPr>
          <w:sz w:val="20"/>
          <w:szCs w:val="20"/>
          <w:color w:val="auto"/>
        </w:rPr>
      </w:pPr>
      <w:r>
        <w:rPr>
          <w:rFonts w:ascii="Arial" w:cs="Arial" w:eastAsia="Arial" w:hAnsi="Arial"/>
          <w:sz w:val="16"/>
          <w:szCs w:val="16"/>
          <w:color w:val="auto"/>
        </w:rPr>
        <w:t>— Risk Factors" of our Annual Report on Form 10-K for the year ended September 30, 2017, as supplemented by the information set forth in “Part I, Item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Quantitative and Qualitative Disclosures about Market Risk” and "Part II, Item 1 — Legal Proceedings" of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EZCORP is a Delaware corporation headquartered in Austin, Texas. We are a leading provider of pawn loans in the United States and Latin America.</w:t>
      </w:r>
    </w:p>
    <w:p>
      <w:pPr>
        <w:spacing w:after="0" w:line="1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vision is to be the leader internationally in responsibly and respectfully meeting our customers' desire for access to cash whenever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Most Efficient Provider of Cash;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focused on growing our balance of pawn loans outstanding (“PLO”) and generating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848985" cy="4751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985"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121" w:right="4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charts present sources of net revenues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848985" cy="4751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985"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store counts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848985" cy="2375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121" w:right="1440"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involve gold and jewelry, our results can be heavily influenced by the market price of gold.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plan to expand the number of locations we operate through opening new (“de novo”) locations and through acquisitions. We believe there are growth opportunities with de novo stores in Latin America and pawn store acquisitions in both Latin America and in the U.S. Our ability to add new stores is dependent on several variables, such as the availability of acceptable sites or acquisition candidates and the alignment of acquirer/seller price expectations, the regulatory environment, local zoning ordinances, access to capital, availability of qualified personnel and projected financial results meeting our investment hurdles.</w:t>
      </w:r>
    </w:p>
    <w:p>
      <w:pPr>
        <w:spacing w:after="0" w:line="13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Latin America Pawn business continues to grow rapidly. In the nine months ended June 30, 2018, we opened 10 de novo stores and acquired 196 stores: 112 located in Guatemala, El Salvador, Honduras and Peru; and 84 located in Mexico. We see opportunity for further expansion in Latin America through de novo openings and acquisitions, and plan to open several additional de novo stores in Latin America during the remainder of fiscal 2018. We have provided same store net revenue information in our discussion of our Latin America Pawn segment. Operating and other expenses in our Latin America Pawn segment increased primarily as a result of costs associated with these acquisitions and de novo stores. For further description of acquisitions consummated during the current nine-months, see Note 2 of Notes to Interim Condensed Consolidated Financial Statements included in "Part I, Item 1 —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Historically, pawn service charges are highest in our fourth fiscal quarter (July through September) due to a higher average loan balance during the summer lending season. Loan balances are generally lower in our second fiscal quarter (January through March). Merchandise sales are highest in our first and second fiscal quarters (October through March) due to the holiday season, jewelry sales surrounding Valentine’s Day and the availability of tax refunds in the United States. As a net effect of these factors, our earnings generally are lowest during our third fiscal quarter (April through June).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Three Months Ended June 30, 2018</w:t>
            </w: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13"/>
                <w:szCs w:val="13"/>
                <w:color w:val="auto"/>
              </w:rPr>
            </w:pPr>
          </w:p>
        </w:tc>
        <w:tc>
          <w:tcPr>
            <w:tcW w:w="134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Latin America</w:t>
            </w:r>
          </w:p>
        </w:tc>
        <w:tc>
          <w:tcPr>
            <w:tcW w:w="40" w:type="dxa"/>
            <w:vAlign w:val="bottom"/>
          </w:tcPr>
          <w:p>
            <w:pPr>
              <w:spacing w:after="0"/>
              <w:rPr>
                <w:sz w:val="13"/>
                <w:szCs w:val="13"/>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International</w:t>
            </w:r>
          </w:p>
        </w:tc>
        <w:tc>
          <w:tcPr>
            <w:tcW w:w="60" w:type="dxa"/>
            <w:vAlign w:val="bottom"/>
          </w:tcPr>
          <w:p>
            <w:pPr>
              <w:spacing w:after="0"/>
              <w:rPr>
                <w:sz w:val="13"/>
                <w:szCs w:val="13"/>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ind w:left="420"/>
              <w:spacing w:after="0"/>
              <w:rPr>
                <w:sz w:val="20"/>
                <w:szCs w:val="20"/>
                <w:color w:val="auto"/>
              </w:rPr>
            </w:pPr>
            <w:r>
              <w:rPr>
                <w:rFonts w:ascii="Arial" w:cs="Arial" w:eastAsia="Arial" w:hAnsi="Arial"/>
                <w:sz w:val="14"/>
                <w:szCs w:val="14"/>
                <w:b w:val="1"/>
                <w:bCs w:val="1"/>
                <w:color w:val="auto"/>
              </w:rPr>
              <w:t>Pawn</w:t>
            </w:r>
          </w:p>
        </w:tc>
        <w:tc>
          <w:tcPr>
            <w:tcW w:w="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286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510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387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As of June 30, 2018</w:t>
            </w:r>
          </w:p>
        </w:tc>
        <w:tc>
          <w:tcPr>
            <w:tcW w:w="18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510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451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Three Months Ended June 30, 2017</w:t>
            </w: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13"/>
                <w:szCs w:val="13"/>
                <w:color w:val="auto"/>
              </w:rPr>
            </w:pPr>
          </w:p>
        </w:tc>
        <w:tc>
          <w:tcPr>
            <w:tcW w:w="13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40" w:type="dxa"/>
            <w:vAlign w:val="bottom"/>
          </w:tcPr>
          <w:p>
            <w:pPr>
              <w:spacing w:after="0"/>
              <w:rPr>
                <w:sz w:val="13"/>
                <w:szCs w:val="13"/>
                <w:color w:val="auto"/>
              </w:rPr>
            </w:pPr>
          </w:p>
        </w:tc>
        <w:tc>
          <w:tcPr>
            <w:tcW w:w="15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6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Pawn</w:t>
            </w:r>
          </w:p>
        </w:tc>
        <w:tc>
          <w:tcPr>
            <w:tcW w:w="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2017</w:t>
            </w:r>
          </w:p>
        </w:tc>
        <w:tc>
          <w:tcPr>
            <w:tcW w:w="28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840" w:type="dxa"/>
            <w:vAlign w:val="bottom"/>
            <w:tcBorders>
              <w:bottom w:val="single" w:sz="8" w:color="CCEEFF"/>
            </w:tcBorders>
            <w:gridSpan w:val="2"/>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As of June 30, 2017</w:t>
            </w:r>
          </w:p>
        </w:tc>
        <w:tc>
          <w:tcPr>
            <w:tcW w:w="1840" w:type="dxa"/>
            <w:vAlign w:val="bottom"/>
            <w:gridSpan w:val="2"/>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244</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vMerge w:val="restart"/>
          </w:tcPr>
          <w:p>
            <w:pPr>
              <w:jc w:val="right"/>
              <w:ind w:right="15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102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Nine Months Ended June 30, 2018</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28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Locations sold, combined or closed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As of June 30, 2018</w:t>
            </w:r>
          </w:p>
        </w:tc>
        <w:tc>
          <w:tcPr>
            <w:tcW w:w="18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Nine Months Ended June 30, 2017</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2016</w:t>
            </w:r>
          </w:p>
        </w:tc>
        <w:tc>
          <w:tcPr>
            <w:tcW w:w="28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8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As of June 30, 2017</w:t>
            </w:r>
          </w:p>
        </w:tc>
        <w:tc>
          <w:tcPr>
            <w:tcW w:w="1820" w:type="dxa"/>
            <w:vAlign w:val="bottom"/>
          </w:tcPr>
          <w:p>
            <w:pPr>
              <w:spacing w:after="0"/>
              <w:rPr>
                <w:sz w:val="20"/>
                <w:szCs w:val="20"/>
                <w:color w:val="auto"/>
              </w:rPr>
            </w:pPr>
          </w:p>
        </w:tc>
        <w:tc>
          <w:tcPr>
            <w:tcW w:w="10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vMerge w:val="restart"/>
          </w:tcPr>
          <w:p>
            <w:pPr>
              <w:jc w:val="right"/>
              <w:ind w:right="150"/>
              <w:spacing w:after="0"/>
              <w:rPr>
                <w:sz w:val="20"/>
                <w:szCs w:val="20"/>
                <w:color w:val="auto"/>
              </w:rPr>
            </w:pPr>
            <w:r>
              <w:rPr>
                <w:rFonts w:ascii="Arial" w:cs="Arial" w:eastAsia="Arial" w:hAnsi="Arial"/>
                <w:sz w:val="18"/>
                <w:szCs w:val="18"/>
                <w:color w:val="auto"/>
              </w:rPr>
              <w:t>26</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14" w:right="29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2018 vs. Three Months Ended June 30, 2017</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tables, as well as the discussion that follows, should be read with the accompanying condensed consolidated financial statements and related notes. All comparisons, unless otherwise noted, are to the prior-year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55,620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56,774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83,898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82,714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31,558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30,226</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17,813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17,257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2,583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10%</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89,717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89,633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324"/>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65,257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63,593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36%</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21,450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23,830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393%</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21,376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23,815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267,104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264,042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Average pawn loan balance per store (b)</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273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loan redemption rate (c)</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100bps</w:t>
            </w:r>
          </w:p>
        </w:tc>
      </w:tr>
    </w:tbl>
    <w:p>
      <w:pPr>
        <w:spacing w:after="0" w:line="170" w:lineRule="exact"/>
        <w:rPr>
          <w:sz w:val="20"/>
          <w:szCs w:val="20"/>
          <w:color w:val="auto"/>
        </w:rPr>
      </w:pPr>
    </w:p>
    <w:p>
      <w:pPr>
        <w:ind w:left="380" w:hanging="34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Net revenue increased $0.1 million, primarily due to higher gross margins from our merchandise sales, offset by a decrease in pawn service charges. The change in net revenue attributable to same stores and new stores added/closed since the prior-year quarter is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Balances are comprised of two new stores and seven closed stores.</w:t>
      </w:r>
    </w:p>
    <w:p>
      <w:pPr>
        <w:spacing w:after="0" w:line="16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Pawn service charges decreased 2% due to a similar decrease in average PLO balances during the current quarter, with yield unchanged. The lower average PLO balance continues to reflect the negative effect on our pawn loan portfolio of Hurricanes Harvey and Irma in the fourth quarter of fiscal 2017.</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Merchandise sales increased 1% with gross margin on merchandise sales of 38%, a 100 basis point improvement over the prior-year quarter. As a result, merchandise sales gross profit increased 4% to $31.6 million. The increase in merchandise sales gross profit is due to enhanced discipline in pricing and discounting. We expect sales gross margin for the full fiscal year to be within our target range of 35-38% as we expect to accept a slightly lower margin in order to sell through a greater amount of inventory.</w:t>
      </w:r>
    </w:p>
    <w:p>
      <w:pPr>
        <w:spacing w:after="0" w:line="13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Jewelry scrapping sales gross profit remained relatively flat at 3% of current quarter net revenues, in-line with our strategy to sell rather than scrap merchandise, with a 100 basis point decrease in gross margin to 14%.</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Segment contribution decreased 10% due to a 3% increase in operations expenses, comprised primarily of labor, and a 36% increase in depreciation and amortization due to additional capital expenditures associated with our store refresh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our Latin America Pawn operations, which are denominated primarily in Mexican pesos and other Latin American currencies. As GPMX was not acquired until fiscal 2018, such results included on a constant currency basis reflect the actual exchange rates in effect during the three and nine months ended June 30, 2018 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Mexican peso to U.S. dollar exchange rate as of June 30, 2018</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and 2017 was 19.9 to 1 and 18.0 to 1, respectively. The approximate average Mexican peso to U.S. dollar exchange rate for the three months ended June 30, 2018 and 2017 was 19.4 to 1 and 18.6 to 1, respectively. The approximate average Mexican peso to U.S. dollar exchange rate for the nine months ended June 30, 2018 and 2017 was 19.0 to 1 and 19.5 to 1, respectively.</w:t>
      </w:r>
    </w:p>
    <w:p>
      <w:pPr>
        <w:spacing w:after="0" w:line="1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have experienced a prolonged weakening of the Mexican peso to the U.S. dollar and may continue to experience further weakening in future reporting periods, which may adversely impact our future operating results when stated on a GAAP basis.</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40"/>
          </w:cols>
          <w:pgMar w:left="240" w:top="121" w:right="8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Latin America Pawn segment, including constant currency results, after translation to U.S. dollars from its functional currencies of the Mexican peso, Guatemalan quetzal, Honduran lempira and Peruvian sol. See “Results of Operations — Non-GAAP Financial Information”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832"/>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2018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2017 (GAAP)</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3"/>
              </w:rPr>
              <w:t>2018 (Constant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Change (Constant</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Currency)</w:t>
            </w:r>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4"/>
          </w:tcPr>
          <w:p>
            <w:pPr>
              <w:jc w:val="right"/>
              <w:ind w:right="551"/>
              <w:spacing w:after="0"/>
              <w:rPr>
                <w:sz w:val="20"/>
                <w:szCs w:val="20"/>
                <w:color w:val="auto"/>
              </w:rPr>
            </w:pPr>
            <w:r>
              <w:rPr>
                <w:rFonts w:ascii="Arial" w:cs="Arial" w:eastAsia="Arial" w:hAnsi="Arial"/>
                <w:sz w:val="14"/>
                <w:szCs w:val="14"/>
                <w:i w:val="1"/>
                <w:iCs w:val="1"/>
                <w:color w:val="auto"/>
              </w:rPr>
              <w:t>(in USD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17,254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9,104</w:t>
            </w:r>
          </w:p>
        </w:tc>
        <w:tc>
          <w:tcPr>
            <w:tcW w:w="136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17,758</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20,839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15,207</w:t>
            </w:r>
          </w:p>
        </w:tc>
        <w:tc>
          <w:tcPr>
            <w:tcW w:w="136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21,642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5,080</w:t>
            </w:r>
          </w:p>
        </w:tc>
        <w:tc>
          <w:tcPr>
            <w:tcW w:w="136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4"/>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6,522</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384</w:t>
            </w:r>
          </w:p>
        </w:tc>
        <w:tc>
          <w:tcPr>
            <w:tcW w:w="1360" w:type="dxa"/>
            <w:vAlign w:val="bottom"/>
            <w:gridSpan w:val="3"/>
          </w:tcPr>
          <w:p>
            <w:pPr>
              <w:jc w:val="center"/>
              <w:ind w:left="51"/>
              <w:spacing w:after="0"/>
              <w:rPr>
                <w:sz w:val="20"/>
                <w:szCs w:val="20"/>
                <w:color w:val="auto"/>
              </w:rPr>
            </w:pPr>
            <w:r>
              <w:rPr>
                <w:rFonts w:ascii="Arial" w:cs="Arial" w:eastAsia="Arial" w:hAnsi="Arial"/>
                <w:sz w:val="18"/>
                <w:szCs w:val="18"/>
                <w:color w:val="auto"/>
                <w:w w:val="91"/>
              </w:rPr>
              <w:t>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2,684</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w:t>
            </w:r>
          </w:p>
        </w:tc>
        <w:tc>
          <w:tcPr>
            <w:tcW w:w="136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1"/>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326</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579%</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179</w:t>
            </w:r>
          </w:p>
        </w:tc>
        <w:tc>
          <w:tcPr>
            <w:tcW w:w="136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256</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14,411</w:t>
            </w:r>
          </w:p>
        </w:tc>
        <w:tc>
          <w:tcPr>
            <w:tcW w:w="136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4"/>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24,862</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73%</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8,898</w:t>
            </w:r>
          </w:p>
        </w:tc>
        <w:tc>
          <w:tcPr>
            <w:tcW w:w="136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15,584</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619</w:t>
            </w:r>
          </w:p>
        </w:tc>
        <w:tc>
          <w:tcPr>
            <w:tcW w:w="136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4"/>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989</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60%</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4,894</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8,289</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segment income (a)</w:t>
            </w:r>
          </w:p>
        </w:tc>
        <w:tc>
          <w:tcPr>
            <w:tcW w:w="1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36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(684)</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5,399</w:t>
            </w:r>
          </w:p>
        </w:tc>
        <w:tc>
          <w:tcPr>
            <w:tcW w:w="1360" w:type="dxa"/>
            <w:vAlign w:val="bottom"/>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4"/>
              </w:rPr>
              <w:t>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8,973</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(b)</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67,090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39,246</w:t>
            </w:r>
          </w:p>
        </w:tc>
        <w:tc>
          <w:tcPr>
            <w:tcW w:w="136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71,927</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360" w:type="dxa"/>
            <w:vAlign w:val="bottom"/>
            <w:tcBorders>
              <w:bottom w:val="single" w:sz="8" w:color="CCEEFF"/>
            </w:tcBorders>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2"/>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Average pawn loan balance per store (c)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78</w:t>
            </w:r>
          </w:p>
        </w:tc>
        <w:tc>
          <w:tcPr>
            <w:tcW w:w="136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93</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60" w:hanging="345"/>
        <w:spacing w:after="0" w:line="253"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three months ended June 30, 2018 constant currency balance excludes $0.1 million in net GAAP basis foreign currency transaction gains resulting from movement in exchange rates. The net foreign currency transaction gains for the three months ended June 30, 2017 were nominal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acquired 63 pawn stores located in Mexico and opened two de novo stores in the current quarter. We see opportunity for further expansion in Latin America through de novo openings and acquisitions, and plan to open several additional de novo stores in Latin America during the remainder of fiscal 2018.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revenue increased $9.7 million, or 67% ($10.5 million, or 73%, on a constant currency basis). The increase in net revenue attributable to same stores and new stores added/closed since the prior-year quarter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Balances are comprised of 210 new stores and three closed stores.</w:t>
      </w:r>
    </w:p>
    <w:p>
      <w:pPr>
        <w:spacing w:after="0" w:line="16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Pawn service charges increased 90% (95% on a constant currency basis) primarily due to the acquisition of stores discussed above. The average PLO balance per store during the current quarter increased 15% to approximately $90,000 (up 19% on a constant currency basis), including additions to store count from acquisitions discussed above and de novo stores, in addition to foreign currency impacts.</w:t>
      </w:r>
    </w:p>
    <w:p>
      <w:pPr>
        <w:spacing w:after="0" w:line="12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Merchandise sales increased 37% (42% on a constant currency basis), with gross margin on merchandise sales of 30%, below the prior-year quarter including the margin impact from the acquisition of stores discussed above. As a result of the combination of these effects and acquisition of stores discussed above, offset by foreign currency impacts, merchandise sales gross profit was up 24% to $6.3 million (28% to $6.5 million on a constant currency basis).</w:t>
      </w:r>
    </w:p>
    <w:p>
      <w:pPr>
        <w:spacing w:after="0" w:line="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Jewelry scrapping sales increased 581% (599% on a constant currency basis) with a 100 basis point decline in margin, primarily due to the acquisition of stores discussed above.</w:t>
      </w:r>
    </w:p>
    <w:p>
      <w:pPr>
        <w:spacing w:after="0" w:line="1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Segment operating expenses increased primarily as a result of the acquisition of stores discussed above. After a $0.2 million improvement in other segment income, primarily interest income from our notes receivable, segment contribution increased 63% (66% on a constant currency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functional currency of primarily Australian and Canadian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gridSpan w:val="3"/>
          </w:tcPr>
          <w:p>
            <w:pPr>
              <w:jc w:val="right"/>
              <w:ind w:right="516"/>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interest and other</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1,964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1,511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1,799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52%</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(1,151)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(1,047)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 contribution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80" w:type="dxa"/>
            <w:vAlign w:val="bottom"/>
          </w:tcPr>
          <w:p>
            <w:pPr>
              <w:ind w:left="500"/>
              <w:spacing w:after="0"/>
              <w:rPr>
                <w:sz w:val="20"/>
                <w:szCs w:val="20"/>
                <w:color w:val="auto"/>
              </w:rPr>
            </w:pPr>
            <w:r>
              <w:rPr>
                <w:rFonts w:ascii="Arial" w:cs="Arial" w:eastAsia="Arial" w:hAnsi="Arial"/>
                <w:sz w:val="18"/>
                <w:szCs w:val="18"/>
                <w:color w:val="auto"/>
              </w:rPr>
              <w:t>Segment (loss) contribution</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Segment loss was $0.3 million, primarily due to a $0.9 million increase in operating expenses from further investment in the development of a digital IT platform to drive future revenue enhancement. We now offer installment loans in all of our Canada stores due to regulatory changes impacting the economic returns of our payday lending model, which took effect January 1, 2018.</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June 30, 2018, the carrying value of our investment in unconsolidated affiliate was $11.9 million above its fair value, which we believe is temporary. We have taken impairment charges on our investment in unconsolidated affiliate in prior periods and continue to monitor the fair value of our investment for other-than-temporary impairments. We may record a further impairment charge should the fair value of our investment fall below its carrying value for an extended period of time.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30,041</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14,095</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2,970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7,391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5,652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134%</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3,432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159%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174%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519%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14,633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5,260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178%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Administrative expenses were down 6% in the current quarter, including a reduction in variable compensation, as we continue to focus on controlling administrative expenditures despite the growth of the business.</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Depreciation and amortization expense decreased $0.7 million, or 29%, primarily due to acceleration of depreciation in the prior year for certain assets resulting from a decrease in useful life estimates.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Interest expense increased $1.7 million, or 31%, primarily due to our 2025 Convertible Notes issued in May 2018, including accruals of interest and amortization of associated discounts and deferred financings costs.</w:t>
      </w:r>
    </w:p>
    <w:p>
      <w:pPr>
        <w:spacing w:after="0" w:line="11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Interest income increased $1.7 million, or 134%, as a result of our notes receivable from the sale of Prestaciones Finmart, S.A.P.I. de C.V., SOFOM, E.N.R. ("Grupo Finmart") which were restructured in September 2017, including ordinary accruals of interest in addition to accretion of associated deferred compensation amounts. Grupo Finmart has continued to make timely monthly principal and interest payments on the notes following the restructuring.</w:t>
      </w:r>
    </w:p>
    <w:p>
      <w:pPr>
        <w:spacing w:after="0" w:line="9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Other income was comprised primarily of $5.2 million in net recoveries pertaining to a legal settlement as further described "Shareholder derivative litigation" in Note 8 of Notes to Interim Condensed Consolidated Financial Statements included in "Part I, Item 1 — Financial Statements."</w:t>
      </w:r>
    </w:p>
    <w:p>
      <w:pPr>
        <w:spacing w:after="0" w:line="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Income tax expense decreased $1.9 million, or 55%, due primarily to lower tax rates dictated by the Act and a $3.3 million benefit associated with the expiration of a statute of limitations on uncertain tax positions. This was partially offset by an increase in tax expense associated with the impacts of a $6.8 million, or 77%, increase in income from continuing operations before income taxes. 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June 30, 2018 vs. Nine Months Ended June 30, 2017</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tables, as well as the discussion that follows, should be read with the accompanying condensed consolidated financial statements and related notes. All comparisons, unless otherwise noted, are to the prior-year nine-months.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385"/>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174,439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177,480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270,145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273,125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103,180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99,890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34,515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35,158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5,832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5,044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16%</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157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31%</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283,656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282,571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324"/>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196,748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194,499</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7,487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25%</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77,568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80,585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77,374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80,653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Average pawn loan balance per store (b)</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274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loan redemption rate (c)</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100bps</w:t>
            </w:r>
          </w:p>
        </w:tc>
      </w:tr>
    </w:tbl>
    <w:p>
      <w:pPr>
        <w:spacing w:after="0" w:line="170" w:lineRule="exact"/>
        <w:rPr>
          <w:sz w:val="20"/>
          <w:szCs w:val="20"/>
          <w:color w:val="auto"/>
        </w:rPr>
      </w:pPr>
    </w:p>
    <w:p>
      <w:pPr>
        <w:ind w:left="380" w:hanging="345"/>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42" w:lineRule="exact"/>
        <w:rPr>
          <w:sz w:val="20"/>
          <w:szCs w:val="20"/>
          <w:color w:val="auto"/>
        </w:rPr>
      </w:pPr>
    </w:p>
    <w:p>
      <w:pPr>
        <w:ind w:left="380" w:hanging="345"/>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Net revenue increased $1.1 million, primarily due to higher gross margins from our merchandise sales offset by the impacts of the hurricanes affecting the Texas Gulf Coast and Florida in the fourth quarter of fiscal 2017, as previously disclosed. The change in net revenue attributable to same stores and new stores added/closed since the prior-year nine-months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Balances are comprised of two new stores and seven closed stores.</w:t>
      </w:r>
    </w:p>
    <w:p>
      <w:pPr>
        <w:spacing w:after="0" w:line="16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Pawn service charges decreased 2% due to a similar decrease in average PLO balances during the current nine-months, with yield unchanged. The lower average PLO balance was primarily a result of the longer recovery to rebuild the loan portfolio for locations impacted by the hurricanes.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Merchandise sales decreased 1% with gross margin on merchandise sales of 38%, a 100 basis point improvement over the prior-year nine-months. As a net result, merchandise sales gross profit increased 3% to $103.2 million. The increase in merchandise sales gross profit is due to enhanced discipline in pricing and discounting. We expect sales gross margin for the full fiscal year to be within our target range of 35-38% as we expect to accept a slightly lower margin in order to sell through a greater amount of inventory.</w:t>
      </w:r>
    </w:p>
    <w:p>
      <w:pPr>
        <w:spacing w:after="0" w:line="13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Jewelry scrapping sales gross profit remained relatively flat at 2% of current nine-month net revenues, in-line with our strategy to sell rather than scrap merchandise, with a 300 basis point increase in gross margin to 17% due primarily to improvements in lending practices and gold prices.</w:t>
      </w:r>
    </w:p>
    <w:p>
      <w:pPr>
        <w:spacing w:after="0" w:line="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Segment contribution decreased 4% primarily due to a 1% increase in operations expenses, comprised primarily of labor, and a 25% increase in depreciation and amortization, including additional capital expenditures associated with our store refresh initiatives and a one-time charge of $0.5 million for the retirement of certain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Latin America Pawn segment, including constant currency results, after translation to U.S. dollars from its functional currencies of the Mexican peso, Guatemalan quetzal, Honduran lempira and Peruvian sol. See “Results of Operations — Non-GAAP Financial Information”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852"/>
              <w:spacing w:after="0"/>
              <w:rPr>
                <w:sz w:val="20"/>
                <w:szCs w:val="20"/>
                <w:color w:val="auto"/>
              </w:rPr>
            </w:pPr>
            <w:r>
              <w:rPr>
                <w:rFonts w:ascii="Arial" w:cs="Arial" w:eastAsia="Arial" w:hAnsi="Arial"/>
                <w:sz w:val="14"/>
                <w:szCs w:val="14"/>
                <w:b w:val="1"/>
                <w:bCs w:val="1"/>
                <w:color w:val="auto"/>
                <w:w w:val="94"/>
              </w:rPr>
              <w:t>Nine Months Ended June 30,</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2018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2017 (GAAP)</w:t>
            </w: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52"/>
              <w:spacing w:after="0" w:line="153" w:lineRule="exact"/>
              <w:rPr>
                <w:sz w:val="20"/>
                <w:szCs w:val="20"/>
                <w:color w:val="auto"/>
              </w:rPr>
            </w:pPr>
            <w:r>
              <w:rPr>
                <w:rFonts w:ascii="Arial" w:cs="Arial" w:eastAsia="Arial" w:hAnsi="Arial"/>
                <w:sz w:val="14"/>
                <w:szCs w:val="14"/>
                <w:b w:val="1"/>
                <w:bCs w:val="1"/>
                <w:color w:val="auto"/>
                <w:w w:val="93"/>
              </w:rPr>
              <w:t>2018 (Constant</w:t>
            </w:r>
          </w:p>
        </w:tc>
        <w:tc>
          <w:tcPr>
            <w:tcW w:w="10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USD thousands)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49,162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24,503</w:t>
            </w:r>
          </w:p>
        </w:tc>
        <w:tc>
          <w:tcPr>
            <w:tcW w:w="1340" w:type="dxa"/>
            <w:vAlign w:val="bottom"/>
            <w:gridSpan w:val="2"/>
          </w:tcPr>
          <w:p>
            <w:pPr>
              <w:jc w:val="center"/>
              <w:ind w:left="31"/>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48,538</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98%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63,125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46,547</w:t>
            </w:r>
          </w:p>
        </w:tc>
        <w:tc>
          <w:tcPr>
            <w:tcW w:w="134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61,689</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14,942</w:t>
            </w:r>
          </w:p>
        </w:tc>
        <w:tc>
          <w:tcPr>
            <w:tcW w:w="13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4"/>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19,310</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(100)bps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2,500</w:t>
            </w:r>
          </w:p>
        </w:tc>
        <w:tc>
          <w:tcPr>
            <w:tcW w:w="1340" w:type="dxa"/>
            <w:vAlign w:val="bottom"/>
            <w:gridSpan w:val="2"/>
          </w:tcPr>
          <w:p>
            <w:pPr>
              <w:jc w:val="center"/>
              <w:ind w:left="31"/>
              <w:spacing w:after="0"/>
              <w:rPr>
                <w:sz w:val="20"/>
                <w:szCs w:val="20"/>
                <w:color w:val="auto"/>
              </w:rPr>
            </w:pPr>
            <w:r>
              <w:rPr>
                <w:rFonts w:ascii="Arial" w:cs="Arial" w:eastAsia="Arial" w:hAnsi="Arial"/>
                <w:sz w:val="18"/>
                <w:szCs w:val="18"/>
                <w:color w:val="auto"/>
                <w:w w:val="91"/>
              </w:rPr>
              <w:t>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9,531</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419</w:t>
            </w:r>
          </w:p>
        </w:tc>
        <w:tc>
          <w:tcPr>
            <w:tcW w:w="13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4"/>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778</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86%</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(900)bps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(900)bps</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457</w:t>
            </w:r>
          </w:p>
        </w:tc>
        <w:tc>
          <w:tcPr>
            <w:tcW w:w="134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578</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40,321</w:t>
            </w:r>
          </w:p>
        </w:tc>
        <w:tc>
          <w:tcPr>
            <w:tcW w:w="13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4"/>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69,204</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72%</w:t>
            </w: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44,778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26,439</w:t>
            </w:r>
          </w:p>
        </w:tc>
        <w:tc>
          <w:tcPr>
            <w:tcW w:w="134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43,981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1,910</w:t>
            </w:r>
          </w:p>
        </w:tc>
        <w:tc>
          <w:tcPr>
            <w:tcW w:w="13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4"/>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2,656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39%</w:t>
            </w:r>
          </w:p>
        </w:tc>
        <w:tc>
          <w:tcPr>
            <w:tcW w:w="0" w:type="dxa"/>
            <w:vAlign w:val="bottom"/>
          </w:tcPr>
          <w:p>
            <w:pPr>
              <w:spacing w:after="0"/>
              <w:rPr>
                <w:sz w:val="1"/>
                <w:szCs w:val="1"/>
                <w:color w:val="auto"/>
              </w:rPr>
            </w:pPr>
          </w:p>
        </w:tc>
      </w:tr>
      <w:tr>
        <w:trPr>
          <w:trHeight w:val="237"/>
        </w:trPr>
        <w:tc>
          <w:tcPr>
            <w:tcW w:w="454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22,865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11,972</w:t>
            </w:r>
          </w:p>
        </w:tc>
        <w:tc>
          <w:tcPr>
            <w:tcW w:w="134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22,567</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segment income (a)</w:t>
            </w:r>
          </w:p>
        </w:tc>
        <w:tc>
          <w:tcPr>
            <w:tcW w:w="1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(878)</w:t>
            </w:r>
          </w:p>
        </w:tc>
        <w:tc>
          <w:tcPr>
            <w:tcW w:w="1340" w:type="dxa"/>
            <w:vAlign w:val="bottom"/>
            <w:gridSpan w:val="2"/>
          </w:tcPr>
          <w:p>
            <w:pPr>
              <w:jc w:val="center"/>
              <w:ind w:left="31"/>
              <w:spacing w:after="0"/>
              <w:rPr>
                <w:sz w:val="20"/>
                <w:szCs w:val="20"/>
                <w:color w:val="auto"/>
              </w:rPr>
            </w:pPr>
            <w:r>
              <w:rPr>
                <w:rFonts w:ascii="Arial" w:cs="Arial" w:eastAsia="Arial" w:hAnsi="Arial"/>
                <w:sz w:val="18"/>
                <w:szCs w:val="18"/>
                <w:color w:val="auto"/>
                <w:w w:val="91"/>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(1,832)</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24,889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12,850</w:t>
            </w:r>
          </w:p>
        </w:tc>
        <w:tc>
          <w:tcPr>
            <w:tcW w:w="13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4"/>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24,399</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90%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Average pawn loan balance per store (c)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134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89</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100bps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60" w:hanging="345"/>
        <w:spacing w:after="0" w:line="253"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nine months ended June 30, 2018 constant currency balance excludes $0.1 million in net GAAP basis foreign currency transaction gains resulting from movement in exchange rates. The net foreign currency transaction gains for the nine months ended June 30, 2017 were $0.1 million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Latin America business continues to grow rapidly. In the current nine-months, we acquired 112 pawn stores located in Guatemala, El Salvador, Honduras and Peru, we acquired 84 pawn stores located in Mexico and we opened ten de novo stores.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revenue increased $30.0 million, or 74% ($28.9 million, or 72%, on a constant currency basis). The increase in net revenue attributable to same stores and new stores added/closed since the prior-year nine-months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Balances are comprised of 210 new stores and three closed stores.</w:t>
      </w:r>
    </w:p>
    <w:p>
      <w:pPr>
        <w:spacing w:after="0" w:line="16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Pawn service charges increased 101% (98% on a constant currency basis) primarily due to the acquisition of stores discussed above and same store growth. The average PLO balance during the current nine-months increased 27% (25% on a constant currency basis), including additions to store count from acquisitions discussed above and de novo stores, offset by foreign currency impacts.</w:t>
      </w:r>
    </w:p>
    <w:p>
      <w:pPr>
        <w:spacing w:after="0" w:line="12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Merchandise sales increased 36% (33% on a constant currency basis), with gross margin on merchandise sales of 31%, 100 basis points below the prior-year nine-months including the margin impact from the acquisition of stores discussed above. As a result of the combination of these effects, offset by foreign currency impacts, merchandise sales gross profit was up 33% to $19.8 million (up 29% to $19.3 million on a constant currency basis).</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Jewelry scrapping sales increased 286% (281% on a constant currency basis) with a 900 basis point decline in margin, primarily due to the acquisition of stores discussed above.</w:t>
      </w:r>
    </w:p>
    <w:p>
      <w:pPr>
        <w:spacing w:after="0" w:line="11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leveraged a 74% increase in net revenue (72% on a constant currency basis) into a 91% increase in segment operating contribution (88% on a constant currency basis) due to focused expense management in addition to greater operational leverage from the acquisition of stores discussed above, resulting in only a 69% increase (66% increase on a constant currency basis) in operations expenses. After a $1.1 million improvement in other segment income, primarily interest income from our notes receivable, segment contribution increased 94% (90% on a constant currency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functional currency of primarily Australian and Canadian dollars: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Nine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4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476"/>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Consumer loan fees, interest and other</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5,958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Consumer loan bad debt</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(1,273)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(1,433)</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37"/>
        </w:trPr>
        <w:tc>
          <w:tcPr>
            <w:tcW w:w="694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4,525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Segment operating expenses (income):</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Equity in net income of unconsolidated affiliate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(3,477)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(3,768)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operating contribution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(95)%</w:t>
            </w:r>
          </w:p>
        </w:tc>
        <w:tc>
          <w:tcPr>
            <w:tcW w:w="0" w:type="dxa"/>
            <w:vAlign w:val="bottom"/>
          </w:tcPr>
          <w:p>
            <w:pPr>
              <w:spacing w:after="0"/>
              <w:rPr>
                <w:sz w:val="1"/>
                <w:szCs w:val="1"/>
                <w:color w:val="auto"/>
              </w:rPr>
            </w:pPr>
          </w:p>
        </w:tc>
      </w:tr>
      <w:tr>
        <w:trPr>
          <w:trHeight w:val="324"/>
        </w:trPr>
        <w:tc>
          <w:tcPr>
            <w:tcW w:w="6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segment income</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321%</w:t>
            </w:r>
          </w:p>
        </w:tc>
        <w:tc>
          <w:tcPr>
            <w:tcW w:w="0" w:type="dxa"/>
            <w:vAlign w:val="bottom"/>
          </w:tcPr>
          <w:p>
            <w:pPr>
              <w:spacing w:after="0"/>
              <w:rPr>
                <w:sz w:val="1"/>
                <w:szCs w:val="1"/>
                <w:color w:val="auto"/>
              </w:rPr>
            </w:pPr>
          </w:p>
        </w:tc>
      </w:tr>
      <w:tr>
        <w:trPr>
          <w:trHeight w:val="257"/>
        </w:trPr>
        <w:tc>
          <w:tcPr>
            <w:tcW w:w="6940" w:type="dxa"/>
            <w:vAlign w:val="bottom"/>
          </w:tcPr>
          <w:p>
            <w:pPr>
              <w:ind w:left="480"/>
              <w:spacing w:after="0"/>
              <w:rPr>
                <w:sz w:val="20"/>
                <w:szCs w:val="20"/>
                <w:color w:val="auto"/>
              </w:rPr>
            </w:pPr>
            <w:r>
              <w:rPr>
                <w:rFonts w:ascii="Arial" w:cs="Arial" w:eastAsia="Arial" w:hAnsi="Arial"/>
                <w:sz w:val="18"/>
                <w:szCs w:val="18"/>
                <w:color w:val="auto"/>
              </w:rPr>
              <w:t>Segment contribution</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2,763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Segment contribution was $0.3 million, a decrease of 91% from the prior-year nine-months, primarily due to a $1.9 million increase in operating expenses from further investment in the development of a digital IT to drive future revenue enhancement. We now offer installment loans in all of our Canada stores due to regulatory changes impacting the economic returns of our payday lending model, which took effect January 1, 2018.</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June 30, 2018, the carrying value of our investment in unconsolidated affiliate was $11.9 million above its fair value, which we believe is temporary. We have taken impairment charges on our investment in unconsolidated affiliate in prior periods and continue to monitor the fair value of our investment for other-than-temporary impairments. We may record a further impairment charge should the fair value of our investment fall below its carrying value for an extended period of time.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96,266</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41,305</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8,705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19,064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16,840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2,708%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35,627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14,911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13,663</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21,964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(66)%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20,096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39,194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20,448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Administrative expenses decreased $1.4 million, or 3%, including the impact of $0.5 million of acquisition-related expenses in the current nine-months and a reduction in variable compensation, as we continue to focus on controlling administrative expenditures despite the growth of the business.</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and amortization expense decreased $2.6 million, or 30%, primarily due to acceleration of depreciation in the prior-year nine-months for certain assets resulting from a decrease in useful life estimates.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Interest expense increased $2.2 million, or 13%, primarily due to our 2025 Convertible Notes issued in May 2018, including accruals of interest and amortization of associated discounts and deferred financings costs.</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income increased $4.8 million, or 80%, as a result of our note receivable from the sale of Grupo Finmart which was restructured in September 2017, including ordinary accruals of interest in addition to accretion of associated deferred compensation amounts. Grupo Finmart has continued to make timely monthly principal and interest payments on the notes following the restructuring.</w:t>
      </w:r>
    </w:p>
    <w:p>
      <w:pPr>
        <w:spacing w:after="0" w:line="12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Other income was comprised primarily of $5.2 million in net recoveries pertaining to a legal settlement as further described in "Shareholder derivative litigation" in Note 8 of Notes to Interim Condensed Consolidated Financial Statements included in "Part I, Item 1 — Financial Statements."</w:t>
      </w:r>
    </w:p>
    <w:p>
      <w:pPr>
        <w:spacing w:after="0" w:line="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Income tax expense increased $1.2 million, or 9%, due primarily to the impacts of a $17.8 million, or 50%, increase in income from continuing operations before income taxes, offset by the lower rates dictated by the Act and a $4.9 million benefit associated with the expiration of a statute of limitations on uncertain tax positions. 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10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December 22, 2017, the Tax Cuts and Jobs Act of 2017 (the "Act") was signed into law. Among other things, the Act reduces the U.S. federal corporate tax rate from 35% to 21%, requires companies to pay a one-time transition tax on earnings of certain foreign subsidiaries that were previously tax deferred and creates new taxes on certain foreign sourced earnings. The corporate tax rate reduction was effective as of January 1, 2018 and, accordingly, reduced our current fiscal year federal statutory rate to a blended rate of 24.5%, and will further reduce it to 21% beginning in fiscal 2019. As of June 30, 2018, while we are able to make reasonable estimates of the impact of the reduction in the corporate rate and the deemed repatriation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transition tax, the final impact of the Act may differ from these estimates, due to, among other things, changes in our interpretations and assumptions, additional guidance that may be issued by the Internal Revenue Service, and actions we may take. We are continuing to gather additional information to determine the final impact of the Act. We recognized $2.8 million for the revaluation of our deferred tax assets and liabilities upon enactment of the Act, which is included as a component of "Income tax expense" in our condensed consolidated statements of operations in the current nine-months. We anticipate recording another charge of approximately $2.0 million in the fiscal quarter ending September 30, 2018 as we have balances related to our short-term deferred tax assets and liabilities that arose during the current fiscal year when the tax rate was 24.5% that will reverse in subsequent periods when the rate will be 21%. We believe we have adequate foreign tax credit carryforwards to fully offset any transition tax on the total post-1986 foreign earnings and profit of our foreign subsidiaries as required under the Act.</w:t>
      </w:r>
    </w:p>
    <w:p>
      <w:pPr>
        <w:spacing w:after="0" w:line="1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Loss from discontinued operations was primarily comprised of the write-off of balances from a discontinued business which we previously anticipated to collect.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69,050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35,521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(117,108)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12,425</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170,157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120,638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47,992</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151%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an increase or decrease that is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the Nine Months Ended June 30, 2018 vs. Nine Months Ended June 30, 2017</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cash flows from operating activities year-over-year was due to an $8.6 million increase in the changes in operating assets and liabilities and a $24.9 million increase in net income exclusive of non-cash items due to improved operational results, stores acquired in the current nine-months and $5.2 million in net recoveries pertaining to a legal settlement. The increase from changes in operating assets and liabilities was primarily driven by $10.1 million in additional accrued incentive compensation paid out during the three months ended December 31, 2016 as compared to the three months ended December 31, 2017.</w:t>
      </w:r>
    </w:p>
    <w:p>
      <w:pPr>
        <w:spacing w:after="0" w:line="134" w:lineRule="exact"/>
        <w:rPr>
          <w:sz w:val="20"/>
          <w:szCs w:val="20"/>
          <w:color w:val="auto"/>
        </w:rPr>
      </w:pPr>
    </w:p>
    <w:p>
      <w:pPr>
        <w:jc w:val="both"/>
        <w:ind w:right="400"/>
        <w:spacing w:after="0" w:line="257" w:lineRule="auto"/>
        <w:rPr>
          <w:sz w:val="20"/>
          <w:szCs w:val="20"/>
          <w:color w:val="auto"/>
        </w:rPr>
      </w:pPr>
      <w:r>
        <w:rPr>
          <w:rFonts w:ascii="Arial" w:cs="Arial" w:eastAsia="Arial" w:hAnsi="Arial"/>
          <w:sz w:val="18"/>
          <w:szCs w:val="18"/>
          <w:color w:val="auto"/>
        </w:rPr>
        <w:t>The decrease in cash flows from investing activities year-over-year was due to $93.2 million in cash paid for acquisitions, $14.0 million in cash paid to maintain ownership and including a 3% increase in our investment in unconsolidated affiliate, a $19.0 million increase in net additions to property and equipment and capitalized labor as we continue our store refresh program and a $7.1 million decrease in principal collections on notes receivable due to contractual amortization schedules, offset by a $3.8 million net increase in proceeds related to loan activities (net loans repaid and recovery of pawn loan principal through sale of forfeited collateral).</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increase in cash flows from financing activities year-over-year was primarily due to $170.5 million in proceeds from borrowings, principally $172.5 million aggregate principal amount of 2.375% Convertible Senior Notes Due 2025 issued in May 2018, net of fees.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net effect of these and other smaller items was a $120.6 million increase in cash on hand during the current nine-months, resulting in a $285.0</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million ending cash balance compared to $113.7 million as of June 30, 2017. Of the ending cash balance as of June 30, 2018, $12.7 million was not available to fund domestic operations as we intend to permanently reinvest those earnings in our foreign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anticipate that cash flow from operations and cash on hand will be adequate to fund our contractual obligations, planned de novo store growth, capital expenditures and working capital requirements through fiscal 2019, exclusive of any future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acquisition activity. Our ability to repay our longer-term debt obligations may require us to refinance those obligations through the issuance of new debt securities, equity securities, convertible securities or through new credit facilities.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 description of acquisitions consummated during the current nine-months, see Note 2 of Notes to Interim Condensed Consolidated Financial Statements included in "Part I, Item 1 —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252525"/>
        </w:rPr>
        <w:t>2.375% Convertible Senior Notes Due 2025, 2.875% Convertible Senior Notes Due 2024 and 2.125% Cash Convertible Senior Notes Due 2019</w:t>
      </w:r>
    </w:p>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For a description of the terms of the 2.375% Convertible Senior Notes Due 2025, </w:t>
      </w:r>
      <w:r>
        <w:rPr>
          <w:rFonts w:ascii="Arial" w:cs="Arial" w:eastAsia="Arial" w:hAnsi="Arial"/>
          <w:sz w:val="18"/>
          <w:szCs w:val="18"/>
          <w:color w:val="252525"/>
        </w:rPr>
        <w:t>2.875% Co</w:t>
      </w:r>
      <w:r>
        <w:rPr>
          <w:rFonts w:ascii="Arial" w:cs="Arial" w:eastAsia="Arial" w:hAnsi="Arial"/>
          <w:sz w:val="18"/>
          <w:szCs w:val="18"/>
          <w:color w:val="auto"/>
        </w:rPr>
        <w:t>nvertible Senior Notes Due 2024 and 2.125% Cash Convertible Senior Notes Due 2019, see Note 6 of Notes to Interim Condensed Consolidated Financial Statements included in "Part I, Item 1 — Financial Statements" and Note 8 to Consolidated Financial Statements included in "Part II, Item 8 — Financial Statements and Supplementary Data" of our Annual Report on Form 10-K for the year ended September 30,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of our Annual Report on Form 10-K for the year ended September 30, 2017, we reported that we had $631.0 million in total contractual obligations as of September 30, 2017. There have been no material changes to this total obligation since September 30, 2017 other than those described above.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2017, these collectively amounted to $21.4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do not expect any material impacts of adopting Financial Accounting Standards Board ("FASB") Accounting Standards Updates ("ASU") included in Note 1 of Notes to Interim Condensed Consolidated Financial Statements included in "Part I, Item 1 — Financial Statements" on our results of operations, however expect ASU 2016-02 regarding lease accounting to have a material impact on our consolidation financial position upon adoption. Please refer to Note 1, Summary of Significant Accounting Policies, of Notes to Consolidated Financial Statements included in "Part II, Item 8 — Financial Statements and Supplementary Data" of our Annual Report on Form 10-K for the year ended September 30, 2017 for discussion of our critical accounting policies and estimates including discussions of variability where applicable. Additional information around our timeline of adoption including the currently known impacts of FASB ASU 2016-13, 2016-02 and 2014-09 is included in Note 1 of Notes to Interim Condensed Consolidated Financial Statements included in "Part I, Item 1 —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2017, supplemented by those described in "Part II, Item 1A — Risk Factors" of this Quarterly Report.</w:t>
      </w:r>
    </w:p>
    <w:p>
      <w:pPr>
        <w:spacing w:after="0" w:line="1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2017. There have been no material changes to our exposure to market risks since September 30,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June 30, 2018. Based on that evaluation, our Chief Executive Officer and Chief Financial Officer concluded that our disclosure controls and procedures were effective as of June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8 of Notes to Interim Condensed Consolidated Financial Statements included in "Part I, Item 1 — Financial Statements."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2" w:right="29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2017.</w:t>
      </w:r>
    </w:p>
    <w:p>
      <w:pPr>
        <w:spacing w:after="0" w:line="11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limit our ability to conduct future financings and other transactions.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certificate of incorporation currently authorizes us to issue up to 100 million shares of Class A Non-voting Common Stock (“Class A Common Stock”). Taking into consideration the shares that are issued and outstanding, as well as the shares that have been reserved for issuance pursuant to convertible notes, warrants and outstanding equity incentive compensation awards and the conversion of the Class B Voting Common Stock, we had approximately 700,000 shares of authorized Class A Common Stock that are available for other uses as of July 24, 2018. Therefore, our ability to issue shares of Class A Common Stock (other than pursuant to the existing reserved-for commitments), or securities or instruments that are convertible into or exchangeable for shares of Class A Common Stock, will be limited until such time as additional authorized, unissued and unreserved shares become available. During this time, for example, our ability to complete equity or equity-linked financings or other transactions (including strategic acquisitions) that involve the issuance or potential issuance of Class A Common Stock will be limited.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40" w:type="dxa"/>
            <w:vAlign w:val="bottom"/>
          </w:tcPr>
          <w:p>
            <w:pPr>
              <w:spacing w:after="0"/>
              <w:rPr>
                <w:sz w:val="16"/>
                <w:szCs w:val="16"/>
                <w:color w:val="auto"/>
              </w:rPr>
            </w:pPr>
          </w:p>
        </w:tc>
        <w:tc>
          <w:tcPr>
            <w:tcW w:w="10000" w:type="dxa"/>
            <w:vAlign w:val="bottom"/>
            <w:gridSpan w:val="10"/>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21"/>
        </w:trPr>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r>
      <w:tr>
        <w:trPr>
          <w:trHeight w:val="203"/>
        </w:trPr>
        <w:tc>
          <w:tcPr>
            <w:tcW w:w="780" w:type="dxa"/>
            <w:vAlign w:val="bottom"/>
            <w:gridSpan w:val="6"/>
            <w:shd w:val="clear" w:color="auto" w:fill="CCEEFF"/>
          </w:tcPr>
          <w:p>
            <w:pPr>
              <w:jc w:val="center"/>
              <w:ind w:left="392"/>
              <w:spacing w:after="0" w:line="202" w:lineRule="exact"/>
              <w:rPr>
                <w:rFonts w:ascii="Arial" w:cs="Arial" w:eastAsia="Arial" w:hAnsi="Arial"/>
                <w:sz w:val="18"/>
                <w:szCs w:val="18"/>
                <w:color w:val="0000FF"/>
                <w:w w:val="87"/>
              </w:rPr>
            </w:pPr>
            <w:hyperlink r:id="rId2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spacing w:after="0" w:line="202" w:lineRule="exact"/>
              <w:rPr>
                <w:rFonts w:ascii="Arial" w:cs="Arial" w:eastAsia="Arial" w:hAnsi="Arial"/>
                <w:sz w:val="18"/>
                <w:szCs w:val="18"/>
                <w:color w:val="0000FF"/>
                <w:w w:val="97"/>
              </w:rPr>
            </w:pPr>
            <w:hyperlink r:id="rId28">
              <w:r>
                <w:rPr>
                  <w:rFonts w:ascii="Arial" w:cs="Arial" w:eastAsia="Arial" w:hAnsi="Arial"/>
                  <w:sz w:val="18"/>
                  <w:szCs w:val="18"/>
                  <w:color w:val="0000FF"/>
                  <w:w w:val="97"/>
                </w:rPr>
                <w:t>Indenture, dated May 14, 2018, between EZCORP, Inc., and Wells Fargo Bank, National Association, as trustee (incorporated by</w:t>
              </w:r>
            </w:hyperlink>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8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reference to Exhibit 4.1 to the Company's Current Report on Form 8-K dated May 15, 2018, Commission File No. 0-19424)</w:t>
              </w:r>
            </w:hyperlink>
          </w:p>
        </w:tc>
        <w:tc>
          <w:tcPr>
            <w:tcW w:w="72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7"/>
          </w:tcPr>
          <w:p>
            <w:pPr>
              <w:jc w:val="center"/>
              <w:ind w:left="332"/>
              <w:spacing w:after="0" w:line="202" w:lineRule="exact"/>
              <w:rPr>
                <w:rFonts w:ascii="Arial" w:cs="Arial" w:eastAsia="Arial" w:hAnsi="Arial"/>
                <w:sz w:val="18"/>
                <w:szCs w:val="18"/>
                <w:color w:val="0000FF"/>
                <w:w w:val="85"/>
              </w:rPr>
            </w:pPr>
            <w:hyperlink r:id="rId2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202"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Purchase Agreement, dated May 9, 2018, between EZCORP, Inc., and Morgan Stanley &amp; Co. LLC (incorporated by reference to Exhibit</w:t>
              </w:r>
            </w:hyperlink>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dated May 15, 2018, Commission File No. 0-19424)</w:t>
              </w:r>
            </w:hyperlink>
          </w:p>
        </w:tc>
        <w:tc>
          <w:tcPr>
            <w:tcW w:w="180" w:type="dxa"/>
            <w:vAlign w:val="bottom"/>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FF"/>
            </w:tcBorders>
            <w:gridSpan w:val="5"/>
            <w:shd w:val="clear" w:color="auto" w:fill="CCEEFF"/>
          </w:tcPr>
          <w:p>
            <w:pPr>
              <w:jc w:val="center"/>
              <w:spacing w:after="0" w:line="202"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w:t>
              </w:r>
            </w:hyperlink>
          </w:p>
        </w:tc>
        <w:tc>
          <w:tcPr>
            <w:tcW w:w="540" w:type="dxa"/>
            <w:vAlign w:val="bottom"/>
            <w:tcBorders>
              <w:bottom w:val="single" w:sz="8" w:color="CCEEFF"/>
            </w:tcBorders>
            <w:gridSpan w:val="3"/>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Stuart I. Grimshaw, Chief Executive Officer, pursuant to Rule 13a-14(a) under the Securities Exchange Act of 1934, as</w:t>
              </w:r>
            </w:hyperlink>
          </w:p>
        </w:tc>
        <w:tc>
          <w:tcPr>
            <w:tcW w:w="28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adopted pursuant to Section 302 of the Sarbanes-Oxley Act of 2002</w:t>
              </w:r>
            </w:hyperlink>
          </w:p>
        </w:tc>
        <w:tc>
          <w:tcPr>
            <w:tcW w:w="512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5"/>
          </w:tcPr>
          <w:p>
            <w:pPr>
              <w:jc w:val="center"/>
              <w:spacing w:after="0" w:line="202"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hyperlink>
          </w:p>
        </w:tc>
        <w:tc>
          <w:tcPr>
            <w:tcW w:w="5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10"/>
          </w:tcPr>
          <w:p>
            <w:pPr>
              <w:spacing w:after="0" w:line="202" w:lineRule="exact"/>
              <w:rPr>
                <w:rFonts w:ascii="Arial" w:cs="Arial" w:eastAsia="Arial" w:hAnsi="Arial"/>
                <w:sz w:val="18"/>
                <w:szCs w:val="18"/>
                <w:color w:val="0000FF"/>
                <w:w w:val="96"/>
              </w:rPr>
            </w:pPr>
            <w:hyperlink w:anchor="page48">
              <w:r>
                <w:rPr>
                  <w:rFonts w:ascii="Arial" w:cs="Arial" w:eastAsia="Arial" w:hAnsi="Arial"/>
                  <w:sz w:val="18"/>
                  <w:szCs w:val="18"/>
                  <w:color w:val="0000FF"/>
                  <w:w w:val="96"/>
                </w:rPr>
                <w:t>Certification of Daniel M. Chism, Chief Financial Officer, pursuant to Rule 13a-14(a) under the Securities Exchange Act of 1934, as</w:t>
              </w:r>
            </w:hyperlink>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adopted pursuant to Section 302 of the Sarbanes-Oxley Act of 2002</w:t>
              </w:r>
            </w:hyperlink>
          </w:p>
        </w:tc>
        <w:tc>
          <w:tcPr>
            <w:tcW w:w="460" w:type="dxa"/>
            <w:vAlign w:val="bottom"/>
            <w:gridSpan w:val="3"/>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8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FF"/>
            </w:tcBorders>
            <w:gridSpan w:val="7"/>
            <w:shd w:val="clear" w:color="auto" w:fill="CCEEFF"/>
          </w:tcPr>
          <w:p>
            <w:pPr>
              <w:jc w:val="center"/>
              <w:spacing w:after="0" w:line="202"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44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Certifications of Stuart I. Grimshaw, Chief Executive Officer, and Daniel M. Chism, Chief Financial Officer, pursuant to 18 U.S.C.</w:t>
              </w:r>
            </w:hyperlink>
          </w:p>
        </w:tc>
        <w:tc>
          <w:tcPr>
            <w:tcW w:w="560" w:type="dxa"/>
            <w:vAlign w:val="bottom"/>
            <w:tcBorders>
              <w:bottom w:val="single" w:sz="8" w:color="CCEEFF"/>
            </w:tcBorders>
            <w:gridSpan w:val="4"/>
            <w:shd w:val="clear" w:color="auto" w:fill="CCEEFF"/>
          </w:tcPr>
          <w:p>
            <w:pPr>
              <w:spacing w:after="0"/>
              <w:rPr>
                <w:sz w:val="17"/>
                <w:szCs w:val="17"/>
                <w:color w:val="auto"/>
              </w:rPr>
            </w:pPr>
          </w:p>
        </w:tc>
      </w:tr>
      <w:tr>
        <w:trPr>
          <w:trHeight w:val="244"/>
        </w:trPr>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0" w:type="dxa"/>
            <w:vAlign w:val="bottom"/>
            <w:gridSpan w:val="10"/>
            <w:shd w:val="clear" w:color="auto" w:fill="CCEEFF"/>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Section 1350, as adopted pursuant to Section 906 of the Sarbanes-Oxley Act of 2002</w:t>
              </w:r>
            </w:hyperlink>
          </w:p>
        </w:tc>
      </w:tr>
      <w:tr>
        <w:trPr>
          <w:trHeight w:val="243"/>
        </w:trPr>
        <w:tc>
          <w:tcPr>
            <w:tcW w:w="1380" w:type="dxa"/>
            <w:vAlign w:val="bottom"/>
            <w:tcBorders>
              <w:top w:val="single" w:sz="8" w:color="CCEEFF"/>
            </w:tcBorders>
            <w:gridSpan w:val="10"/>
          </w:tcPr>
          <w:p>
            <w:pPr>
              <w:jc w:val="center"/>
              <w:ind w:right="120"/>
              <w:spacing w:after="0"/>
              <w:rPr>
                <w:sz w:val="20"/>
                <w:szCs w:val="20"/>
                <w:color w:val="auto"/>
              </w:rPr>
            </w:pPr>
            <w:r>
              <w:rPr>
                <w:rFonts w:ascii="Arial" w:cs="Arial" w:eastAsia="Arial" w:hAnsi="Arial"/>
                <w:sz w:val="18"/>
                <w:szCs w:val="18"/>
                <w:color w:val="auto"/>
                <w:w w:val="90"/>
              </w:rPr>
              <w:t>101.INS†††</w:t>
            </w:r>
          </w:p>
        </w:tc>
        <w:tc>
          <w:tcPr>
            <w:tcW w:w="40" w:type="dxa"/>
            <w:vAlign w:val="bottom"/>
            <w:tcBorders>
              <w:top w:val="single" w:sz="8" w:color="CCEEFF"/>
            </w:tcBorders>
          </w:tcPr>
          <w:p>
            <w:pPr>
              <w:spacing w:after="0"/>
              <w:rPr>
                <w:sz w:val="21"/>
                <w:szCs w:val="21"/>
                <w:color w:val="auto"/>
              </w:rPr>
            </w:pPr>
          </w:p>
        </w:tc>
        <w:tc>
          <w:tcPr>
            <w:tcW w:w="61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3900" w:type="dxa"/>
            <w:vAlign w:val="bottom"/>
            <w:tcBorders>
              <w:top w:val="single" w:sz="8" w:color="CCEEFF"/>
            </w:tcBorders>
            <w:gridSpan w:val="8"/>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10"/>
            <w:shd w:val="clear" w:color="auto" w:fill="CCEEFF"/>
          </w:tcPr>
          <w:p>
            <w:pPr>
              <w:jc w:val="center"/>
              <w:ind w:right="120"/>
              <w:spacing w:after="0"/>
              <w:rPr>
                <w:sz w:val="20"/>
                <w:szCs w:val="20"/>
                <w:color w:val="auto"/>
              </w:rPr>
            </w:pPr>
            <w:r>
              <w:rPr>
                <w:rFonts w:ascii="Arial" w:cs="Arial" w:eastAsia="Arial" w:hAnsi="Arial"/>
                <w:sz w:val="18"/>
                <w:szCs w:val="18"/>
                <w:color w:val="auto"/>
                <w:w w:val="91"/>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10"/>
          </w:tcPr>
          <w:p>
            <w:pPr>
              <w:jc w:val="center"/>
              <w:ind w:right="120"/>
              <w:spacing w:after="0"/>
              <w:rPr>
                <w:sz w:val="20"/>
                <w:szCs w:val="20"/>
                <w:color w:val="auto"/>
              </w:rPr>
            </w:pPr>
            <w:r>
              <w:rPr>
                <w:rFonts w:ascii="Arial" w:cs="Arial" w:eastAsia="Arial" w:hAnsi="Arial"/>
                <w:sz w:val="18"/>
                <w:szCs w:val="18"/>
                <w:color w:val="auto"/>
                <w:w w:val="93"/>
              </w:rPr>
              <w:t>101.CAL†††</w:t>
            </w:r>
          </w:p>
        </w:tc>
        <w:tc>
          <w:tcPr>
            <w:tcW w:w="40" w:type="dxa"/>
            <w:vAlign w:val="bottom"/>
          </w:tcPr>
          <w:p>
            <w:pPr>
              <w:spacing w:after="0"/>
              <w:rPr>
                <w:sz w:val="21"/>
                <w:szCs w:val="21"/>
                <w:color w:val="auto"/>
              </w:rPr>
            </w:pPr>
          </w:p>
        </w:tc>
        <w:tc>
          <w:tcPr>
            <w:tcW w:w="100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10"/>
            <w:shd w:val="clear" w:color="auto" w:fill="CCEEFF"/>
          </w:tcPr>
          <w:p>
            <w:pPr>
              <w:jc w:val="center"/>
              <w:ind w:right="120"/>
              <w:spacing w:after="0"/>
              <w:rPr>
                <w:sz w:val="20"/>
                <w:szCs w:val="20"/>
                <w:color w:val="auto"/>
              </w:rPr>
            </w:pPr>
            <w:r>
              <w:rPr>
                <w:rFonts w:ascii="Arial" w:cs="Arial" w:eastAsia="Arial" w:hAnsi="Arial"/>
                <w:sz w:val="18"/>
                <w:szCs w:val="18"/>
                <w:color w:val="auto"/>
                <w:w w:val="94"/>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380" w:type="dxa"/>
            <w:vAlign w:val="bottom"/>
            <w:gridSpan w:val="10"/>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1"/>
                <w:szCs w:val="21"/>
                <w:color w:val="auto"/>
              </w:rPr>
            </w:pPr>
          </w:p>
        </w:tc>
        <w:tc>
          <w:tcPr>
            <w:tcW w:w="100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1380" w:type="dxa"/>
            <w:vAlign w:val="bottom"/>
            <w:gridSpan w:val="10"/>
            <w:shd w:val="clear" w:color="auto" w:fill="CCEEFF"/>
          </w:tcPr>
          <w:p>
            <w:pPr>
              <w:jc w:val="center"/>
              <w:ind w:right="120"/>
              <w:spacing w:after="0"/>
              <w:rPr>
                <w:sz w:val="20"/>
                <w:szCs w:val="20"/>
                <w:color w:val="auto"/>
              </w:rPr>
            </w:pPr>
            <w:r>
              <w:rPr>
                <w:rFonts w:ascii="Arial" w:cs="Arial" w:eastAsia="Arial" w:hAnsi="Arial"/>
                <w:sz w:val="18"/>
                <w:szCs w:val="18"/>
                <w:color w:val="auto"/>
                <w:w w:val="88"/>
              </w:rPr>
              <w:t>101.PRE†††</w:t>
            </w:r>
          </w:p>
        </w:tc>
        <w:tc>
          <w:tcPr>
            <w:tcW w:w="40" w:type="dxa"/>
            <w:vAlign w:val="bottom"/>
            <w:shd w:val="clear" w:color="auto" w:fill="CCEEFF"/>
          </w:tcPr>
          <w:p>
            <w:pPr>
              <w:spacing w:after="0"/>
              <w:rPr>
                <w:sz w:val="21"/>
                <w:szCs w:val="21"/>
                <w:color w:val="auto"/>
              </w:rPr>
            </w:pPr>
          </w:p>
        </w:tc>
        <w:tc>
          <w:tcPr>
            <w:tcW w:w="100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hanging="465"/>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00" w:right="120" w:hanging="465"/>
        <w:spacing w:after="0" w:line="273" w:lineRule="auto"/>
        <w:tabs>
          <w:tab w:leader="none" w:pos="500" w:val="left"/>
        </w:tabs>
        <w:numPr>
          <w:ilvl w:val="0"/>
          <w:numId w:val="33"/>
        </w:numPr>
        <w:rPr>
          <w:rFonts w:ascii="Arial" w:cs="Arial" w:eastAsia="Arial" w:hAnsi="Arial"/>
          <w:sz w:val="15"/>
          <w:szCs w:val="15"/>
          <w:color w:val="auto"/>
        </w:rPr>
      </w:pPr>
      <w:r>
        <w:rPr>
          <w:rFonts w:ascii="Arial" w:cs="Arial" w:eastAsia="Arial" w:hAnsi="Arial"/>
          <w:sz w:val="17"/>
          <w:szCs w:val="17"/>
          <w:color w:val="auto"/>
        </w:rPr>
        <w:t>Filed herewith as Exhibit 101 to this report are the following formatted in XBRL (Extensible Business Reporting Language): (i) Condensed Consolidated Balance Sheets as of June 30, 2018, June 30, 2017 and September 30, 2017; (ii) Condensed Consolidated Statements of Operations for the three and nine months ended June 30, 2018 and June 30, 2017; (iii) Condensed Consolidated Statements of Comprehensive Income for the three and nine months ended June 30, 2018 and June 30, 2017; (iv) Condensed Consolidated Statements of Stockholders' Equity for the nine months ended June 30, 2018 and June 30, 2017; (v) Condensed Consolidated Statements of Cash Flows for the nine months ended June 30, 2018 and June 30, 2017; and (vi) Notes to Interim Condensed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McGuire,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122"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 2018</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Daniel M. Chism,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Daniel M. Chism, certify that:</w:t>
      </w:r>
    </w:p>
    <w:p>
      <w:pPr>
        <w:spacing w:after="0" w:line="171"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 2018</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Daniel M. Chism</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Certifications of Stuart I. Grimshaw, Chief Executive Officer, and Daniel M. Chism,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June 30, 2018,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Date: August 1, 2018</w:t>
            </w:r>
          </w:p>
        </w:tc>
        <w:tc>
          <w:tcPr>
            <w:tcW w:w="3640" w:type="dxa"/>
            <w:vAlign w:val="bottom"/>
          </w:tcPr>
          <w:p>
            <w:pPr>
              <w:ind w:left="20"/>
              <w:spacing w:after="0"/>
              <w:rPr>
                <w:sz w:val="20"/>
                <w:szCs w:val="20"/>
                <w:color w:val="auto"/>
              </w:rPr>
            </w:pPr>
            <w:r>
              <w:rPr>
                <w:rFonts w:ascii="Arial" w:cs="Arial" w:eastAsia="Arial" w:hAnsi="Arial"/>
                <w:sz w:val="18"/>
                <w:szCs w:val="18"/>
                <w:color w:val="auto"/>
              </w:rPr>
              <w:t>/s/ Stuart I. Grimshaw</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Stuart I. Grimshaw</w:t>
            </w:r>
          </w:p>
        </w:tc>
      </w:tr>
      <w:tr>
        <w:trPr>
          <w:trHeight w:val="270"/>
        </w:trPr>
        <w:tc>
          <w:tcPr>
            <w:tcW w:w="750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94"/>
        </w:trPr>
        <w:tc>
          <w:tcPr>
            <w:tcW w:w="7500" w:type="dxa"/>
            <w:vAlign w:val="bottom"/>
          </w:tcPr>
          <w:p>
            <w:pPr>
              <w:spacing w:after="0"/>
              <w:rPr>
                <w:sz w:val="20"/>
                <w:szCs w:val="20"/>
                <w:color w:val="auto"/>
              </w:rPr>
            </w:pPr>
            <w:r>
              <w:rPr>
                <w:rFonts w:ascii="Arial" w:cs="Arial" w:eastAsia="Arial" w:hAnsi="Arial"/>
                <w:sz w:val="18"/>
                <w:szCs w:val="18"/>
                <w:color w:val="auto"/>
              </w:rPr>
              <w:t>Date: August 1, 2018</w:t>
            </w:r>
          </w:p>
        </w:tc>
        <w:tc>
          <w:tcPr>
            <w:tcW w:w="3640" w:type="dxa"/>
            <w:vAlign w:val="bottom"/>
          </w:tcPr>
          <w:p>
            <w:pPr>
              <w:ind w:left="20"/>
              <w:spacing w:after="0"/>
              <w:rPr>
                <w:sz w:val="20"/>
                <w:szCs w:val="20"/>
                <w:color w:val="auto"/>
              </w:rPr>
            </w:pPr>
            <w:r>
              <w:rPr>
                <w:rFonts w:ascii="Arial" w:cs="Arial" w:eastAsia="Arial" w:hAnsi="Arial"/>
                <w:sz w:val="18"/>
                <w:szCs w:val="18"/>
                <w:color w:val="auto"/>
              </w:rPr>
              <w:t>/s/ Daniel M. Chism</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Daniel M. Chism</w:t>
            </w:r>
          </w:p>
        </w:tc>
      </w:tr>
      <w:tr>
        <w:trPr>
          <w:trHeight w:val="432"/>
        </w:trPr>
        <w:tc>
          <w:tcPr>
            <w:tcW w:w="750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emdash "/>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upperLetter"/>
      <w:start w:val="61"/>
    </w:lvl>
  </w:abstractNum>
  <w:abstractNum w:abstractNumId="14">
    <w:nsid w:val="79838CB2"/>
    <w:multiLevelType w:val="hybridMultilevel"/>
    <w:lvl w:ilvl="0">
      <w:lvlJc w:val="left"/>
      <w:lvlText w:val="\emdash "/>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28" Type="http://schemas.openxmlformats.org/officeDocument/2006/relationships/hyperlink" Target="http://www.sec.gov/Archives/edgar/data/876523/000087652318000033/a2018-q3projectcowboyxinde.htm" TargetMode="External"/><Relationship Id="rId29" Type="http://schemas.openxmlformats.org/officeDocument/2006/relationships/hyperlink" Target="http://www.sec.gov/Archives/edgar/data/876523/000087652318000033/a2018-q3ezpwpurchase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2020-01-13T03:50:08Z</dcterms:created>
  <dcterms:modified xsi:type="dcterms:W3CDTF">2020-01-13T03:50:08Z</dcterms:modified>
</cp:coreProperties>
</file>