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125730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76835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7" w:lineRule="exact"/>
        <w:rPr>
          <w:sz w:val="24"/>
          <w:szCs w:val="24"/>
          <w:color w:val="auto"/>
        </w:rPr>
      </w:pPr>
    </w:p>
    <w:p>
      <w:pPr>
        <w:ind w:left="3540" w:right="780" w:hanging="2920"/>
        <w:spacing w:after="0" w:line="408" w:lineRule="auto"/>
        <w:tabs>
          <w:tab w:leader="none" w:pos="1215"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 or</w:t>
      </w:r>
    </w:p>
    <w:p>
      <w:pPr>
        <w:spacing w:after="0" w:line="41" w:lineRule="exact"/>
        <w:rPr>
          <w:sz w:val="24"/>
          <w:szCs w:val="24"/>
          <w:color w:val="auto"/>
        </w:rPr>
      </w:pPr>
    </w:p>
    <w:p>
      <w:pPr>
        <w:ind w:left="1220" w:hanging="600"/>
        <w:spacing w:after="0"/>
        <w:tabs>
          <w:tab w:leader="none" w:pos="12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1"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-5080</wp:posOffset>
            </wp:positionV>
            <wp:extent cx="156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54610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EZCORP, INC.</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86" w:lineRule="exact"/>
        <w:rPr>
          <w:sz w:val="24"/>
          <w:szCs w:val="24"/>
          <w:color w:val="auto"/>
        </w:rPr>
      </w:pPr>
    </w:p>
    <w:tbl>
      <w:tblPr>
        <w:tblLayout w:type="fixed"/>
        <w:tblInd w:w="266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284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020" w:type="dxa"/>
            <w:vAlign w:val="bottom"/>
          </w:tcPr>
          <w:p>
            <w:pPr>
              <w:jc w:val="right"/>
              <w:ind w:right="50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79"/>
        </w:trPr>
        <w:tc>
          <w:tcPr>
            <w:tcW w:w="3940" w:type="dxa"/>
            <w:vAlign w:val="bottom"/>
            <w:gridSpan w:val="2"/>
            <w:vMerge w:val="restart"/>
          </w:tcPr>
          <w:p>
            <w:pPr>
              <w:jc w:val="center"/>
              <w:ind w:right="6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jc w:val="center"/>
              <w:ind w:left="4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72"/>
        </w:trPr>
        <w:tc>
          <w:tcPr>
            <w:tcW w:w="3940" w:type="dxa"/>
            <w:vAlign w:val="bottom"/>
            <w:gridSpan w:val="2"/>
            <w:vMerge w:val="continue"/>
          </w:tcPr>
          <w:p>
            <w:pPr>
              <w:spacing w:after="0"/>
              <w:rPr>
                <w:sz w:val="14"/>
                <w:szCs w:val="14"/>
                <w:color w:val="auto"/>
              </w:rPr>
            </w:pP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rPr>
              <w:t>2500 Bee Cave</w:t>
            </w:r>
          </w:p>
        </w:tc>
        <w:tc>
          <w:tcPr>
            <w:tcW w:w="2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Bldg One Suite 200 Rollingwood  TX</w:t>
            </w:r>
          </w:p>
        </w:tc>
        <w:tc>
          <w:tcPr>
            <w:tcW w:w="20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90"/>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Road</w:t>
            </w:r>
          </w:p>
        </w:tc>
        <w:tc>
          <w:tcPr>
            <w:tcW w:w="28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40" w:type="dxa"/>
            <w:vAlign w:val="bottom"/>
            <w:gridSpan w:val="2"/>
          </w:tcPr>
          <w:p>
            <w:pPr>
              <w:jc w:val="center"/>
              <w:ind w:right="48"/>
              <w:spacing w:after="0"/>
              <w:rPr>
                <w:sz w:val="20"/>
                <w:szCs w:val="20"/>
                <w:color w:val="auto"/>
              </w:rPr>
            </w:pPr>
            <w:r>
              <w:rPr>
                <w:rFonts w:ascii="Arial" w:cs="Arial" w:eastAsia="Arial" w:hAnsi="Arial"/>
                <w:sz w:val="14"/>
                <w:szCs w:val="14"/>
                <w:color w:val="auto"/>
              </w:rPr>
              <w:t>(Address of principal executive offices)</w:t>
            </w: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111760</wp:posOffset>
            </wp:positionV>
            <wp:extent cx="233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9" w:lineRule="exact"/>
        <w:rPr>
          <w:sz w:val="24"/>
          <w:szCs w:val="24"/>
          <w:color w:val="auto"/>
        </w:rPr>
      </w:pPr>
    </w:p>
    <w:tbl>
      <w:tblPr>
        <w:tblLayout w:type="fixed"/>
        <w:tblInd w:w="1000" w:type="dxa"/>
        <w:tblCellMar>
          <w:top w:w="0" w:type="dxa"/>
          <w:left w:w="0" w:type="dxa"/>
          <w:bottom w:w="0" w:type="dxa"/>
          <w:right w:w="0" w:type="dxa"/>
        </w:tblCellMar>
      </w:tblPr>
      <w:tr>
        <w:trPr>
          <w:trHeight w:val="189"/>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16"/>
                <w:szCs w:val="16"/>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3"/>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EZPW</w:t>
            </w: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0"/>
        </w:trPr>
        <w:tc>
          <w:tcPr>
            <w:tcW w:w="3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460" w:type="dxa"/>
            <w:vAlign w:val="bottom"/>
            <w:gridSpan w:val="2"/>
            <w:vMerge w:val="continue"/>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38" w:lineRule="exact"/>
        <w:rPr>
          <w:sz w:val="24"/>
          <w:szCs w:val="24"/>
          <w:color w:val="auto"/>
        </w:rPr>
      </w:pPr>
    </w:p>
    <w:p>
      <w:pPr>
        <w:jc w:val="both"/>
        <w:ind w:right="8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jc w:val="both"/>
        <w:ind w:right="8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jc w:val="both"/>
        <w:ind w:right="5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2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86"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As of April 30, 2022, 53,685,333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2"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8"/>
              </w:rPr>
              <w:t>EZCORP, Inc.</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40" w:type="dxa"/>
            <w:vAlign w:val="bottom"/>
            <w:gridSpan w:val="10"/>
          </w:tcPr>
          <w:p>
            <w:pPr>
              <w:jc w:val="center"/>
              <w:ind w:right="3300"/>
              <w:spacing w:after="0"/>
              <w:rPr>
                <w:sz w:val="20"/>
                <w:szCs w:val="20"/>
                <w:color w:val="auto"/>
              </w:rPr>
            </w:pPr>
            <w:r>
              <w:rPr>
                <w:rFonts w:ascii="Arial" w:cs="Arial" w:eastAsia="Arial" w:hAnsi="Arial"/>
                <w:sz w:val="18"/>
                <w:szCs w:val="18"/>
                <w:b w:val="1"/>
                <w:bCs w:val="1"/>
                <w:color w:val="auto"/>
                <w:w w:val="99"/>
              </w:rPr>
              <w:t>INDEX TO FORM 10-Q</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20" w:type="dxa"/>
            <w:vAlign w:val="bottom"/>
            <w:gridSpan w:val="2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360" w:type="dxa"/>
            <w:vAlign w:val="bottom"/>
            <w:tcBorders>
              <w:top w:val="single" w:sz="8" w:color="0000FF"/>
              <w:bottom w:val="single" w:sz="8" w:color="0000FF"/>
            </w:tcBorders>
            <w:gridSpan w:val="9"/>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400" w:type="dxa"/>
            <w:vAlign w:val="bottom"/>
            <w:tcBorders>
              <w:top w:val="single" w:sz="8" w:color="0000FF"/>
            </w:tcBorders>
            <w:gridSpan w:val="3"/>
          </w:tcPr>
          <w:p>
            <w:pPr>
              <w:spacing w:after="0"/>
              <w:rPr>
                <w:sz w:val="18"/>
                <w:szCs w:val="18"/>
                <w:color w:val="auto"/>
              </w:rPr>
            </w:pPr>
          </w:p>
        </w:tc>
        <w:tc>
          <w:tcPr>
            <w:tcW w:w="6940" w:type="dxa"/>
            <w:vAlign w:val="bottom"/>
            <w:gridSpan w:val="16"/>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31, 2022 and 2021 (Unaudited) and September 30, 2021</w:t>
              </w:r>
            </w:hyperlink>
          </w:p>
        </w:tc>
        <w:tc>
          <w:tcPr>
            <w:tcW w:w="12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Six Months Ended March 31, 2022 and 2021</w:t>
              </w:r>
            </w:hyperlink>
          </w:p>
        </w:tc>
        <w:tc>
          <w:tcPr>
            <w:tcW w:w="1200" w:type="dxa"/>
            <w:vAlign w:val="bottom"/>
            <w:gridSpan w:val="4"/>
            <w:vMerge w:val="restart"/>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(Unaudited)</w:t>
              </w:r>
            </w:hyperlink>
          </w:p>
        </w:tc>
        <w:tc>
          <w:tcPr>
            <w:tcW w:w="8200" w:type="dxa"/>
            <w:vAlign w:val="bottom"/>
            <w:tcBorders>
              <w:top w:val="single" w:sz="8" w:color="0000FF"/>
            </w:tcBorders>
            <w:gridSpan w:val="22"/>
            <w:vMerge w:val="restart"/>
          </w:tcPr>
          <w:p>
            <w:pPr>
              <w:spacing w:after="0"/>
              <w:rPr>
                <w:sz w:val="5"/>
                <w:szCs w:val="5"/>
                <w:color w:val="auto"/>
              </w:rPr>
            </w:pPr>
          </w:p>
        </w:tc>
        <w:tc>
          <w:tcPr>
            <w:tcW w:w="220" w:type="dxa"/>
            <w:vAlign w:val="bottom"/>
            <w:gridSpan w:val="2"/>
            <w:vMerge w:val="restart"/>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top w:val="single" w:sz="8" w:color="0000FF"/>
              <w:bottom w:val="single" w:sz="8" w:color="0000FF"/>
            </w:tcBorders>
            <w:gridSpan w:val="3"/>
            <w:vMerge w:val="continue"/>
          </w:tcPr>
          <w:p>
            <w:pPr>
              <w:spacing w:after="0"/>
              <w:rPr>
                <w:sz w:val="6"/>
                <w:szCs w:val="6"/>
                <w:color w:val="auto"/>
              </w:rPr>
            </w:pPr>
          </w:p>
        </w:tc>
        <w:tc>
          <w:tcPr>
            <w:tcW w:w="8200" w:type="dxa"/>
            <w:vAlign w:val="bottom"/>
            <w:tcBorders>
              <w:top w:val="single" w:sz="8" w:color="0000FF"/>
            </w:tcBorders>
            <w:gridSpan w:val="22"/>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60" w:type="dxa"/>
            <w:vAlign w:val="bottom"/>
            <w:tcBorders>
              <w:bottom w:val="single" w:sz="8" w:color="0000FF"/>
            </w:tcBorders>
            <w:gridSpan w:val="27"/>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Comprehensive Income for the Three and Six Months Ended March 31, 2022</w:t>
              </w:r>
            </w:hyperlink>
          </w:p>
        </w:tc>
        <w:tc>
          <w:tcPr>
            <w:tcW w:w="1200" w:type="dxa"/>
            <w:vAlign w:val="bottom"/>
            <w:gridSpan w:val="4"/>
            <w:vMerge w:val="restart"/>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gridSpan w:val="6"/>
            <w:vMerge w:val="restart"/>
          </w:tcPr>
          <w:p>
            <w:pPr>
              <w:spacing w:after="0" w:line="156"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and 2021 (Unaudited)</w:t>
              </w:r>
            </w:hyperlink>
          </w:p>
        </w:tc>
        <w:tc>
          <w:tcPr>
            <w:tcW w:w="7620" w:type="dxa"/>
            <w:vAlign w:val="bottom"/>
            <w:gridSpan w:val="21"/>
            <w:vMerge w:val="restart"/>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40" w:type="dxa"/>
            <w:vAlign w:val="bottom"/>
            <w:tcBorders>
              <w:bottom w:val="single" w:sz="8" w:color="0000FF"/>
            </w:tcBorders>
            <w:gridSpan w:val="6"/>
            <w:vMerge w:val="continue"/>
          </w:tcPr>
          <w:p>
            <w:pPr>
              <w:spacing w:after="0"/>
              <w:rPr>
                <w:sz w:val="6"/>
                <w:szCs w:val="6"/>
                <w:color w:val="auto"/>
              </w:rPr>
            </w:pPr>
          </w:p>
        </w:tc>
        <w:tc>
          <w:tcPr>
            <w:tcW w:w="7620" w:type="dxa"/>
            <w:vAlign w:val="bottom"/>
            <w:gridSpan w:val="21"/>
            <w:vMerge w:val="continue"/>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for the Periods Ended March 31, 2022 and 2021</w:t>
              </w:r>
            </w:hyperlink>
          </w:p>
        </w:tc>
        <w:tc>
          <w:tcPr>
            <w:tcW w:w="1200" w:type="dxa"/>
            <w:vAlign w:val="bottom"/>
            <w:gridSpan w:val="4"/>
            <w:vMerge w:val="restart"/>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(Unaudited)</w:t>
              </w:r>
            </w:hyperlink>
          </w:p>
        </w:tc>
        <w:tc>
          <w:tcPr>
            <w:tcW w:w="7800" w:type="dxa"/>
            <w:vAlign w:val="bottom"/>
            <w:tcBorders>
              <w:top w:val="single" w:sz="8" w:color="0000FF"/>
            </w:tcBorders>
            <w:gridSpan w:val="20"/>
            <w:vMerge w:val="restart"/>
          </w:tcPr>
          <w:p>
            <w:pPr>
              <w:spacing w:after="0"/>
              <w:rPr>
                <w:sz w:val="5"/>
                <w:szCs w:val="5"/>
                <w:color w:val="auto"/>
              </w:rPr>
            </w:pPr>
          </w:p>
        </w:tc>
        <w:tc>
          <w:tcPr>
            <w:tcW w:w="620" w:type="dxa"/>
            <w:vAlign w:val="bottom"/>
            <w:gridSpan w:val="4"/>
            <w:vMerge w:val="restart"/>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top w:val="single" w:sz="8" w:color="0000FF"/>
              <w:bottom w:val="single" w:sz="8" w:color="0000FF"/>
            </w:tcBorders>
            <w:gridSpan w:val="3"/>
            <w:vMerge w:val="continue"/>
          </w:tcPr>
          <w:p>
            <w:pPr>
              <w:spacing w:after="0"/>
              <w:rPr>
                <w:sz w:val="6"/>
                <w:szCs w:val="6"/>
                <w:color w:val="auto"/>
              </w:rPr>
            </w:pPr>
          </w:p>
        </w:tc>
        <w:tc>
          <w:tcPr>
            <w:tcW w:w="7800" w:type="dxa"/>
            <w:vAlign w:val="bottom"/>
            <w:tcBorders>
              <w:top w:val="single" w:sz="8" w:color="0000FF"/>
            </w:tcBorders>
            <w:gridSpan w:val="20"/>
            <w:vMerge w:val="continue"/>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60" w:type="dxa"/>
            <w:vAlign w:val="bottom"/>
            <w:gridSpan w:val="2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Six Months Ended March 31, 2022 and 2021 (Unaudited)</w:t>
              </w:r>
            </w:hyperlink>
          </w:p>
        </w:tc>
        <w:tc>
          <w:tcPr>
            <w:tcW w:w="120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gridSpan w:val="21"/>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Interim Condensed Consolidated Financial Statements (Unaudited)</w:t>
              </w:r>
            </w:hyperlink>
          </w:p>
        </w:tc>
        <w:tc>
          <w:tcPr>
            <w:tcW w:w="326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2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 1: Organization and Summary of Significant Accounting Policies</w:t>
              </w:r>
            </w:hyperlink>
          </w:p>
        </w:tc>
        <w:tc>
          <w:tcPr>
            <w:tcW w:w="3300" w:type="dxa"/>
            <w:vAlign w:val="bottom"/>
            <w:gridSpan w:val="6"/>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40" w:type="dxa"/>
            <w:vAlign w:val="bottom"/>
            <w:gridSpan w:val="1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2: Acquisitions</w:t>
              </w:r>
            </w:hyperlink>
          </w:p>
        </w:tc>
        <w:tc>
          <w:tcPr>
            <w:tcW w:w="3420" w:type="dxa"/>
            <w:vAlign w:val="bottom"/>
            <w:gridSpan w:val="7"/>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Note 3: Goodwill</w:t>
              </w:r>
            </w:hyperlink>
          </w:p>
        </w:tc>
        <w:tc>
          <w:tcPr>
            <w:tcW w:w="260" w:type="dxa"/>
            <w:vAlign w:val="bottom"/>
          </w:tcPr>
          <w:p>
            <w:pPr>
              <w:spacing w:after="0"/>
              <w:rPr>
                <w:sz w:val="18"/>
                <w:szCs w:val="18"/>
                <w:color w:val="auto"/>
              </w:rPr>
            </w:pPr>
          </w:p>
        </w:tc>
        <w:tc>
          <w:tcPr>
            <w:tcW w:w="7340" w:type="dxa"/>
            <w:vAlign w:val="bottom"/>
            <w:gridSpan w:val="19"/>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1"/>
          </w:tcPr>
          <w:p>
            <w:pPr>
              <w:spacing w:after="0"/>
              <w:rPr>
                <w:rFonts w:ascii="Arial" w:cs="Arial" w:eastAsia="Arial" w:hAnsi="Arial"/>
                <w:sz w:val="18"/>
                <w:szCs w:val="18"/>
                <w:color w:val="0000FF"/>
                <w:w w:val="96"/>
              </w:rPr>
            </w:pPr>
            <w:hyperlink w:anchor="page10">
              <w:r>
                <w:rPr>
                  <w:rFonts w:ascii="Arial" w:cs="Arial" w:eastAsia="Arial" w:hAnsi="Arial"/>
                  <w:sz w:val="18"/>
                  <w:szCs w:val="18"/>
                  <w:color w:val="0000FF"/>
                  <w:w w:val="96"/>
                </w:rPr>
                <w:t>Note 4: Earnings Per Share</w:t>
              </w:r>
            </w:hyperlink>
          </w:p>
        </w:tc>
        <w:tc>
          <w:tcPr>
            <w:tcW w:w="6720" w:type="dxa"/>
            <w:vAlign w:val="bottom"/>
            <w:gridSpan w:val="15"/>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1"/>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 5: Leases</w:t>
              </w:r>
            </w:hyperlink>
          </w:p>
        </w:tc>
        <w:tc>
          <w:tcPr>
            <w:tcW w:w="6720" w:type="dxa"/>
            <w:vAlign w:val="bottom"/>
            <w:gridSpan w:val="15"/>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gridSpan w:val="13"/>
          </w:tcPr>
          <w:p>
            <w:pPr>
              <w:spacing w:after="0"/>
              <w:rPr>
                <w:rFonts w:ascii="Arial" w:cs="Arial" w:eastAsia="Arial" w:hAnsi="Arial"/>
                <w:sz w:val="18"/>
                <w:szCs w:val="18"/>
                <w:color w:val="0000FF"/>
                <w:w w:val="95"/>
              </w:rPr>
            </w:pPr>
            <w:hyperlink w:anchor="page12">
              <w:r>
                <w:rPr>
                  <w:rFonts w:ascii="Arial" w:cs="Arial" w:eastAsia="Arial" w:hAnsi="Arial"/>
                  <w:sz w:val="18"/>
                  <w:szCs w:val="18"/>
                  <w:color w:val="0000FF"/>
                  <w:w w:val="95"/>
                </w:rPr>
                <w:t>Note 6: Strategic Investments</w:t>
              </w:r>
            </w:hyperlink>
          </w:p>
        </w:tc>
        <w:tc>
          <w:tcPr>
            <w:tcW w:w="6560" w:type="dxa"/>
            <w:vAlign w:val="bottom"/>
            <w:gridSpan w:val="13"/>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12">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gridSpan w:val="14"/>
          </w:tcPr>
          <w:p>
            <w:pPr>
              <w:spacing w:after="0"/>
              <w:rPr>
                <w:rFonts w:ascii="Arial" w:cs="Arial" w:eastAsia="Arial" w:hAnsi="Arial"/>
                <w:sz w:val="18"/>
                <w:szCs w:val="18"/>
                <w:color w:val="0000FF"/>
                <w:w w:val="96"/>
              </w:rPr>
            </w:pPr>
            <w:hyperlink w:anchor="page13">
              <w:r>
                <w:rPr>
                  <w:rFonts w:ascii="Arial" w:cs="Arial" w:eastAsia="Arial" w:hAnsi="Arial"/>
                  <w:sz w:val="18"/>
                  <w:szCs w:val="18"/>
                  <w:color w:val="0000FF"/>
                  <w:w w:val="96"/>
                </w:rPr>
                <w:t>Note 7: Fair Value Measurements</w:t>
              </w:r>
            </w:hyperlink>
          </w:p>
        </w:tc>
        <w:tc>
          <w:tcPr>
            <w:tcW w:w="6240" w:type="dxa"/>
            <w:vAlign w:val="bottom"/>
            <w:gridSpan w:val="12"/>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13">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gridSpan w:val="14"/>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Note 8: Debt</w:t>
              </w:r>
            </w:hyperlink>
          </w:p>
        </w:tc>
        <w:tc>
          <w:tcPr>
            <w:tcW w:w="6240" w:type="dxa"/>
            <w:vAlign w:val="bottom"/>
            <w:gridSpan w:val="12"/>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40" w:type="dxa"/>
            <w:vAlign w:val="bottom"/>
            <w:gridSpan w:val="15"/>
          </w:tcPr>
          <w:p>
            <w:pPr>
              <w:spacing w:after="0"/>
              <w:rPr>
                <w:rFonts w:ascii="Arial" w:cs="Arial" w:eastAsia="Arial" w:hAnsi="Arial"/>
                <w:sz w:val="18"/>
                <w:szCs w:val="18"/>
                <w:color w:val="0000FF"/>
                <w:w w:val="97"/>
              </w:rPr>
            </w:pPr>
            <w:hyperlink w:anchor="page17">
              <w:r>
                <w:rPr>
                  <w:rFonts w:ascii="Arial" w:cs="Arial" w:eastAsia="Arial" w:hAnsi="Arial"/>
                  <w:sz w:val="18"/>
                  <w:szCs w:val="18"/>
                  <w:color w:val="0000FF"/>
                  <w:w w:val="97"/>
                </w:rPr>
                <w:t>Note 9: Share-Based Compensation</w:t>
              </w:r>
            </w:hyperlink>
          </w:p>
        </w:tc>
        <w:tc>
          <w:tcPr>
            <w:tcW w:w="6020" w:type="dxa"/>
            <w:vAlign w:val="bottom"/>
            <w:gridSpan w:val="11"/>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17">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20" w:type="dxa"/>
            <w:vAlign w:val="bottom"/>
            <w:gridSpan w:val="16"/>
          </w:tcPr>
          <w:p>
            <w:pPr>
              <w:spacing w:after="0"/>
              <w:rPr>
                <w:rFonts w:ascii="Arial" w:cs="Arial" w:eastAsia="Arial" w:hAnsi="Arial"/>
                <w:sz w:val="18"/>
                <w:szCs w:val="18"/>
                <w:color w:val="0000FF"/>
                <w:w w:val="97"/>
              </w:rPr>
            </w:pPr>
            <w:hyperlink w:anchor="page18">
              <w:r>
                <w:rPr>
                  <w:rFonts w:ascii="Arial" w:cs="Arial" w:eastAsia="Arial" w:hAnsi="Arial"/>
                  <w:sz w:val="18"/>
                  <w:szCs w:val="18"/>
                  <w:color w:val="0000FF"/>
                  <w:w w:val="97"/>
                </w:rPr>
                <w:t>Note 10: Commitments and Contingencies</w:t>
              </w:r>
            </w:hyperlink>
          </w:p>
        </w:tc>
        <w:tc>
          <w:tcPr>
            <w:tcW w:w="5540" w:type="dxa"/>
            <w:vAlign w:val="bottom"/>
            <w:gridSpan w:val="10"/>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18">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gridSpan w:val="13"/>
          </w:tcPr>
          <w:p>
            <w:pPr>
              <w:spacing w:after="0"/>
              <w:rPr>
                <w:rFonts w:ascii="Arial" w:cs="Arial" w:eastAsia="Arial" w:hAnsi="Arial"/>
                <w:sz w:val="18"/>
                <w:szCs w:val="18"/>
                <w:color w:val="0000FF"/>
                <w:w w:val="94"/>
              </w:rPr>
            </w:pPr>
            <w:hyperlink w:anchor="page18">
              <w:r>
                <w:rPr>
                  <w:rFonts w:ascii="Arial" w:cs="Arial" w:eastAsia="Arial" w:hAnsi="Arial"/>
                  <w:sz w:val="18"/>
                  <w:szCs w:val="18"/>
                  <w:color w:val="0000FF"/>
                  <w:w w:val="94"/>
                </w:rPr>
                <w:t>Note 11: Segment Information</w:t>
              </w:r>
            </w:hyperlink>
          </w:p>
        </w:tc>
        <w:tc>
          <w:tcPr>
            <w:tcW w:w="1020" w:type="dxa"/>
            <w:vAlign w:val="bottom"/>
            <w:gridSpan w:val="3"/>
          </w:tcPr>
          <w:p>
            <w:pPr>
              <w:spacing w:after="0"/>
              <w:rPr>
                <w:sz w:val="18"/>
                <w:szCs w:val="18"/>
                <w:color w:val="auto"/>
              </w:rPr>
            </w:pPr>
          </w:p>
        </w:tc>
        <w:tc>
          <w:tcPr>
            <w:tcW w:w="5540" w:type="dxa"/>
            <w:vAlign w:val="bottom"/>
            <w:gridSpan w:val="10"/>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18">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gridSpan w:val="18"/>
          </w:tcPr>
          <w:p>
            <w:pPr>
              <w:spacing w:after="0"/>
              <w:rPr>
                <w:rFonts w:ascii="Arial" w:cs="Arial" w:eastAsia="Arial" w:hAnsi="Arial"/>
                <w:sz w:val="18"/>
                <w:szCs w:val="18"/>
                <w:color w:val="0000FF"/>
                <w:w w:val="98"/>
              </w:rPr>
            </w:pPr>
            <w:hyperlink w:anchor="page21">
              <w:r>
                <w:rPr>
                  <w:rFonts w:ascii="Arial" w:cs="Arial" w:eastAsia="Arial" w:hAnsi="Arial"/>
                  <w:sz w:val="18"/>
                  <w:szCs w:val="18"/>
                  <w:color w:val="0000FF"/>
                  <w:w w:val="98"/>
                </w:rPr>
                <w:t>Note 12: Supplemental Consolidated Financial Information</w:t>
              </w:r>
            </w:hyperlink>
          </w:p>
        </w:tc>
        <w:tc>
          <w:tcPr>
            <w:tcW w:w="4260" w:type="dxa"/>
            <w:vAlign w:val="bottom"/>
            <w:gridSpan w:val="8"/>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gridSpan w:val="1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13: </w:t>
            </w:r>
            <w:hyperlink w:anchor="page21">
              <w:r>
                <w:rPr>
                  <w:rFonts w:ascii="Arial" w:cs="Arial" w:eastAsia="Arial" w:hAnsi="Arial"/>
                  <w:sz w:val="18"/>
                  <w:szCs w:val="18"/>
                  <w:color w:val="0000FF"/>
                </w:rPr>
                <w:t>Subsequent Events</w:t>
              </w:r>
            </w:hyperlink>
          </w:p>
        </w:tc>
        <w:tc>
          <w:tcPr>
            <w:tcW w:w="4260" w:type="dxa"/>
            <w:vAlign w:val="bottom"/>
            <w:gridSpan w:val="8"/>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00" w:type="dxa"/>
            <w:vAlign w:val="bottom"/>
            <w:gridSpan w:val="28"/>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1200" w:type="dxa"/>
            <w:vAlign w:val="bottom"/>
            <w:gridSpan w:val="4"/>
          </w:tcPr>
          <w:p>
            <w:pPr>
              <w:jc w:val="right"/>
              <w:ind w:right="40"/>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gridSpan w:val="23"/>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Item 3. Quantitative and Qualitative Disclosures about Market Risk</w:t>
              </w:r>
            </w:hyperlink>
          </w:p>
        </w:tc>
        <w:tc>
          <w:tcPr>
            <w:tcW w:w="2020" w:type="dxa"/>
            <w:vAlign w:val="bottom"/>
            <w:gridSpan w:val="5"/>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gridSpan w:val="19"/>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4. Controls and Procedures</w:t>
              </w:r>
            </w:hyperlink>
          </w:p>
        </w:tc>
        <w:tc>
          <w:tcPr>
            <w:tcW w:w="4400" w:type="dxa"/>
            <w:vAlign w:val="bottom"/>
            <w:gridSpan w:val="9"/>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100" w:type="dxa"/>
            <w:vAlign w:val="bottom"/>
            <w:gridSpan w:val="1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20" w:type="dxa"/>
            <w:vAlign w:val="bottom"/>
            <w:gridSpan w:val="2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PART II — OTHER INFORMATION</w:t>
              </w:r>
            </w:hyperlink>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10"/>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1. Legal Proceedings</w:t>
              </w:r>
            </w:hyperlink>
          </w:p>
        </w:tc>
        <w:tc>
          <w:tcPr>
            <w:tcW w:w="7200" w:type="dxa"/>
            <w:vAlign w:val="bottom"/>
            <w:gridSpan w:val="18"/>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7600" w:type="dxa"/>
            <w:vAlign w:val="bottom"/>
            <w:gridSpan w:val="2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8"/>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1A. Risk Factors</w:t>
              </w:r>
            </w:hyperlink>
          </w:p>
        </w:tc>
        <w:tc>
          <w:tcPr>
            <w:tcW w:w="7600" w:type="dxa"/>
            <w:vAlign w:val="bottom"/>
            <w:gridSpan w:val="20"/>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980" w:type="dxa"/>
            <w:vAlign w:val="bottom"/>
            <w:gridSpan w:val="2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ind w:left="20"/>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Item 6. Exhibits</w:t>
              </w:r>
            </w:hyperlink>
          </w:p>
        </w:tc>
        <w:tc>
          <w:tcPr>
            <w:tcW w:w="480" w:type="dxa"/>
            <w:vAlign w:val="bottom"/>
            <w:gridSpan w:val="2"/>
          </w:tcPr>
          <w:p>
            <w:pPr>
              <w:spacing w:after="0"/>
              <w:rPr>
                <w:sz w:val="18"/>
                <w:szCs w:val="18"/>
                <w:color w:val="auto"/>
              </w:rPr>
            </w:pPr>
          </w:p>
        </w:tc>
        <w:tc>
          <w:tcPr>
            <w:tcW w:w="7980" w:type="dxa"/>
            <w:vAlign w:val="bottom"/>
            <w:gridSpan w:val="23"/>
          </w:tcPr>
          <w:p>
            <w:pPr>
              <w:spacing w:after="0"/>
              <w:rPr>
                <w:sz w:val="18"/>
                <w:szCs w:val="18"/>
                <w:color w:val="auto"/>
              </w:rPr>
            </w:pPr>
          </w:p>
        </w:tc>
        <w:tc>
          <w:tcPr>
            <w:tcW w:w="1200" w:type="dxa"/>
            <w:vAlign w:val="bottom"/>
            <w:gridSpan w:val="4"/>
          </w:tcPr>
          <w:p>
            <w:pPr>
              <w:jc w:val="right"/>
              <w:ind w:right="40"/>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60" w:type="dxa"/>
            <w:vAlign w:val="bottom"/>
            <w:gridSpan w:val="2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20" w:type="dxa"/>
            <w:vAlign w:val="bottom"/>
            <w:gridSpan w:val="2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1200" w:type="dxa"/>
            <w:vAlign w:val="bottom"/>
            <w:gridSpan w:val="4"/>
          </w:tcPr>
          <w:p>
            <w:pPr>
              <w:jc w:val="right"/>
              <w:ind w:right="40"/>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6"/>
                <w:szCs w:val="16"/>
                <w:color w:val="auto"/>
              </w:rPr>
            </w:pPr>
          </w:p>
        </w:tc>
        <w:tc>
          <w:tcPr>
            <w:tcW w:w="1320" w:type="dxa"/>
            <w:vAlign w:val="bottom"/>
            <w:gridSpan w:val="3"/>
          </w:tcPr>
          <w:p>
            <w:pPr>
              <w:ind w:left="12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0"/>
        </w:trPr>
        <w:tc>
          <w:tcPr>
            <w:tcW w:w="6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80" w:type="dxa"/>
            <w:vAlign w:val="bottom"/>
            <w:gridSpan w:val="6"/>
            <w:shd w:val="clear" w:color="auto" w:fill="CCEEFF"/>
          </w:tcPr>
          <w:p>
            <w:pPr>
              <w:ind w:left="840"/>
              <w:spacing w:after="0" w:line="170" w:lineRule="exact"/>
              <w:rPr>
                <w:sz w:val="20"/>
                <w:szCs w:val="20"/>
                <w:color w:val="auto"/>
              </w:rPr>
            </w:pPr>
            <w:r>
              <w:rPr>
                <w:rFonts w:ascii="Arial" w:cs="Arial" w:eastAsia="Arial" w:hAnsi="Arial"/>
                <w:sz w:val="16"/>
                <w:szCs w:val="16"/>
                <w:color w:val="auto"/>
              </w:rPr>
              <w:t>(Unaudited)</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3"/>
        </w:trPr>
        <w:tc>
          <w:tcPr>
            <w:tcW w:w="67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254,964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335,638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253,667</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8,713</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9,957</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173,618</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125,268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175,901</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service charges receivable, net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28,319</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29,337</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119,890</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86,214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110,989</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27,267</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30,676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31,010</w:t>
            </w:r>
          </w:p>
        </w:tc>
      </w:tr>
      <w:tr>
        <w:trPr>
          <w:trHeight w:val="210"/>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612,771</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606,644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610,861</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42,002</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37,724</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Other investments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18,000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50,874</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51,836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53,811</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Right-of-use asset, net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204,343</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170,479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200,990</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286,214</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285,758</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62,145</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58,125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62,104</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 net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1,198</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15,908</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9,693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9,746</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6,541</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5,152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4,736</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1,299,996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1,196,253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r>
      <w:tr>
        <w:trPr>
          <w:trHeight w:val="203"/>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69,695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69,019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90,268</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15,046</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12,557</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Lease liability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52,446</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41,060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52,263</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137,187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121,480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155,088</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312,168</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257,143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264,186</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liability, net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Lease liability</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163,506</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138,622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161,330</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11,940</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9,597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10,385</w:t>
            </w:r>
          </w:p>
        </w:tc>
      </w:tr>
      <w:tr>
        <w:trPr>
          <w:trHeight w:val="210"/>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624,980</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527,009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594,673</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Commitments and Contingencies (Note 10)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0"/>
        </w:trPr>
        <w:tc>
          <w:tcPr>
            <w:tcW w:w="6700" w:type="dxa"/>
            <w:vAlign w:val="bottom"/>
            <w:shd w:val="clear" w:color="auto" w:fill="CCEEFF"/>
          </w:tcPr>
          <w:p>
            <w:pPr>
              <w:ind w:left="480"/>
              <w:spacing w:after="0" w:line="181" w:lineRule="exact"/>
              <w:rPr>
                <w:sz w:val="20"/>
                <w:szCs w:val="20"/>
                <w:color w:val="auto"/>
              </w:rPr>
            </w:pPr>
            <w:r>
              <w:rPr>
                <w:rFonts w:ascii="Arial" w:cs="Arial" w:eastAsia="Arial" w:hAnsi="Arial"/>
                <w:sz w:val="16"/>
                <w:szCs w:val="16"/>
                <w:color w:val="auto"/>
              </w:rPr>
              <w:t>Class A Non-voting Common Stock, par value $0.01 per share; shares authorized:</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2"/>
        </w:trPr>
        <w:tc>
          <w:tcPr>
            <w:tcW w:w="6700" w:type="dxa"/>
            <w:vAlign w:val="bottom"/>
            <w:shd w:val="clear" w:color="auto" w:fill="CCEEFF"/>
          </w:tcPr>
          <w:p>
            <w:pPr>
              <w:ind w:left="480"/>
              <w:spacing w:after="0" w:line="162" w:lineRule="exact"/>
              <w:rPr>
                <w:sz w:val="20"/>
                <w:szCs w:val="20"/>
                <w:color w:val="auto"/>
              </w:rPr>
            </w:pPr>
            <w:r>
              <w:rPr>
                <w:rFonts w:ascii="Arial" w:cs="Arial" w:eastAsia="Arial" w:hAnsi="Arial"/>
                <w:sz w:val="16"/>
                <w:szCs w:val="16"/>
                <w:color w:val="auto"/>
              </w:rPr>
              <w:t>100 million; issued and outstanding: 53,685,333 as of March 31, 2022; 52,873,568 as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01"/>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of March 31, 2021; and 53,086,438 as of September 30, 2021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537</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177"/>
        </w:trPr>
        <w:tc>
          <w:tcPr>
            <w:tcW w:w="6700" w:type="dxa"/>
            <w:vAlign w:val="bottom"/>
          </w:tcPr>
          <w:p>
            <w:pPr>
              <w:ind w:left="480"/>
              <w:spacing w:after="0" w:line="178"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341,913</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399,439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403,312</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384,246</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327,798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326,781</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(51,710)</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(58,551)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(58,415)</w:t>
            </w:r>
          </w:p>
        </w:tc>
      </w:tr>
      <w:tr>
        <w:trPr>
          <w:trHeight w:val="209"/>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675,016</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669,244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672,238</w:t>
            </w:r>
          </w:p>
        </w:tc>
      </w:tr>
      <w:tr>
        <w:trPr>
          <w:trHeight w:val="22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1,299,996</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1,196,253</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1,266,911</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3"/>
          </w:tcPr>
          <w:p>
            <w:pPr>
              <w:jc w:val="right"/>
              <w:ind w:right="779"/>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5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34"/>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133,556</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115,225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271,276</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223,008</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5,690</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12,634</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12,834</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76,683</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63,436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152,708</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126,925</w:t>
            </w: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 net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358</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09"/>
        </w:trPr>
        <w:tc>
          <w:tcPr>
            <w:tcW w:w="52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215,982</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184,939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436,976</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363,074</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82,246</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165,357</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130,333</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4,808</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10,580</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10,603</w:t>
            </w:r>
          </w:p>
        </w:tc>
      </w:tr>
      <w:tr>
        <w:trPr>
          <w:trHeight w:val="213"/>
        </w:trPr>
        <w:tc>
          <w:tcPr>
            <w:tcW w:w="5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128,928</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261,039</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222,138</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85,743</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172,514</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160,458</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12,227</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27,772</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26,281</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7,450</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15,024</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15,661</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(697)</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(692)</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6"/>
        </w:trPr>
        <w:tc>
          <w:tcPr>
            <w:tcW w:w="5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104,723</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103,121</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214,618</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202,490</w:t>
            </w:r>
          </w:p>
        </w:tc>
      </w:tr>
      <w:tr>
        <w:trPr>
          <w:trHeight w:val="209"/>
        </w:trPr>
        <w:tc>
          <w:tcPr>
            <w:tcW w:w="52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24,205</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10,627</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46,421</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19,648</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2,527</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4,958</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10,973</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(1,406)</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loss (income) of unconsolidated affiliates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1,439</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301</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371</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251</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20,123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41,470</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12,301</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5,236</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10,862</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w:t>
            </w: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14,887</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30,608</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9,629</w:t>
            </w:r>
          </w:p>
        </w:tc>
      </w:tr>
      <w:tr>
        <w:trPr>
          <w:trHeight w:val="203"/>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0.26</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0.54</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0.20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0.42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219"/>
        </w:trPr>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56,561</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56,370</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55,509</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82,407</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82,270</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55,511</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5,330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 net of tax</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359"/>
              <w:spacing w:after="0"/>
              <w:rPr>
                <w:sz w:val="20"/>
                <w:szCs w:val="20"/>
                <w:color w:val="auto"/>
              </w:rPr>
            </w:pPr>
            <w:r>
              <w:rPr>
                <w:rFonts w:ascii="Arial" w:cs="Arial" w:eastAsia="Arial" w:hAnsi="Arial"/>
                <w:sz w:val="16"/>
                <w:szCs w:val="16"/>
                <w:color w:val="auto"/>
              </w:rPr>
              <w:t>(1,760)</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9,517</w:t>
            </w: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18,553</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rPr>
              <w:t>3,570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37,313</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19,146</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except for balances as of September 30, 2021 and September 30,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6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74"/>
        </w:trPr>
        <w:tc>
          <w:tcPr>
            <w:tcW w:w="4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6"/>
                <w:szCs w:val="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6"/>
                <w:szCs w:val="6"/>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6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672,238</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Cumulative effect of adoption of ASU 2020-06 (Note 1)</w:t>
            </w:r>
          </w:p>
        </w:tc>
        <w:tc>
          <w:tcPr>
            <w:tcW w:w="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(37,406)</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Foreign currency translation gain</w:t>
            </w:r>
          </w:p>
        </w:tc>
        <w:tc>
          <w:tcPr>
            <w:tcW w:w="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15,721</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2021</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56,314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339,955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369,359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(55,376)</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654,501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Transfer of consideration for other investment</w:t>
            </w:r>
          </w:p>
        </w:tc>
        <w:tc>
          <w:tcPr>
            <w:tcW w:w="880" w:type="dxa"/>
            <w:vAlign w:val="bottom"/>
            <w:gridSpan w:val="2"/>
          </w:tcPr>
          <w:p>
            <w:pPr>
              <w:jc w:val="right"/>
              <w:ind w:right="61"/>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Foreign currency translation gain</w:t>
            </w:r>
          </w:p>
        </w:tc>
        <w:tc>
          <w:tcPr>
            <w:tcW w:w="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3,666</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14,887</w:t>
            </w:r>
          </w:p>
        </w:tc>
        <w:tc>
          <w:tcPr>
            <w:tcW w:w="0" w:type="dxa"/>
            <w:vAlign w:val="bottom"/>
          </w:tcPr>
          <w:p>
            <w:pPr>
              <w:spacing w:after="0"/>
              <w:rPr>
                <w:sz w:val="1"/>
                <w:szCs w:val="1"/>
                <w:color w:val="auto"/>
              </w:rPr>
            </w:pPr>
          </w:p>
        </w:tc>
      </w:tr>
      <w:tr>
        <w:trPr>
          <w:trHeight w:val="22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2022</w:t>
            </w:r>
          </w:p>
        </w:tc>
        <w:tc>
          <w:tcPr>
            <w:tcW w:w="8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56,656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341,913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384,246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(51,710)</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675,016</w:t>
            </w: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9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75"/>
        </w:trPr>
        <w:tc>
          <w:tcPr>
            <w:tcW w:w="4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6"/>
                <w:szCs w:val="6"/>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6"/>
                <w:szCs w:val="6"/>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649,127</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2020</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55,599</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398,269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(56,791)</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664,502</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consideration for prior period acquisition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Foreign currency translation loss</w:t>
            </w:r>
          </w:p>
        </w:tc>
        <w:tc>
          <w:tcPr>
            <w:tcW w:w="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0" w:type="dxa"/>
            <w:vAlign w:val="bottom"/>
          </w:tcPr>
          <w:p>
            <w:pPr>
              <w:spacing w:after="0"/>
              <w:rPr>
                <w:sz w:val="1"/>
                <w:szCs w:val="1"/>
                <w:color w:val="auto"/>
              </w:rPr>
            </w:pPr>
          </w:p>
        </w:tc>
      </w:tr>
      <w:tr>
        <w:trPr>
          <w:trHeight w:val="22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2021</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55,844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399,439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327,798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(58,551)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669,244</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30,608</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9,629</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15,024</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15,661</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698</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6,754</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25,746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23,835</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(5,265)</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2,158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1,618</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net loss (income) of unconsolidated affiliates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(2,779)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6,481</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(50,258)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(43,436)</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2,342</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6,576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2,573</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1,660</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30,575</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18,721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(329,459)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(269,468)</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199,836</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177,888</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129,311</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109,019</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(10,498)</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(8,359)</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Issuance of note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unconsolidated affiliates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(16,500)</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(31,887)</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Payments on assumed debt and other borrowings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r>
      <w:tr>
        <w:trPr>
          <w:trHeight w:val="213"/>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2,157</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31,091</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263,624</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312,553</w:t>
            </w:r>
          </w:p>
        </w:tc>
      </w:tr>
      <w:tr>
        <w:trPr>
          <w:trHeight w:val="22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263,677</w:t>
            </w:r>
          </w:p>
        </w:tc>
        <w:tc>
          <w:tcPr>
            <w:tcW w:w="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343,644</w:t>
            </w:r>
          </w:p>
        </w:tc>
      </w:tr>
      <w:tr>
        <w:trPr>
          <w:trHeight w:val="40"/>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254,964</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335,638</w:t>
            </w:r>
          </w:p>
        </w:tc>
      </w:tr>
      <w:tr>
        <w:trPr>
          <w:trHeight w:val="216"/>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8,713</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8,006</w:t>
            </w:r>
          </w:p>
        </w:tc>
      </w:tr>
      <w:tr>
        <w:trPr>
          <w:trHeight w:val="26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263,677</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343,644</w:t>
            </w:r>
          </w:p>
        </w:tc>
      </w:tr>
      <w:tr>
        <w:trPr>
          <w:trHeight w:val="213"/>
        </w:trPr>
        <w:tc>
          <w:tcPr>
            <w:tcW w:w="8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134,562</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99,285</w:t>
            </w:r>
          </w:p>
        </w:tc>
      </w:tr>
      <w:tr>
        <w:trPr>
          <w:trHeight w:val="210"/>
        </w:trPr>
        <w:tc>
          <w:tcPr>
            <w:tcW w:w="8240" w:type="dxa"/>
            <w:vAlign w:val="bottom"/>
          </w:tcPr>
          <w:p>
            <w:pPr>
              <w:ind w:left="220"/>
              <w:spacing w:after="0"/>
              <w:rPr>
                <w:sz w:val="20"/>
                <w:szCs w:val="20"/>
                <w:color w:val="auto"/>
              </w:rPr>
            </w:pPr>
            <w:r>
              <w:rPr>
                <w:rFonts w:ascii="Arial" w:cs="Arial" w:eastAsia="Arial" w:hAnsi="Arial"/>
                <w:sz w:val="16"/>
                <w:szCs w:val="16"/>
                <w:color w:val="auto"/>
              </w:rPr>
              <w:t>Transfer of consideration for other investment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1,500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497F"/>
        </w:rPr>
        <w:t>Notes to Interim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8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EZCORP, Inc. (collectively with its subsidiaries, the “Company,” “we,” “us,” or “our”) is a leading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8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spacing w:after="0" w:line="150" w:lineRule="exact"/>
        <w:rPr>
          <w:sz w:val="20"/>
          <w:szCs w:val="20"/>
          <w:color w:val="auto"/>
        </w:rPr>
      </w:pPr>
    </w:p>
    <w:p>
      <w:pPr>
        <w:jc w:val="both"/>
        <w:ind w:right="1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our </w:t>
      </w:r>
      <w:hyperlink r:id="rId21">
        <w:r>
          <w:rPr>
            <w:rFonts w:ascii="Arial" w:cs="Arial" w:eastAsia="Arial" w:hAnsi="Arial"/>
            <w:sz w:val="18"/>
            <w:szCs w:val="18"/>
            <w:color w:val="auto"/>
          </w:rPr>
          <w:t xml:space="preserve">Annual Report on Form 10-K for the year ended September 30, </w:t>
        </w:r>
      </w:hyperlink>
      <w:r>
        <w:rPr>
          <w:rFonts w:ascii="Arial" w:cs="Arial" w:eastAsia="Arial" w:hAnsi="Arial"/>
          <w:sz w:val="18"/>
          <w:szCs w:val="18"/>
          <w:color w:val="auto"/>
        </w:rPr>
        <w:t>2021, filed with the Securities and Exchange Commission ("SEC") on November 17, 2021 (“2021 Annual Report”).</w:t>
      </w:r>
    </w:p>
    <w:p>
      <w:pPr>
        <w:spacing w:after="0" w:line="148"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In the opinion of management, the accompanying Condensed Consolidated Financial Statements include all adjustments, consisting of normal recurring adjustments, considered necessary for a fair presentation. Financial results for the three and six-month period ended March 31, 2022, are not necessarily indicative of results that may be expected for the fiscal year ending September 30, 2022.</w:t>
      </w:r>
    </w:p>
    <w:p>
      <w:pPr>
        <w:spacing w:after="0" w:line="148"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Our business is subject to seasonal variations, and operating results for the three and six months ended March 31, 2022 and 2021 (the "current quarter" and "prior-year quarter," respectively) are not necessarily indicative of the results of operations for the full fiscal year. There </w:t>
      </w:r>
      <w:hyperlink r:id="rId21">
        <w:r>
          <w:rPr>
            <w:rFonts w:ascii="Arial" w:cs="Arial" w:eastAsia="Arial" w:hAnsi="Arial"/>
            <w:sz w:val="18"/>
            <w:szCs w:val="18"/>
            <w:color w:val="auto"/>
          </w:rPr>
          <w:t>have been no changes that have had a material impact in significant accounting policies as described in our Annual Report on Form 10-K for</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the year ended September 30, 2021 except for as disclosed below related to the adoption of Accounting Standards Update ("ASU") 2020-06.</w:t>
        </w:r>
      </w:hyperlink>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Actual results may result in actual amounts differing from reported amounts.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COVID-19 pandemic continues to affect the U.S. and global economies, as disclosed in our 2021 Annual Report on Form 10-K. The full extent and duration of the COVID-19 impact on the global economy generally, and on our business specifically, is currently unknown. The impact of the pandemic, and the recovery therefrom, continued to adversely affect net revenues and earnings into fiscal 2021. During the latter part of fiscal 2021, we saw pawn transaction activity continue to rebuild, driving pawn loans outstanding ("PLO") balances closer to pre-pandemic levels, which will drive accelerating pawn service charges ("PSC") revenue in the coming quarters given the natural lag between pawn originations and related fees. We continue to assess what type of impact various COVID-19 variants may have to our business net revenues and operating expenses in fiscal year 2022. A prolonged pandemic and recovery may have an adverse effect on our results of operations, financial position and cash flows. Our estimates, judgments and assumptions related to COVID-19 could ultimately differ over time.</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August 2020, the Financial Accounting Standards Board ("FASB") issued its ASU 2020-06, </w:t>
      </w:r>
      <w:r>
        <w:rPr>
          <w:rFonts w:ascii="Arial" w:cs="Arial" w:eastAsia="Arial" w:hAnsi="Arial"/>
          <w:sz w:val="18"/>
          <w:szCs w:val="18"/>
          <w:i w:val="1"/>
          <w:iCs w:val="1"/>
          <w:color w:val="auto"/>
        </w:rPr>
        <w:t>Debt – Debt with Conversion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Options (Subtopic 470-20) and Derivatives and Hedging – Contracts in Entity’s Own Equity (Subtopic 815 – 40)</w:t>
      </w:r>
      <w:r>
        <w:rPr>
          <w:rFonts w:ascii="Arial" w:cs="Arial" w:eastAsia="Arial" w:hAnsi="Arial"/>
          <w:sz w:val="18"/>
          <w:szCs w:val="18"/>
          <w:color w:val="auto"/>
        </w:rPr>
        <w:t>, (“ASU 2020-06”). 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2020-06 simplifies the accounting for certain financial instruments with characteristics of liabilities and equity, including convertible instruments and contracts on an entity’s own equity. Additionally, ASU 2020-06 eliminates beneficial conversion feature and cash conversion models resulting in more convertible instruments being accounted for as a single unit. The ASU 2020-06 amendments are effective for fiscal years beginning after December 15, 2021, and interim periods within those fiscal years. Early adoption is permitted, but no earlier than fiscal years beginning after December 15, 2020, including interim periods within those fiscal years. We early adopted this standard on October 1, 2021 under the modified retrospective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Adoption of ASU 2020-06</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October 1, 2021, we early adopted ASU 2020-06 on a modified retrospective basis. Under ASU 2020-06, we no longer separate the convertible senior notes into liability and equity components. We recognized the cumulative effect of initially applying this new standard as of October 1, 2021. We recognized a cumulative effect of initially applying the ASU as an adjustment to the October 1, 2021 opening balance of retained earnings. The conversion option that was previously accounted for in equity under the cash conversion model was recombined into the convertible debt outstanding, and as a result, additional paid in capital and the related unamortized debt discount on the convertible senior notes were reduced. The removal of the remaining debt discounts recorded for this previous separation has the effect of increasing our net debt balance. The prior period consolidated financial statements have not been retrospectively adjusted and continue to be reported under the accounting standards in effect for those periods.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251"/>
              <w:spacing w:after="0" w:line="175" w:lineRule="exact"/>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6"/>
                <w:szCs w:val="16"/>
                <w:b w:val="1"/>
                <w:bCs w:val="1"/>
                <w:color w:val="auto"/>
              </w:rPr>
              <w:t>Adjustments</w:t>
            </w:r>
          </w:p>
        </w:tc>
        <w:tc>
          <w:tcPr>
            <w:tcW w:w="140" w:type="dxa"/>
            <w:vAlign w:val="bottom"/>
            <w:vMerge w:val="restart"/>
          </w:tcPr>
          <w:p>
            <w:pPr>
              <w:spacing w:after="0"/>
              <w:rPr>
                <w:sz w:val="15"/>
                <w:szCs w:val="15"/>
                <w:color w:val="auto"/>
              </w:rPr>
            </w:pPr>
          </w:p>
        </w:tc>
        <w:tc>
          <w:tcPr>
            <w:tcW w:w="164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Under ASU 2020-06</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October 1, 2021</w:t>
            </w:r>
          </w:p>
        </w:tc>
        <w:tc>
          <w:tcPr>
            <w:tcW w:w="0" w:type="dxa"/>
            <w:vAlign w:val="bottom"/>
          </w:tcPr>
          <w:p>
            <w:pPr>
              <w:spacing w:after="0"/>
              <w:rPr>
                <w:sz w:val="1"/>
                <w:szCs w:val="1"/>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316,250</w:t>
            </w:r>
          </w:p>
        </w:tc>
        <w:tc>
          <w:tcPr>
            <w:tcW w:w="0" w:type="dxa"/>
            <w:vAlign w:val="bottom"/>
          </w:tcPr>
          <w:p>
            <w:pPr>
              <w:spacing w:after="0"/>
              <w:rPr>
                <w:sz w:val="1"/>
                <w:szCs w:val="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(48,785)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48,785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 net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264,186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47,285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311,471</w:t>
            </w:r>
          </w:p>
        </w:tc>
        <w:tc>
          <w:tcPr>
            <w:tcW w:w="0" w:type="dxa"/>
            <w:vAlign w:val="bottom"/>
          </w:tcPr>
          <w:p>
            <w:pPr>
              <w:spacing w:after="0"/>
              <w:rPr>
                <w:sz w:val="1"/>
                <w:szCs w:val="1"/>
                <w:color w:val="auto"/>
              </w:rPr>
            </w:pPr>
          </w:p>
        </w:tc>
      </w:tr>
      <w:tr>
        <w:trPr>
          <w:trHeight w:val="277"/>
        </w:trPr>
        <w:tc>
          <w:tcPr>
            <w:tcW w:w="6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9,746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5,839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403,312</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339,049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326,781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353,638</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impact of adoption on our condensed consolidated statements of operations for the three and six months ended March 31, 2022 was primarily to decrease interest expense by $3.4 million and $6.8 million, respectively. This had the effect of increasing our basic earnings per share for the three and six months ended March 31, 2022 by $0.05 and $0.09, and decreasing our diluted earnings per common share for the three and six months ended March 31, 2022 by $0.01 and $0.03, respectively. Additionally, adoption of the standard requires interest charges on the convertible debt to be added to net income as well as the use of the “if-converted” method to calculate diluted earnings per common share. Refer to Note 4: Earnings Per Share for a discussion of the effect of the convertible notes on diluted earnings per common share.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reviewed all recently issued accounting pronouncements and concluded that they were either not applicable or not expected to have a material impact on our Condensed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ACQUISITIONS</w:t>
      </w:r>
    </w:p>
    <w:p>
      <w:pPr>
        <w:spacing w:after="0" w:line="201"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On June 8, 2021, we completed the acquisition of 100% of the common shares of PLO del Bajio S. de R.L. de C.V. (“Bajio”) and gained control of the entity, further expanding our geographic footprint within Mexico with the addition of 128 pawn stores. These stores operate under the name "Cash Apoyo Efectivo" and are located principally in the Mexico City metropolitan area.</w:t>
      </w:r>
    </w:p>
    <w:p>
      <w:pPr>
        <w:spacing w:after="0" w:line="148"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At the time of acquisition, the total consideration for Bajio was $23.6 million, consisting of $17.4 million of cash, and 212,870 shares of our Class A Non-Voting Common Stock valued at $1.6 million. In addition, the sellers are entitled to additional payments of up to $4.6 million to be paid in two payments over the next two years, contingent on the growth of the loan portfolios of the acquired stores. Up to 50% of any</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future contingent payments can be made in shares of our Class A Non-Voting Common Stock at our discretion. The value of the contingent consideration was included in the total consideration as the metrics were considered achievable on the date of acquisition. Cash paid at closing was $11.6 million and an additional $3.8 million was paid during the fourth quarter of 2021.</w:t>
      </w:r>
    </w:p>
    <w:p>
      <w:pPr>
        <w:spacing w:after="0" w:line="14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During the first quarter of 2022, both parties completed the formal working capital reconciliation stipulated within the purchase agreement. As part of the working capital reconciliation, the Company and the seller agreed to reduce the purchase price, which was held in restricted cash as of September 30, 2021, by $1.3 million. As the working capital adjustment was recorded as of September 30, 2021, this reduction to the purchase price is a measurement period adjustment, and resulted in a $1.3 million reduction to goodwill during the period ended December 31, 2021. This reduced the total consideration for Bajio to $22.3 million. As the future payments decreased, we released</w:t>
      </w:r>
    </w:p>
    <w:p>
      <w:pPr>
        <w:spacing w:after="0" w:line="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$1.3 million of the previously held $2.0 million in restricted cash to our unrestricted cash. Of the remaining $0.7 million in restricted cash, $0.3 million is expected to be paid prior to June 30, 2022, and $0.4 million is expected to be paid on or around the fifth anniversary of the date of acquisition. During the second quarter of 2022, we obtained new information about the seller's calculation of pawn service charges receivable balance as of the date of acquisition, which resulted in a $0.6 million measurement period adjustment to reduce pawn service charges receivable and increase goodwill.</w:t>
      </w:r>
    </w:p>
    <w:p>
      <w:pPr>
        <w:spacing w:after="0" w:line="15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assets acquired and liabilities assumed are based upon the estimated fair values at the date of acquisition. The excess purchase price over the estimated fair market value of the new assets acquired has been recorded as goodwill.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Pawn loans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4,619</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Pawn service charges receivable</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10,651</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25,422</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3,965</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Debt</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(14,931)</w:t>
            </w:r>
          </w:p>
        </w:tc>
      </w:tr>
      <w:tr>
        <w:trPr>
          <w:trHeight w:val="216"/>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3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(10,651)</w:t>
            </w:r>
          </w:p>
        </w:tc>
      </w:tr>
      <w:tr>
        <w:trPr>
          <w:trHeight w:val="210"/>
        </w:trPr>
        <w:tc>
          <w:tcPr>
            <w:tcW w:w="6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consideration</w:t>
            </w:r>
          </w:p>
        </w:tc>
        <w:tc>
          <w:tcPr>
            <w:tcW w:w="3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indefinite-lived trade names.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GOODWILL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and in total: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rPr>
              <w:t>Six Months Ended March 31, 2022</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5"/>
        </w:trPr>
        <w:tc>
          <w:tcPr>
            <w:tcW w:w="60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244,471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285,758</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Measurement period adjustments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(678)</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244,471</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286,214</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Six Months Ended March 31, 2021</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5"/>
        </w:trPr>
        <w:tc>
          <w:tcPr>
            <w:tcW w:w="606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257,582</w:t>
            </w: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r>
      <w:tr>
        <w:trPr>
          <w:trHeight w:val="21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March 31, 2021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241,928</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16,271</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258,199</w:t>
            </w: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EARNINGS PER SHARE</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360"/>
              <w:spacing w:after="0" w:line="171" w:lineRule="exact"/>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699"/>
              <w:spacing w:after="0" w:line="171" w:lineRule="exact"/>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14,887</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30,608</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9,629</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56,561</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55,661</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56,370</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55,509</w:t>
            </w: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r>
      <w:tr>
        <w:trPr>
          <w:trHeight w:val="203"/>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 basic</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Convertible Notes interest expense, net of tax</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16,733</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34,338</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9,629</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56,561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55,661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56,370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55,509</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dilution from equity-based compensation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dilution from if-converted Convertible Notes**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25,224</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25,224</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tcBorders>
              <w:bottom w:val="single" w:sz="8" w:color="929292"/>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diluted</w:t>
            </w:r>
          </w:p>
        </w:tc>
        <w:tc>
          <w:tcPr>
            <w:tcW w:w="320" w:type="dxa"/>
            <w:vAlign w:val="bottom"/>
            <w:tcBorders>
              <w:bottom w:val="single" w:sz="8" w:color="929292"/>
            </w:tcBorders>
            <w:shd w:val="clear" w:color="auto" w:fill="CCEEFF"/>
          </w:tcPr>
          <w:p>
            <w:pPr>
              <w:spacing w:after="0"/>
              <w:rPr>
                <w:sz w:val="18"/>
                <w:szCs w:val="18"/>
                <w:color w:val="auto"/>
              </w:rPr>
            </w:pPr>
          </w:p>
        </w:tc>
        <w:tc>
          <w:tcPr>
            <w:tcW w:w="110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82,407</w:t>
            </w:r>
          </w:p>
        </w:tc>
        <w:tc>
          <w:tcPr>
            <w:tcW w:w="120" w:type="dxa"/>
            <w:vAlign w:val="bottom"/>
            <w:tcBorders>
              <w:bottom w:val="single" w:sz="8" w:color="929292"/>
            </w:tcBorders>
            <w:shd w:val="clear" w:color="auto" w:fill="CCEEFF"/>
          </w:tcPr>
          <w:p>
            <w:pPr>
              <w:spacing w:after="0"/>
              <w:rPr>
                <w:sz w:val="18"/>
                <w:szCs w:val="18"/>
                <w:color w:val="auto"/>
              </w:rPr>
            </w:pPr>
          </w:p>
        </w:tc>
        <w:tc>
          <w:tcPr>
            <w:tcW w:w="420" w:type="dxa"/>
            <w:vAlign w:val="bottom"/>
            <w:tcBorders>
              <w:bottom w:val="single" w:sz="8" w:color="929292"/>
            </w:tcBorders>
            <w:shd w:val="clear" w:color="auto" w:fill="CCEEFF"/>
          </w:tcPr>
          <w:p>
            <w:pPr>
              <w:spacing w:after="0"/>
              <w:rPr>
                <w:sz w:val="18"/>
                <w:szCs w:val="18"/>
                <w:color w:val="auto"/>
              </w:rPr>
            </w:pPr>
          </w:p>
        </w:tc>
        <w:tc>
          <w:tcPr>
            <w:tcW w:w="100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55,665</w:t>
            </w:r>
          </w:p>
        </w:tc>
        <w:tc>
          <w:tcPr>
            <w:tcW w:w="100" w:type="dxa"/>
            <w:vAlign w:val="bottom"/>
            <w:tcBorders>
              <w:bottom w:val="single" w:sz="8" w:color="929292"/>
            </w:tcBorders>
            <w:shd w:val="clear" w:color="auto" w:fill="CCEEFF"/>
          </w:tcPr>
          <w:p>
            <w:pPr>
              <w:spacing w:after="0"/>
              <w:rPr>
                <w:sz w:val="18"/>
                <w:szCs w:val="18"/>
                <w:color w:val="auto"/>
              </w:rPr>
            </w:pPr>
          </w:p>
        </w:tc>
        <w:tc>
          <w:tcPr>
            <w:tcW w:w="340" w:type="dxa"/>
            <w:vAlign w:val="bottom"/>
            <w:tcBorders>
              <w:bottom w:val="single" w:sz="8" w:color="929292"/>
            </w:tcBorders>
            <w:shd w:val="clear" w:color="auto" w:fill="CCEEFF"/>
          </w:tcPr>
          <w:p>
            <w:pPr>
              <w:spacing w:after="0"/>
              <w:rPr>
                <w:sz w:val="18"/>
                <w:szCs w:val="18"/>
                <w:color w:val="auto"/>
              </w:rPr>
            </w:pPr>
          </w:p>
        </w:tc>
        <w:tc>
          <w:tcPr>
            <w:tcW w:w="110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82,270</w:t>
            </w:r>
          </w:p>
        </w:tc>
        <w:tc>
          <w:tcPr>
            <w:tcW w:w="100" w:type="dxa"/>
            <w:vAlign w:val="bottom"/>
            <w:tcBorders>
              <w:bottom w:val="single" w:sz="8" w:color="929292"/>
            </w:tcBorders>
            <w:shd w:val="clear" w:color="auto" w:fill="CCEEFF"/>
          </w:tcPr>
          <w:p>
            <w:pPr>
              <w:spacing w:after="0"/>
              <w:rPr>
                <w:sz w:val="18"/>
                <w:szCs w:val="18"/>
                <w:color w:val="auto"/>
              </w:rPr>
            </w:pPr>
          </w:p>
        </w:tc>
        <w:tc>
          <w:tcPr>
            <w:tcW w:w="440" w:type="dxa"/>
            <w:vAlign w:val="bottom"/>
            <w:tcBorders>
              <w:bottom w:val="single" w:sz="8" w:color="929292"/>
            </w:tcBorders>
            <w:shd w:val="clear" w:color="auto" w:fill="CCEEFF"/>
          </w:tcPr>
          <w:p>
            <w:pPr>
              <w:spacing w:after="0"/>
              <w:rPr>
                <w:sz w:val="18"/>
                <w:szCs w:val="18"/>
                <w:color w:val="auto"/>
              </w:rPr>
            </w:pPr>
          </w:p>
        </w:tc>
        <w:tc>
          <w:tcPr>
            <w:tcW w:w="100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55,511</w:t>
            </w: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r>
      <w:tr>
        <w:trPr>
          <w:trHeight w:val="95"/>
        </w:trPr>
        <w:tc>
          <w:tcPr>
            <w:tcW w:w="5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r>
      <w:tr>
        <w:trPr>
          <w:trHeight w:val="177"/>
        </w:trPr>
        <w:tc>
          <w:tcPr>
            <w:tcW w:w="5200" w:type="dxa"/>
            <w:vAlign w:val="bottom"/>
          </w:tcPr>
          <w:p>
            <w:pPr>
              <w:ind w:left="20"/>
              <w:spacing w:after="0" w:line="178" w:lineRule="exact"/>
              <w:rPr>
                <w:sz w:val="20"/>
                <w:szCs w:val="20"/>
                <w:color w:val="auto"/>
              </w:rPr>
            </w:pPr>
            <w:r>
              <w:rPr>
                <w:rFonts w:ascii="Arial" w:cs="Arial" w:eastAsia="Arial" w:hAnsi="Arial"/>
                <w:sz w:val="16"/>
                <w:szCs w:val="16"/>
                <w:color w:val="auto"/>
              </w:rPr>
              <w:t>Potential common shares excluded from the calculation of diluted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5200" w:type="dxa"/>
            <w:vAlign w:val="bottom"/>
          </w:tcPr>
          <w:p>
            <w:pPr>
              <w:ind w:left="20"/>
              <w:spacing w:after="0"/>
              <w:rPr>
                <w:sz w:val="20"/>
                <w:szCs w:val="20"/>
                <w:color w:val="auto"/>
              </w:rPr>
            </w:pPr>
            <w:r>
              <w:rPr>
                <w:rFonts w:ascii="Arial" w:cs="Arial" w:eastAsia="Arial" w:hAnsi="Arial"/>
                <w:sz w:val="16"/>
                <w:szCs w:val="16"/>
                <w:color w:val="auto"/>
              </w:rPr>
              <w:t>earnings per share above: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r>
    </w:tbl>
    <w:p>
      <w:pPr>
        <w:spacing w:after="0" w:line="9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 based awards for which targets for fiscal year tranches have been achieved and vesting is subject only to</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achievement of service conditions.</w:t>
      </w:r>
    </w:p>
    <w:p>
      <w:pPr>
        <w:spacing w:after="0" w:line="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8: Debt for conversion price and initial conversion rate of the 2024 Convertible Notes and 2025 Convertible Notes.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our adoption of ASU 2020-06 on October 1, 2021, the dilutive impact of the Convertible Notes for our calculation of diluted net income per share is considered using the if-converted method. During the three months and six months ended March 31, 2022, we increased net income by $1.8 million and $3.7 million respectively to arrive at the numerator used to calculate diluted earnings per common share, which represents interest expense recognized on the convertible notes that were subject to this change in methodology. For periods prior to our October 1, 2021 adoption of ASU 2020-06, we applied the treasury stock method to account for the dilutive impact of the 2024 and 2025 Convertible Notes for diluted earnings per share purposes.</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LEASES</w:t>
      </w:r>
    </w:p>
    <w:p>
      <w:pPr>
        <w:spacing w:after="0" w:line="20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w:t>
      </w:r>
    </w:p>
    <w:p>
      <w:pPr>
        <w:spacing w:after="0" w:line="144"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The information below provides a summary of our leasing activities. See Note 12: Leases in our 2021 Annual Report for additional information about our leasing activities. The table below presents balances of our operating leases: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5"/>
        </w:trPr>
        <w:tc>
          <w:tcPr>
            <w:tcW w:w="67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Right-of-use asset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204,343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170,479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200,990</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52,263</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liability, non-current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163,506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138,622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161,330</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215,952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179,682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composition of our lease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29,815</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3,834</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7,376</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4,243</w:t>
            </w:r>
          </w:p>
        </w:tc>
      </w:tr>
      <w:tr>
        <w:trPr>
          <w:trHeight w:val="220"/>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20,623</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16,680</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40,527</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34,058</w:t>
            </w:r>
          </w:p>
        </w:tc>
      </w:tr>
    </w:tbl>
    <w:p>
      <w:pPr>
        <w:spacing w:after="0" w:line="1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Includes a reduction for sublease rental income.</w:t>
      </w:r>
    </w:p>
    <w:p>
      <w:pPr>
        <w:spacing w:after="0" w:line="10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and "General and Administrative" expense, based on the underlying lease use.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includes the following for our operating leases:</w:t>
      </w:r>
    </w:p>
    <w:p>
      <w:pPr>
        <w:spacing w:after="0" w:line="3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Six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34"/>
        </w:trPr>
        <w:tc>
          <w:tcPr>
            <w:tcW w:w="8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6"/>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Weighted-average remaining contractual lease term </w:t>
            </w:r>
            <w:r>
              <w:rPr>
                <w:rFonts w:ascii="Arial" w:cs="Arial" w:eastAsia="Arial" w:hAnsi="Arial"/>
                <w:sz w:val="16"/>
                <w:szCs w:val="16"/>
                <w:i w:val="1"/>
                <w:iCs w:val="1"/>
                <w:color w:val="auto"/>
              </w:rPr>
              <w:t>(years)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10"/>
        </w:trPr>
        <w:tc>
          <w:tcPr>
            <w:tcW w:w="9040" w:type="dxa"/>
            <w:vAlign w:val="bottom"/>
            <w:gridSpan w:val="2"/>
          </w:tcPr>
          <w:p>
            <w:pPr>
              <w:ind w:left="20"/>
              <w:spacing w:after="0"/>
              <w:rPr>
                <w:sz w:val="20"/>
                <w:szCs w:val="20"/>
                <w:color w:val="auto"/>
              </w:rPr>
            </w:pPr>
            <w:r>
              <w:rPr>
                <w:rFonts w:ascii="Arial" w:cs="Arial" w:eastAsia="Arial" w:hAnsi="Arial"/>
                <w:sz w:val="16"/>
                <w:szCs w:val="16"/>
                <w:color w:val="auto"/>
              </w:rPr>
              <w:t>Weighted-average incremental borrowing rate</w:t>
            </w:r>
          </w:p>
        </w:tc>
        <w:tc>
          <w:tcPr>
            <w:tcW w:w="560" w:type="dxa"/>
            <w:vAlign w:val="bottom"/>
          </w:tcPr>
          <w:p>
            <w:pPr>
              <w:jc w:val="right"/>
              <w:spacing w:after="0"/>
              <w:rPr>
                <w:sz w:val="20"/>
                <w:szCs w:val="20"/>
                <w:color w:val="auto"/>
              </w:rPr>
            </w:pPr>
            <w:r>
              <w:rPr>
                <w:rFonts w:ascii="Arial" w:cs="Arial" w:eastAsia="Arial" w:hAnsi="Arial"/>
                <w:sz w:val="16"/>
                <w:szCs w:val="16"/>
                <w:color w:val="auto"/>
              </w:rPr>
              <w:t>8.27 %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7.88 %</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March 31, 2022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2022</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34,749</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62,161</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3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49,882</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39,081</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3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29,380</w:t>
            </w:r>
          </w:p>
        </w:tc>
      </w:tr>
      <w:tr>
        <w:trPr>
          <w:trHeight w:val="21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47,828</w:t>
            </w:r>
          </w:p>
        </w:tc>
      </w:tr>
      <w:tr>
        <w:trPr>
          <w:trHeight w:val="21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payments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263,081</w:t>
            </w:r>
          </w:p>
        </w:tc>
      </w:tr>
      <w:tr>
        <w:trPr>
          <w:trHeight w:val="213"/>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interest</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47,129</w:t>
            </w: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215,952</w:t>
            </w:r>
          </w:p>
        </w:tc>
      </w:tr>
      <w:tr>
        <w:trPr>
          <w:trHeight w:val="213"/>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Current portion</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52,446</w:t>
            </w:r>
          </w:p>
        </w:tc>
      </w:tr>
      <w:tr>
        <w:trPr>
          <w:trHeight w:val="220"/>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portion</w:t>
            </w:r>
          </w:p>
        </w:tc>
        <w:tc>
          <w:tcPr>
            <w:tcW w:w="38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163,506</w:t>
            </w:r>
          </w:p>
        </w:tc>
      </w:tr>
    </w:tbl>
    <w:p>
      <w:pPr>
        <w:spacing w:after="0" w:line="33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recorded $28.1 million and $6.6 million in non-cash additions to our right of use assets and lease liabilities for the six months ended March 31, 2022 and March 31, 2021,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STRATEGIC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2021, we purchased an additional 13 million shares of Cash Converters International Limited ("Cash Converters") for</w:t>
      </w:r>
    </w:p>
    <w:p>
      <w:pPr>
        <w:spacing w:after="0" w:line="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$2.5 million. This purchase increased our total ownership in Cash Converters to 236,702,991 shares, representing a 37.72% ownership interest. Additionally, on October 14, 2021, we received a cash dividend of $1.7 million from Cash Converters.</w:t>
      </w:r>
    </w:p>
    <w:p>
      <w:pPr>
        <w:spacing w:after="0" w:line="14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On March 10, 2022, we purchased an additional 5.5 million shares of Cash Converters for $1.0 million. This purchase increased our total ownership in Cash Converters to 242,239,157 shares, representing a 38.60% ownership interest.</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April 5, 2022 (subsequent to the end of the quarter), we acquired an additional 13 million shares for $2.5 million, bringing our total ownership to 255,239,157 shares, representing an ownership interest of 40.67%. Additionally, on April 14, 2022, we received a cash dividend of $1.8 million from Cash Converters. See Note 13: Subsequent Events.</w:t>
      </w:r>
    </w:p>
    <w:p>
      <w:pPr>
        <w:spacing w:after="0" w:line="14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tables present summary financial information for Cash Converters most recently reported results at December 31, 2021 after translation to U.S.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162,558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170,412</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185,780</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189,810</w:t>
            </w:r>
          </w:p>
        </w:tc>
      </w:tr>
      <w:tr>
        <w:trPr>
          <w:trHeight w:val="220"/>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348,338</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360,222</w:t>
            </w:r>
          </w:p>
        </w:tc>
      </w:tr>
      <w:tr>
        <w:trPr>
          <w:trHeight w:val="40"/>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59,962</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59,915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58,368</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228,722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241,892</w:t>
            </w:r>
          </w:p>
        </w:tc>
      </w:tr>
      <w:tr>
        <w:trPr>
          <w:trHeight w:val="220"/>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348,338</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360,222</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Half-Year Ended December 31,</w:t>
            </w: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71,153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55,280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51,231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212529"/>
        </w:rPr>
        <w:t>See Note 7: Fair Value Measurements for the fair value and carrying value of our investment in Cash Converters.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LLC</w:t>
      </w:r>
    </w:p>
    <w:p>
      <w:pPr>
        <w:spacing w:after="0" w:line="15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October 2021, we invested $15.0 million in exchange for a non-redeemable voting participating preferred equity interest in Founders One, LLC (“Founders”), a newly-formed entity with one other member. Founders used that $15.0 million to acquire an equity interest in Simple Management Group, Inc. (“SMG”), which owns and operates more than 20 pawn stores principally in the Caribbean region, with plans to build and acquire more stores in that region. The investment in Founders is a variable interest entity, but because the Company is not the primary beneficiary, we do not consolidate it. Further, as we are not the appointed manager, we do not have the ability to direct the activities of the investment entity that most significantly impact its economic performance. Consequently, our investment in Founders is accounted for utilizing the measurement alternative within ASC 321, Investments — Equity Securities. Our $15.0 million carrying value of the investment is included in “Other Investments” in our consolidated balance sheets. Our maximum exposure for losses in this investment is its contributed investment of $15.0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12529"/>
        </w:rPr>
        <w:t>See Note 7: Fair Value Measurements for the fair value and carrying value of our investment in Founders.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FAIR VALUE MEASUREMENTS</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5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Carrying Value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2022</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1,198</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6,973</w:t>
            </w: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Other investments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18,000</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2024 Convertible Notes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142,248</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141,594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141,594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Value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2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219"/>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7,597</w:t>
            </w: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136,836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143,175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3"/>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0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Due to the short-term nature of cash and cash equivalents, pawn loans, pawn service charges receivable and other debt, we estimate that the carrying value approximates fair value. We consider our cash and cash equivalents to be measured using Level 1 inputs and our pawn loans, pawn service charges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1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Included in “Accounts payable, accrued expenses and other current liabilities“ in our Consolidated Balance Sheets as of March 31, 2022 is $4.6 million which represents the fair value of acquisition-related contingent consideration as discussed in Note 2: Acquisitions. The key assumptions used to determine the fair value of acquisition-related contingent consideration are estimated by management, not observable in the market and, therefore considered Level 3 inputs within the fair value hierarchy.</w:t>
      </w:r>
    </w:p>
    <w:p>
      <w:pPr>
        <w:spacing w:after="0" w:line="150"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account. All principal and accrued interest is due and payable in April 2024. The fair value of the note approximated its carrying value as of March 31, 2022.</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5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We use the equity method of accounting to account for our 13.14% ownership in Rich Data Corporation ("RDC"), a previously consolidated variable interest entity for which we no longer have the power to direct the activities that most significantly affect its economic performance. We believe its fair value approximated carrying value although such fair value is highly variable and includes significant unobservable inputs.</w:t>
      </w:r>
    </w:p>
    <w:p>
      <w:pPr>
        <w:spacing w:after="0" w:line="1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Of the $18.0 million included in the table above, $15.0 million is related the investment in Founders. We believe the investment's fair value approximated it's carrying value although such fair value is highly variable and includes significant unobservable inputs.</w:t>
      </w:r>
    </w:p>
    <w:p>
      <w:pPr>
        <w:spacing w:after="0" w:line="14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4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September 2020, we received the final payment from AlphaCredit on the notes receivable related to the sale of Grupo Finmart and recorded the amount under “Restricted cash” in our consolidated balance sheet as of March 31, 2022. In August 2019, AlphaCredit notified us of an indemnity claim for certain pre-closing taxes, but the nature, extent and validity of such claim has yet to be determined.</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DEBT</w:t>
      </w:r>
    </w:p>
    <w:p>
      <w:pPr>
        <w:spacing w:after="0" w:line="20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Company adopted ASU 2020-06 on October 1, 2021. See Note 1: Organization And Summary Of Significant Accounting Policies for further discussion of this recently adopted accounting policy.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September 30, 2021</w:t>
            </w: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Discount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7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and</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and</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143,750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143,750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123,543</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169,920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172,500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136,836</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140,643</w:t>
            </w:r>
          </w:p>
        </w:tc>
        <w:tc>
          <w:tcPr>
            <w:tcW w:w="0" w:type="dxa"/>
            <w:vAlign w:val="bottom"/>
          </w:tcPr>
          <w:p>
            <w:pPr>
              <w:spacing w:after="0"/>
              <w:rPr>
                <w:sz w:val="1"/>
                <w:szCs w:val="1"/>
                <w:color w:val="auto"/>
              </w:rPr>
            </w:pPr>
          </w:p>
        </w:tc>
      </w:tr>
      <w:tr>
        <w:trPr>
          <w:trHeight w:val="219"/>
        </w:trPr>
        <w:tc>
          <w:tcPr>
            <w:tcW w:w="2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316,250</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(4,082)</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312,168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316,250</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(59,107)</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257,143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(52,064)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264,186</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March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6"/>
                <w:szCs w:val="16"/>
                <w:b w:val="1"/>
                <w:bCs w:val="1"/>
                <w:color w:val="auto"/>
              </w:rPr>
              <w:t>Schedule of Contractual Maturities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15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Less Than 1 Year</w:t>
            </w:r>
          </w:p>
        </w:tc>
        <w:tc>
          <w:tcPr>
            <w:tcW w:w="20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9"/>
              </w:rPr>
              <w:t>1 - 3 Years</w:t>
            </w:r>
          </w:p>
        </w:tc>
        <w:tc>
          <w:tcPr>
            <w:tcW w:w="22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3 - 5 Years</w:t>
            </w:r>
          </w:p>
        </w:tc>
        <w:tc>
          <w:tcPr>
            <w:tcW w:w="180" w:type="dxa"/>
            <w:vAlign w:val="bottom"/>
          </w:tcPr>
          <w:p>
            <w:pPr>
              <w:spacing w:after="0"/>
              <w:rPr>
                <w:sz w:val="13"/>
                <w:szCs w:val="13"/>
                <w:color w:val="auto"/>
              </w:rPr>
            </w:pPr>
          </w:p>
        </w:tc>
        <w:tc>
          <w:tcPr>
            <w:tcW w:w="126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5"/>
        </w:trPr>
        <w:tc>
          <w:tcPr>
            <w:tcW w:w="366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and six months ended March 31, 2022 and 2021:</w:t>
      </w: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360"/>
              <w:spacing w:after="0" w:line="171" w:lineRule="exact"/>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699"/>
              <w:spacing w:after="0" w:line="171" w:lineRule="exact"/>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2,066</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debt discount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2,891</w:t>
            </w:r>
          </w:p>
        </w:tc>
      </w:tr>
      <w:tr>
        <w:trPr>
          <w:trHeight w:val="219"/>
        </w:trPr>
        <w:tc>
          <w:tcPr>
            <w:tcW w:w="5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5,180</w:t>
            </w:r>
          </w:p>
        </w:tc>
      </w:tr>
      <w:tr>
        <w:trPr>
          <w:trHeight w:val="203"/>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2,048</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1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debt discount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w:t>
            </w:r>
          </w:p>
        </w:tc>
      </w:tr>
      <w:tr>
        <w:trPr>
          <w:trHeight w:val="220"/>
        </w:trPr>
        <w:tc>
          <w:tcPr>
            <w:tcW w:w="5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5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effective interest rate for the three and six months months ended March 31, 2022 was approximately 3.35%. As of March 31, 2022, the remaining unamortized debt issuance costs will be amortized using the effective interest method through the 2024 Maturity Date assuming no early conversion.</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2024 Convertible Notes are convertible based on an initial conversion rate of 100 shares of Class A Common Stock per $1,000 principal amount (equivalent to an initial conversion price of $ 10.00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w:t>
      </w:r>
    </w:p>
    <w:p>
      <w:pPr>
        <w:spacing w:after="0" w:line="15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spacing w:after="0" w:line="15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March 31, 2022. As of March 31, 2022, the if-converted value of the 2024 Convertible Notes did not exceed the principal amount.</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w:t>
      </w:r>
    </w:p>
    <w:p>
      <w:pPr>
        <w:spacing w:after="0" w:line="23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effective interest rate for the three and six months months ended March 31, 2022 was approximately 2.88% for the 2025 Convertible Notes. As of March 31, 2022, the remaining unamortized debt issuance costs will be amortized using the effective interest method through the 2025 Maturity Date assuming no early conversion.</w:t>
      </w:r>
    </w:p>
    <w:p>
      <w:pPr>
        <w:spacing w:after="0" w:line="23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23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We may not redeem the 2025 Convertible Notes prior to May 1, 2022. 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spacing w:after="0" w:line="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March 31, 2022. As of March 31, 2022, the if-converted value of the 2025 Convertible Notes did not exceed the principal amount.</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COMMON STOCK AND STOCK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December 2019, the Company's Board of Directors (the "Board") authorized the repurchase of up to $60.0 million of our Class A Common Stock over three years. During fiscal 2020, we repurchased and retired 943,149 shares of our Class A Common Stock for $5.2 million, which was allocated between "Additional paid-in capital" and "Retained earnings" in our condensed consolidated balance sheets. Repurchases under the program were suspended in March 2020 in order to preserve liquidity as a result of uncertainties related to the COVID-19 pandemic and no further share repurchases have been made since March of 2020.</w:t>
      </w:r>
    </w:p>
    <w:p>
      <w:pPr>
        <w:spacing w:after="0" w:line="15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On May 3, 2022, the Board approved a new share repurchase program, which will replace the previous program that was suspended in March 2020. Note 13: Subsequent Events.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The following table presents a summary of stock compensation activity: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5"/>
        </w:trPr>
        <w:tc>
          <w:tcPr>
            <w:tcW w:w="8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8480" w:type="dxa"/>
            <w:vAlign w:val="bottom"/>
          </w:tcPr>
          <w:p>
            <w:pPr>
              <w:spacing w:after="0"/>
              <w:rPr>
                <w:sz w:val="15"/>
                <w:szCs w:val="15"/>
                <w:color w:val="auto"/>
              </w:rPr>
            </w:pPr>
          </w:p>
        </w:tc>
        <w:tc>
          <w:tcPr>
            <w:tcW w:w="14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5"/>
                <w:szCs w:val="15"/>
                <w:color w:val="auto"/>
              </w:rPr>
            </w:pPr>
          </w:p>
        </w:tc>
        <w:tc>
          <w:tcPr>
            <w:tcW w:w="11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29"/>
        </w:trPr>
        <w:tc>
          <w:tcPr>
            <w:tcW w:w="84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1,362,750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Released </w:t>
            </w:r>
            <w:r>
              <w:rPr>
                <w:rFonts w:ascii="Arial" w:cs="Arial" w:eastAsia="Arial" w:hAnsi="Arial"/>
                <w:sz w:val="23"/>
                <w:szCs w:val="23"/>
                <w:color w:val="auto"/>
                <w:vertAlign w:val="superscript"/>
              </w:rPr>
              <w:t>(a)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Cancelled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(711,844)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2,383,056</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 101,103 shares were withheld to satisfy related income tax withholding.</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CONTINGENCIES</w:t>
      </w:r>
    </w:p>
    <w:p>
      <w:pPr>
        <w:spacing w:after="0" w:line="20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Currently, and from time to time, we are involved in various claims, disputes, lawsuits, investigations, and legal and regulatory proceedings, including the matter described below.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Except as noted below, we do not believe the resolution of any particular matter will have a material adverse effect on our financial condition, results of operations or liquidity.</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On October 14, 2021, Andrew Kowlessar filed an action in the Circuit Court of the 17th Judicial Circuit in and for Broward County, Florida styled </w:t>
      </w:r>
      <w:r>
        <w:rPr>
          <w:rFonts w:ascii="Arial" w:cs="Arial" w:eastAsia="Arial" w:hAnsi="Arial"/>
          <w:sz w:val="18"/>
          <w:szCs w:val="18"/>
          <w:i w:val="1"/>
          <w:iCs w:val="1"/>
          <w:color w:val="auto"/>
        </w:rPr>
        <w:t>Andrew Kowlessar, individually and on behalf of all others similarly situated vs. EZCORP, Inc. d/b/a Value Pawn &amp; Jewelry</w:t>
      </w:r>
      <w:r>
        <w:rPr>
          <w:rFonts w:ascii="Arial" w:cs="Arial" w:eastAsia="Arial" w:hAnsi="Arial"/>
          <w:sz w:val="18"/>
          <w:szCs w:val="18"/>
          <w:color w:val="auto"/>
        </w:rPr>
        <w:t xml:space="preserve"> (Case No. CACE-21-018864). The matter subsequently was amended and removed to the United States District Court of the Southern District of Florida as </w:t>
      </w:r>
      <w:r>
        <w:rPr>
          <w:rFonts w:ascii="Arial" w:cs="Arial" w:eastAsia="Arial" w:hAnsi="Arial"/>
          <w:sz w:val="18"/>
          <w:szCs w:val="18"/>
          <w:i w:val="1"/>
          <w:iCs w:val="1"/>
          <w:color w:val="auto"/>
        </w:rPr>
        <w:t>Andrew Kowlessar, individually and on behalf of all others similarly situated vs. EZPAWN Florida, Inc. d/b/a Value Pawn &amp; Jewelry</w:t>
      </w:r>
      <w:r>
        <w:rPr>
          <w:rFonts w:ascii="Arial" w:cs="Arial" w:eastAsia="Arial" w:hAnsi="Arial"/>
          <w:sz w:val="18"/>
          <w:szCs w:val="18"/>
          <w:color w:val="auto"/>
        </w:rPr>
        <w:t xml:space="preserve"> (Case No. 0:21-cv-62362-RKA). The amended complaint is brought under Section 501.059, Florida Statutes, the Florida Telephone Solicitation Act (“Act”), and alleges certain text messages were sent in violation of the Act. The matter currently involves claims by a single individual, but alleges a class of persons who may have similar claims of violations of the Act and seeks class certification. The parties are conducting discovery and are scheduled to conduct certain pre-trial mediation discussions. We intend to defend vigorously against all claims, whether asserted individually or as a representative of any class. We have not recorded a liability for this matter as of March 31, 2022. An unfavorable resolution could have a material adverse effect on our results of operations for the period in which such resolution is recorded.</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SEGMENT INFORMATION</w:t>
      </w:r>
    </w:p>
    <w:p>
      <w:pPr>
        <w:spacing w:after="0" w:line="2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("CODM") evaluates performance for purposes of allocating resources and assessing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right="620" w:hanging="328"/>
        <w:spacing w:after="0" w:line="26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Investments — primarily our equity interest in the net results of Cash Converters and RDC along with our investment in Founders.</w:t>
      </w:r>
    </w:p>
    <w:p>
      <w:pPr>
        <w:spacing w:after="0" w:line="1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following tables present revenue for each reportable segment, disaggregated revenue within our three reportable segments and Corporate, segment profits and segment contribution.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jc w:val="right"/>
              <w:ind w:right="39"/>
              <w:spacing w:after="0"/>
              <w:rPr>
                <w:sz w:val="20"/>
                <w:szCs w:val="20"/>
                <w:color w:val="auto"/>
              </w:rPr>
            </w:pPr>
            <w:r>
              <w:rPr>
                <w:rFonts w:ascii="Arial" w:cs="Arial" w:eastAsia="Arial" w:hAnsi="Arial"/>
                <w:sz w:val="16"/>
                <w:szCs w:val="16"/>
                <w:b w:val="1"/>
                <w:bCs w:val="1"/>
                <w:color w:val="auto"/>
              </w:rPr>
              <w:t>Three Months Ended March 31, 2022</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18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Pawn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100,064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33,492</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133,556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133,556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5,690</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58,772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76,683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76,683</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53,613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215,982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215,982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82,246</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128,928</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85,743</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12,227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Gain on sale or disposal of assets and other</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33,812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4,758</w:t>
            </w: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37,152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jc w:val="right"/>
              <w:ind w:right="39"/>
              <w:spacing w:after="0"/>
              <w:rPr>
                <w:sz w:val="20"/>
                <w:szCs w:val="20"/>
                <w:color w:val="auto"/>
              </w:rPr>
            </w:pPr>
            <w:r>
              <w:rPr>
                <w:rFonts w:ascii="Arial" w:cs="Arial" w:eastAsia="Arial" w:hAnsi="Arial"/>
                <w:sz w:val="16"/>
                <w:szCs w:val="16"/>
                <w:b w:val="1"/>
                <w:bCs w:val="1"/>
                <w:color w:val="auto"/>
              </w:rPr>
              <w:t>Three Months Ended March 31, 2021</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18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Pawn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93,827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21,398</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115,225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115,225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63,436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63,436</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37,751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184,939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184,939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65,790</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113,748</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81,149</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13,771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25,760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29,796</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Six Months Ended March 31, 2022</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202,142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69,134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271,276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271,276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12,634</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115,329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37,379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152,708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152,708</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325,977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436,976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436,976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165,357</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10,580</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261,039</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172,514</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27,772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15,024</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Gain on sale or disposal of assets and other</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4,958</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 (income)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68,283</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11,245</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79,303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79,303</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Six Months Ended March 31, 2021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176,080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46,928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223,008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223,008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12,834</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99,797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126,925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126,925</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283,513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363,074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363,074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130,333</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10,603</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177,649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222,138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222,138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125,749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160,458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160,458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26,281</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15,661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10,973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46,501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7,583</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56,300</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(43,999)</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net earning assets by segment: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Latin America</w:t>
            </w:r>
          </w:p>
        </w:tc>
        <w:tc>
          <w:tcPr>
            <w:tcW w:w="160" w:type="dxa"/>
            <w:vAlign w:val="bottom"/>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Corporate</w:t>
            </w: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Pawn</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8"/>
                <w:szCs w:val="18"/>
                <w:color w:val="auto"/>
              </w:rPr>
            </w:pPr>
          </w:p>
        </w:tc>
        <w:tc>
          <w:tcPr>
            <w:tcW w:w="1320" w:type="dxa"/>
            <w:vAlign w:val="bottom"/>
            <w:gridSpan w:val="3"/>
          </w:tcPr>
          <w:p>
            <w:pPr>
              <w:ind w:left="200"/>
              <w:spacing w:after="0"/>
              <w:rPr>
                <w:sz w:val="20"/>
                <w:szCs w:val="20"/>
                <w:color w:val="auto"/>
              </w:rPr>
            </w:pPr>
            <w:r>
              <w:rPr>
                <w:rFonts w:ascii="Arial" w:cs="Arial" w:eastAsia="Arial" w:hAnsi="Arial"/>
                <w:sz w:val="16"/>
                <w:szCs w:val="16"/>
                <w:b w:val="1"/>
                <w:bCs w:val="1"/>
                <w:color w:val="auto"/>
              </w:rPr>
              <w:t>Items</w:t>
            </w: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0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March 31, 2022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133,515</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40,103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3"/>
          </w:tcPr>
          <w:p>
            <w:pPr>
              <w:ind w:left="74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173,618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119,890</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March 31, 2021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95,369</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29,899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125,268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86,214</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12: SUPPLEMENTAL CONSOLIDATED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5"/>
        </w:trPr>
        <w:tc>
          <w:tcPr>
            <w:tcW w:w="67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(8,023)</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28,319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29,337</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115,300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119,890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86,214</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110,989</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and other</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9,322</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receivable</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16,302</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31,010</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Property and equipment, gross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293,087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273,513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284,867</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(242,213)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(221,677)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(231,056)</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50,874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51,836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53,811</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17,756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17,957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22,462</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9,093</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Incentive accrual</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16,868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payroll related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10,695</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Accrued sales and VAT taxes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10,936</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income taxes payable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16,388</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69,695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69,019</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13: SUBSEQUENT EVENTS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May 3, 2022, the Board of Directors approved a new share repurchase program, which will replace the previous program that was suspended in March 2020 at the onset of the COVID-19 pandemic. See Note 9: Share-Based Compensation — Common Stock Repurchase Program. Under the new program, the Company is authorized to repurchase up to $ 50 million of our Class A Non-Voting common shares over the next three years. Execution of the program will be responsive to fluctuating market conditions and valuations, liquidity needs and the expected return on investment compared to other opportunities.</w:t>
      </w:r>
    </w:p>
    <w:p>
      <w:pPr>
        <w:spacing w:after="0" w:line="15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by management and the Board, such as liquidity and capital needs and the availability of attractive alternative investment opportunities. The Board of Directors has reserved the right to modify, suspend or terminate the program at any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Additional Shares of Cash Converters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April 5, 2022, we purchased an additional 13 million shares of Cash Converters for $2.5 million. This purchase increased our total ownership in Cash Converters to 255,239,157 shares, representing an ownership interest of 40.67%. Additionally, in April 2022, we received a cash dividend of $1.8 million from Cash Converters.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 w:right="4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80"/>
        <w:spacing w:after="0" w:line="28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96" w:lineRule="exact"/>
        <w:rPr>
          <w:sz w:val="20"/>
          <w:szCs w:val="20"/>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21">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ended September 30, 2021,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or goods purchased directly from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194945</wp:posOffset>
            </wp:positionV>
            <wp:extent cx="4732020" cy="1139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4732020" cy="1139825"/>
                    </a:xfrm>
                    <a:prstGeom prst="rect">
                      <a:avLst/>
                    </a:prstGeom>
                    <a:noFill/>
                  </pic:spPr>
                </pic:pic>
              </a:graphicData>
            </a:graphic>
          </wp:anchor>
        </w:drawing>
      </w:r>
    </w:p>
    <w:p>
      <w:pPr>
        <w:spacing w:after="0" w:line="287" w:lineRule="exact"/>
        <w:rPr>
          <w:sz w:val="20"/>
          <w:szCs w:val="20"/>
          <w:color w:val="auto"/>
        </w:rPr>
      </w:pPr>
    </w:p>
    <w:tbl>
      <w:tblPr>
        <w:tblLayout w:type="fixed"/>
        <w:tblInd w:w="1920" w:type="dxa"/>
        <w:tblCellMar>
          <w:top w:w="0" w:type="dxa"/>
          <w:left w:w="0" w:type="dxa"/>
          <w:bottom w:w="0" w:type="dxa"/>
          <w:right w:w="0" w:type="dxa"/>
        </w:tblCellMar>
      </w:tblPr>
      <w:tr>
        <w:trPr>
          <w:trHeight w:val="270"/>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Strengthen the Core</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Relentless focus on superior execution and operational</w:t>
            </w:r>
          </w:p>
        </w:tc>
        <w:tc>
          <w:tcPr>
            <w:tcW w:w="0" w:type="dxa"/>
            <w:vAlign w:val="bottom"/>
          </w:tcPr>
          <w:p>
            <w:pPr>
              <w:spacing w:after="0"/>
              <w:rPr>
                <w:sz w:val="1"/>
                <w:szCs w:val="1"/>
                <w:color w:val="auto"/>
              </w:rPr>
            </w:pPr>
          </w:p>
        </w:tc>
      </w:tr>
      <w:tr>
        <w:trPr>
          <w:trHeight w:val="148"/>
        </w:trPr>
        <w:tc>
          <w:tcPr>
            <w:tcW w:w="2080" w:type="dxa"/>
            <w:vAlign w:val="bottom"/>
            <w:vMerge w:val="continue"/>
            <w:shd w:val="clear" w:color="auto" w:fill="026DCE"/>
          </w:tcPr>
          <w:p>
            <w:pPr>
              <w:spacing w:after="0"/>
              <w:rPr>
                <w:sz w:val="12"/>
                <w:szCs w:val="12"/>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excellence in our core pawn business</w:t>
            </w:r>
          </w:p>
        </w:tc>
        <w:tc>
          <w:tcPr>
            <w:tcW w:w="0" w:type="dxa"/>
            <w:vAlign w:val="bottom"/>
          </w:tcPr>
          <w:p>
            <w:pPr>
              <w:spacing w:after="0"/>
              <w:rPr>
                <w:sz w:val="1"/>
                <w:szCs w:val="1"/>
                <w:color w:val="auto"/>
              </w:rPr>
            </w:pPr>
          </w:p>
        </w:tc>
      </w:tr>
      <w:tr>
        <w:trPr>
          <w:trHeight w:val="90"/>
        </w:trPr>
        <w:tc>
          <w:tcPr>
            <w:tcW w:w="2080" w:type="dxa"/>
            <w:vAlign w:val="bottom"/>
            <w:shd w:val="clear" w:color="auto" w:fill="026DCE"/>
          </w:tcPr>
          <w:p>
            <w:pPr>
              <w:spacing w:after="0"/>
              <w:rPr>
                <w:sz w:val="7"/>
                <w:szCs w:val="7"/>
                <w:color w:val="auto"/>
              </w:rPr>
            </w:pPr>
          </w:p>
        </w:tc>
        <w:tc>
          <w:tcPr>
            <w:tcW w:w="534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Cost Efficiency and</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Shape a culture of cost efficiency through ongoing focus on</w:t>
            </w:r>
          </w:p>
        </w:tc>
        <w:tc>
          <w:tcPr>
            <w:tcW w:w="0" w:type="dxa"/>
            <w:vAlign w:val="bottom"/>
          </w:tcPr>
          <w:p>
            <w:pPr>
              <w:spacing w:after="0"/>
              <w:rPr>
                <w:sz w:val="1"/>
                <w:szCs w:val="1"/>
                <w:color w:val="auto"/>
              </w:rPr>
            </w:pPr>
          </w:p>
        </w:tc>
      </w:tr>
      <w:tr>
        <w:trPr>
          <w:trHeight w:val="239"/>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Simplification</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simplification and optimization</w:t>
            </w:r>
          </w:p>
        </w:tc>
        <w:tc>
          <w:tcPr>
            <w:tcW w:w="0" w:type="dxa"/>
            <w:vAlign w:val="bottom"/>
          </w:tcPr>
          <w:p>
            <w:pPr>
              <w:spacing w:after="0"/>
              <w:rPr>
                <w:sz w:val="1"/>
                <w:szCs w:val="1"/>
                <w:color w:val="auto"/>
              </w:rPr>
            </w:pPr>
          </w:p>
        </w:tc>
      </w:tr>
      <w:tr>
        <w:trPr>
          <w:trHeight w:val="355"/>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Innovate and Grow</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Broaden customer engagement to service more customers</w:t>
            </w:r>
          </w:p>
        </w:tc>
        <w:tc>
          <w:tcPr>
            <w:tcW w:w="0" w:type="dxa"/>
            <w:vAlign w:val="bottom"/>
          </w:tcPr>
          <w:p>
            <w:pPr>
              <w:spacing w:after="0"/>
              <w:rPr>
                <w:sz w:val="1"/>
                <w:szCs w:val="1"/>
                <w:color w:val="auto"/>
              </w:rPr>
            </w:pPr>
          </w:p>
        </w:tc>
      </w:tr>
      <w:tr>
        <w:trPr>
          <w:trHeight w:val="149"/>
        </w:trPr>
        <w:tc>
          <w:tcPr>
            <w:tcW w:w="2080" w:type="dxa"/>
            <w:vAlign w:val="bottom"/>
            <w:vMerge w:val="continue"/>
            <w:shd w:val="clear" w:color="auto" w:fill="026DCE"/>
          </w:tcPr>
          <w:p>
            <w:pPr>
              <w:spacing w:after="0"/>
              <w:rPr>
                <w:sz w:val="12"/>
                <w:szCs w:val="12"/>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more frequently in more locations</w:t>
            </w:r>
          </w:p>
        </w:tc>
        <w:tc>
          <w:tcPr>
            <w:tcW w:w="0" w:type="dxa"/>
            <w:vAlign w:val="bottom"/>
          </w:tcPr>
          <w:p>
            <w:pPr>
              <w:spacing w:after="0"/>
              <w:rPr>
                <w:sz w:val="1"/>
                <w:szCs w:val="1"/>
                <w:color w:val="auto"/>
              </w:rPr>
            </w:pPr>
          </w:p>
        </w:tc>
      </w:tr>
      <w:tr>
        <w:trPr>
          <w:trHeight w:val="90"/>
        </w:trPr>
        <w:tc>
          <w:tcPr>
            <w:tcW w:w="2080" w:type="dxa"/>
            <w:vAlign w:val="bottom"/>
            <w:shd w:val="clear" w:color="auto" w:fill="026DCE"/>
          </w:tcPr>
          <w:p>
            <w:pPr>
              <w:spacing w:after="0"/>
              <w:rPr>
                <w:sz w:val="7"/>
                <w:szCs w:val="7"/>
                <w:color w:val="auto"/>
              </w:rPr>
            </w:pPr>
          </w:p>
        </w:tc>
        <w:tc>
          <w:tcPr>
            <w:tcW w:w="534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shd w:val="clear" w:color="auto" w:fill="026DCE"/>
          </w:tcPr>
          <w:p>
            <w:pPr>
              <w:spacing w:after="0"/>
              <w:rPr>
                <w:sz w:val="7"/>
                <w:szCs w:val="7"/>
                <w:color w:val="auto"/>
              </w:rPr>
            </w:pPr>
          </w:p>
        </w:tc>
        <w:tc>
          <w:tcPr>
            <w:tcW w:w="5340" w:type="dxa"/>
            <w:vAlign w:val="bottom"/>
            <w:shd w:val="clear" w:color="auto" w:fill="80C9FF"/>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8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 These historical trends have been impacted by COVID-19, but we expect these historical trends to return in the future.</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20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PSC. The following chart presents sources of net revenues, including PSC, merchandise sales gross profit ("Merchandise sales GP") and jewelry scrapping gross profit ("Jewelry Scrapping GP") for the three and six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59690</wp:posOffset>
            </wp:positionV>
            <wp:extent cx="5743575" cy="278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chart presents sources of net revenues by geographic disbursement for the three and six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57785</wp:posOffset>
            </wp:positionV>
            <wp:extent cx="5743575" cy="2785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Business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COVID-19 pandemic continues to affect the U.S. and global economies, as disclosed in our 2021 Annual Report on Form 10-K. The full extent and duration of the COVID-19 impact on the global economy generally, and on our business specifically, is currently unknown. The impact of the pandemic, and the recovery therefrom, continued to adversely effect net revenues and earnings into fiscal 2021. During the latter part of fiscal 2021, we saw pawn transaction activity continue to rebuild, driving PLO balances closer to pre-pandemic levels, which will drive accelerating PSC revenue in the coming quarters given the natural lag between pawn originations and related fees. We continue to assess what type of impact various COVID-19 variants may have to our business net revenues and operating expenses in fiscal year 2022. A prolonged pandemic and recovery may have an adverse effect on our results of operations, financial position and liquidity in future periods.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Program</w:t>
      </w:r>
    </w:p>
    <w:p>
      <w:pPr>
        <w:spacing w:after="0" w:line="18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On May 3, 2022, the Company's Board of Directors approved a new share repurchase program, which will replace the previous program that was suspended in March 2020. Under the new program, the Company is authorized to repurchase up to $50 million of its outstanding Class A Non-Voting common share over the next three years. "Liquidity and Capital Resources — Sources and Uses of Cash" below.</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 in Unconsolidated Entities</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10, 2022, we purchased an additional 5.5 million shares of Cash Converters for $1.0 million. This purchase increased our total ownership in Cash Converters to 242,239,157 shares, representing a 38.60% ownership interest. On April 5, 2022, we acquired an additional 13 million shares for $2.5 million, bringing our total ownership to 255,239,157 shares, representing an ownership interest of 40.67%. Additionally, on April 14, 2022, we received a cash dividend of $1.8 million from Cash Converters.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Management Changes</w:t>
      </w:r>
    </w:p>
    <w:p>
      <w:pPr>
        <w:spacing w:after="0" w:line="18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On March 3, 2022, Lachlan P. Given was appointed Chief Executive Officer (principal executive officer) and John Blair Powell, Jr. was appointed Chief Operating Officer (principal operating officer). Mr. Given and Mr. Powell had been serving as Co-Interim Chief Executive Officers (co-principal executive officers) since January 12, 2022. A description of Mr. Given's and Mr. Powell's respective backgrounds and experiences can be found in "Part III, Item 10 — Directors, Officers and Corporate Governance — Executive Officers" of the Company's Annual Report on Form 10-K for the fiscal year ended September 30, 2021.</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and Same Store Financial Information</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six months ended March 31, 2022 and March 31, 2021 were as follows: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460" w:type="dxa"/>
            <w:vAlign w:val="bottom"/>
            <w:gridSpan w:val="3"/>
            <w:vMerge w:val="restart"/>
          </w:tcPr>
          <w:p>
            <w:pPr>
              <w:ind w:left="700"/>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18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35"/>
        </w:trPr>
        <w:tc>
          <w:tcPr>
            <w:tcW w:w="4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20.5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color w:val="auto"/>
              </w:rPr>
              <w:t>7.5</w:t>
            </w:r>
          </w:p>
        </w:tc>
        <w:tc>
          <w:tcPr>
            <w:tcW w:w="7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24.2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6"/>
                <w:szCs w:val="16"/>
                <w:color w:val="auto"/>
              </w:rPr>
              <w:t>Peruvian sol</w:t>
            </w: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color w:val="auto"/>
              </w:rPr>
              <w:t>3.8</w:t>
            </w: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segments;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right="140" w:hanging="328"/>
        <w:spacing w:after="0" w:line="261"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Investments — Represents our equity interest in the net income of Cash Converters International and Rich Data Corporation, along with our investment in Founders.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Count by Segment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March 31, 2022</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March 31, 2021</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Six Months Ended March 31, 2022</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Six Months Ended March 31, 2021</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vs. Three Months Ended March 31, 2021</w:t>
      </w:r>
    </w:p>
    <w:p>
      <w:pPr>
        <w:spacing w:after="0" w:line="1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Change</w:t>
            </w:r>
          </w:p>
        </w:tc>
      </w:tr>
      <w:tr>
        <w:trPr>
          <w:trHeight w:val="35"/>
        </w:trPr>
        <w:tc>
          <w:tcPr>
            <w:tcW w:w="6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58,772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49,577</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19%</w:t>
            </w:r>
          </w:p>
        </w:tc>
      </w:tr>
      <w:tr>
        <w:trPr>
          <w:trHeight w:val="219"/>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100,064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93,827</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7%</w:t>
            </w:r>
          </w:p>
        </w:tc>
      </w:tr>
      <w:tr>
        <w:trPr>
          <w:trHeight w:val="212"/>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41,451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42,015</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1400" w:type="dxa"/>
            <w:vAlign w:val="bottom"/>
          </w:tcPr>
          <w:p>
            <w:pPr>
              <w:ind w:left="380"/>
              <w:spacing w:after="0"/>
              <w:rPr>
                <w:sz w:val="20"/>
                <w:szCs w:val="20"/>
                <w:color w:val="auto"/>
              </w:rPr>
            </w:pPr>
            <w:r>
              <w:rPr>
                <w:rFonts w:ascii="Arial" w:cs="Arial" w:eastAsia="Arial" w:hAnsi="Arial"/>
                <w:sz w:val="16"/>
                <w:szCs w:val="16"/>
                <w:color w:val="auto"/>
              </w:rPr>
              <w:t>(400)bps</w:t>
            </w:r>
          </w:p>
        </w:tc>
      </w:tr>
      <w:tr>
        <w:trPr>
          <w:trHeight w:val="219"/>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3,480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3,581</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(3)%</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432</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58%</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800bps</w:t>
            </w:r>
          </w:p>
        </w:tc>
      </w:tr>
      <w:tr>
        <w:trPr>
          <w:trHeight w:val="219"/>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(17)%</w:t>
            </w:r>
          </w:p>
        </w:tc>
      </w:tr>
      <w:tr>
        <w:trPr>
          <w:trHeight w:val="213"/>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100,929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92,053</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64,492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63,657</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r>
      <w:tr>
        <w:trPr>
          <w:trHeight w:val="216"/>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2,625</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2,636</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20"/>
        </w:trPr>
        <w:tc>
          <w:tcPr>
            <w:tcW w:w="65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33,812</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25,760</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31%</w:t>
            </w:r>
          </w:p>
        </w:tc>
      </w:tr>
      <w:tr>
        <w:trPr>
          <w:trHeight w:val="202"/>
        </w:trPr>
        <w:tc>
          <w:tcPr>
            <w:tcW w:w="6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226,835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165,151</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37%</w:t>
            </w: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2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(10)%</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214</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26%</w:t>
            </w: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400" w:type="dxa"/>
            <w:vAlign w:val="bottom"/>
          </w:tcPr>
          <w:p>
            <w:pPr>
              <w:ind w:left="380"/>
              <w:spacing w:after="0"/>
              <w:rPr>
                <w:sz w:val="20"/>
                <w:szCs w:val="20"/>
                <w:color w:val="auto"/>
              </w:rPr>
            </w:pPr>
            <w:r>
              <w:rPr>
                <w:rFonts w:ascii="Arial" w:cs="Arial" w:eastAsia="Arial" w:hAnsi="Arial"/>
                <w:sz w:val="16"/>
                <w:szCs w:val="16"/>
                <w:color w:val="auto"/>
              </w:rPr>
              <w:t>(100)bps</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(200)bps</w:t>
            </w:r>
          </w:p>
        </w:tc>
      </w:tr>
    </w:tbl>
    <w:p>
      <w:pPr>
        <w:spacing w:after="0" w:line="140"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PLO increased 40% to $133.5 million due to increased loan demand reflecting a recovery towards pre-COVID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increased 19% as a result of higher average PLO for the quarter.</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Merchandise sales increased 7% due to our improved retail strategy. This increase was offset by a 1% decrease in merchandise sales gross profit to $41.5 million, as well as a 400 bps decrease in merchandise sales gross profit margin, reflecting a return to more normalized margins.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increased 1% primarily due to increased store 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$8.1 million or 31%, due to the changes in net revenues and store expenses described above.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Constant Currency and Same Store Financial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740"/>
              <w:spacing w:after="0"/>
              <w:rPr>
                <w:sz w:val="20"/>
                <w:szCs w:val="20"/>
                <w:color w:val="auto"/>
              </w:rPr>
            </w:pPr>
            <w:r>
              <w:rPr>
                <w:rFonts w:ascii="Arial" w:cs="Arial" w:eastAsia="Arial" w:hAnsi="Arial"/>
                <w:sz w:val="16"/>
                <w:szCs w:val="16"/>
                <w:b w:val="1"/>
                <w:bCs w:val="1"/>
                <w:color w:val="auto"/>
              </w:rPr>
              <w:t>Three Months Ended March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2022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2021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2022 (Constant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17,911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13,859</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17,985</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33,492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21,398</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33,695</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57%</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9,920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(600)bps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(600)bps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2,210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2,494</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2,215</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27,970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21,521</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28,107</w:t>
            </w: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31%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21,251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17,492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21,398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1,891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1,793</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1,902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4,807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segment expense (income)</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20"/>
        </w:trPr>
        <w:tc>
          <w:tcPr>
            <w:tcW w:w="4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4,758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2,621</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4,873</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86%</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66,673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46,331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65,087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 (c)</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—bps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20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2022 Change</w:t>
            </w:r>
          </w:p>
        </w:tc>
        <w:tc>
          <w:tcPr>
            <w:tcW w:w="160" w:type="dxa"/>
            <w:vAlign w:val="bottom"/>
          </w:tcPr>
          <w:p>
            <w:pPr>
              <w:spacing w:after="0"/>
              <w:rPr>
                <w:sz w:val="15"/>
                <w:szCs w:val="15"/>
                <w:color w:val="auto"/>
              </w:rPr>
            </w:pPr>
          </w:p>
        </w:tc>
        <w:tc>
          <w:tcPr>
            <w:tcW w:w="19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2022 Change</w:t>
            </w:r>
          </w:p>
        </w:tc>
      </w:tr>
      <w:tr>
        <w:trPr>
          <w:trHeight w:val="215"/>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7"/>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13%</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w:t>
            </w: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31%</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w:t>
            </w: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 the current quarter, we opened three de novo stores, bringing total segment store-count to 636.</w:t>
      </w:r>
    </w:p>
    <w:p>
      <w:pPr>
        <w:spacing w:after="0" w:line="15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PLO increased 34% to $40.1 million (31% on constant currency basis). On a same store basis, PLO increased 15% (13% on a constant currency basis) due to increased loan demand reflecting a recovery towards pre-COVID levels.</w:t>
      </w:r>
    </w:p>
    <w:p>
      <w:pPr>
        <w:spacing w:after="0" w:line="14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PSC increased 29% in the current quarter to $17.9 million (up 30% to $18.0 million on a constant currency basis) as a result of higher average PLO for the quarter.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Merchandise sales increased 57% (57% on a constant currency basis) and 31% on a same store basis (31% on a constant currency basis) reflecting a renewed focus on customer engagement. Offsetting the sales increase, merchandise sales gross profit margin decreased from 35% to 29% reflecting a return to more normalized margins. Overall, merchandise sales gross profit increased 33% to $9.9 million (34% to $9.9 million on a constant currency basis).</w:t>
      </w:r>
    </w:p>
    <w:p>
      <w:pPr>
        <w:spacing w:after="0" w:line="15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Store expenses increased $3.8 million or 21% (22% on a constant currency basis) primarily due to growth in store count. On a same-store basis, store expenses decreased by $0.2 million or 1% (1% on a constant currency basis).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Segment contribution increased $ 2.1 million, or 82%, to $4.8 million ($2.3 million or 86% on a constant currency basis), due to the changes in net revenues and store expenses described above.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9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(83)%</w:t>
            </w:r>
          </w:p>
        </w:tc>
      </w:tr>
      <w:tr>
        <w:trPr>
          <w:trHeight w:val="213"/>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(83)%</w:t>
            </w:r>
          </w:p>
        </w:tc>
      </w:t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loss (income) of unconsolidated affiliates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(215)%</w:t>
            </w:r>
          </w:p>
        </w:tc>
      </w:tr>
      <w:tr>
        <w:trPr>
          <w:trHeight w:val="21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(loss) contribution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(199)%</w:t>
            </w:r>
          </w:p>
        </w:tc>
      </w:t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expense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(11)%</w:t>
            </w:r>
          </w:p>
        </w:tc>
      </w:tr>
      <w:tr>
        <w:trPr>
          <w:trHeight w:val="219"/>
        </w:trPr>
        <w:tc>
          <w:tcPr>
            <w:tcW w:w="6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(loss) contribution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(200)%</w:t>
            </w: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Segment loss was $1.4 million, a decrease of $2.8 million due to the decrease in equity income for our unconsolidated affiliates. The equity in net loss in the current quarter was primarily due to our equity pickup of Cash Converters' net loss, which included an impairment, primarily of its ROU leased assets, that was attributed to COVID-19.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29,796</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25%</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13,771</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(11)%</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3,660</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(20)%</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loss on sale or disposal of assets and other</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5,518</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(54)%</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196%</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256%</w:t>
            </w:r>
          </w:p>
        </w:tc>
      </w:tr>
      <w:tr>
        <w:trPr>
          <w:trHeight w:val="21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14,887</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179%</w:t>
            </w:r>
          </w:p>
        </w:tc>
      </w:tr>
    </w:tbl>
    <w:p>
      <w:pPr>
        <w:spacing w:after="0" w:line="140" w:lineRule="exact"/>
        <w:rPr>
          <w:sz w:val="20"/>
          <w:szCs w:val="20"/>
          <w:color w:val="auto"/>
        </w:rPr>
      </w:pPr>
    </w:p>
    <w:p>
      <w:pPr>
        <w:ind w:left="360" w:hanging="334"/>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38"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Segment contribution increased $7.4 million or 25% over the prior year quarter primarily due to the improved operating results of the segments above.</w:t>
      </w:r>
    </w:p>
    <w:p>
      <w:pPr>
        <w:spacing w:after="0" w:line="14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General and administrative expenses decreased $1.5 million or 11%, primarily driven by the reversal of incentive compensation for the departing CEO.</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expense decreased $3.0 million primarily driven by the ASU 2020-06 accounting policy change which no longer requires debt discount be included on our balance sheet effective October 1, 2021. The policy change eliminates the non-cash interest amortization of that debt discount. See Note 1: Organization And Summary Of Significant Accounting Policies to the consolidated financials for further discussion of this recently adopted accounting policy.</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Income tax expense increased $3.8 million primarily due to an increase in income before income taxes of $13.3 million this quarter compared to the prior year same quarter.</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2021 Note 11: Income Taxes of Notes to Consolidated Financial Statements included in “Part II, Item 8 — Financial Statements and Supplemental Data” for quantification of these items.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2022 vs. Six Months Ended March 31, 2021</w:t>
      </w:r>
    </w:p>
    <w:p>
      <w:pPr>
        <w:spacing w:after="0" w:line="19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tables below and discussion that follows should be read in conjunction with the accompanying condensed consolidated financial statements and related notes.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Pawn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Six Months Ended March 31,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Change</w:t>
            </w:r>
          </w:p>
        </w:tc>
      </w:tr>
      <w:tr>
        <w:trPr>
          <w:trHeight w:val="35"/>
        </w:trPr>
        <w:tc>
          <w:tcPr>
            <w:tcW w:w="6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115,329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99,797</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16%</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202,142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176,080</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15%</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85,697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76,209</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12%</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8"/>
                <w:szCs w:val="18"/>
                <w:color w:val="auto"/>
              </w:rPr>
            </w:pPr>
          </w:p>
        </w:tc>
        <w:tc>
          <w:tcPr>
            <w:tcW w:w="1400" w:type="dxa"/>
            <w:vAlign w:val="bottom"/>
          </w:tcPr>
          <w:p>
            <w:pPr>
              <w:ind w:left="380"/>
              <w:spacing w:after="0"/>
              <w:rPr>
                <w:sz w:val="20"/>
                <w:szCs w:val="20"/>
                <w:color w:val="auto"/>
              </w:rPr>
            </w:pPr>
            <w:r>
              <w:rPr>
                <w:rFonts w:ascii="Arial" w:cs="Arial" w:eastAsia="Arial" w:hAnsi="Arial"/>
                <w:sz w:val="16"/>
                <w:szCs w:val="16"/>
                <w:color w:val="auto"/>
              </w:rPr>
              <w:t>(100)bps</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8,460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7,585</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12%</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1,592</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8"/>
                <w:szCs w:val="18"/>
                <w:color w:val="auto"/>
              </w:rPr>
            </w:pPr>
          </w:p>
        </w:tc>
        <w:tc>
          <w:tcPr>
            <w:tcW w:w="1400" w:type="dxa"/>
            <w:vAlign w:val="bottom"/>
          </w:tcPr>
          <w:p>
            <w:pPr>
              <w:ind w:left="380"/>
              <w:spacing w:after="0"/>
              <w:rPr>
                <w:sz w:val="20"/>
                <w:szCs w:val="20"/>
                <w:color w:val="auto"/>
              </w:rPr>
            </w:pPr>
            <w:r>
              <w:rPr>
                <w:rFonts w:ascii="Arial" w:cs="Arial" w:eastAsia="Arial" w:hAnsi="Arial"/>
                <w:sz w:val="16"/>
                <w:szCs w:val="16"/>
                <w:color w:val="auto"/>
              </w:rPr>
              <w:t>(100)bps</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(10)%</w:t>
            </w:r>
          </w:p>
        </w:tc>
      </w:tr>
      <w:tr>
        <w:trPr>
          <w:trHeight w:val="213"/>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202,759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177,649</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129,181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125,749</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3%</w:t>
            </w:r>
          </w:p>
        </w:tc>
      </w:tr>
      <w:tr>
        <w:trPr>
          <w:trHeight w:val="216"/>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5,295</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5,372</w:t>
            </w:r>
          </w:p>
        </w:tc>
        <w:tc>
          <w:tcPr>
            <w:tcW w:w="152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r>
      <w:tr>
        <w:trPr>
          <w:trHeight w:val="209"/>
        </w:trPr>
        <w:tc>
          <w:tcPr>
            <w:tcW w:w="6520" w:type="dxa"/>
            <w:vAlign w:val="bottom"/>
          </w:tcPr>
          <w:p>
            <w:pPr>
              <w:ind w:left="460"/>
              <w:spacing w:after="0"/>
              <w:rPr>
                <w:sz w:val="20"/>
                <w:szCs w:val="20"/>
                <w:color w:val="auto"/>
              </w:rPr>
            </w:pPr>
            <w:r>
              <w:rPr>
                <w:rFonts w:ascii="Arial" w:cs="Arial" w:eastAsia="Arial" w:hAnsi="Arial"/>
                <w:sz w:val="16"/>
                <w:szCs w:val="16"/>
                <w:color w:val="auto"/>
              </w:rPr>
              <w:t>Segment operating contribution</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68,283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46,528</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47%</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expense</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20"/>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68,283</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46,501</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47%</w:t>
            </w:r>
          </w:p>
        </w:tc>
      </w:tr>
      <w:tr>
        <w:trPr>
          <w:trHeight w:val="203"/>
        </w:trPr>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Average monthly ending pawn loan balance per store (a)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224</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21%</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(100)bps</w:t>
            </w: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Pawn loan redemption rate</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18"/>
                <w:szCs w:val="18"/>
                <w:color w:val="auto"/>
              </w:rPr>
            </w:pPr>
          </w:p>
        </w:tc>
        <w:tc>
          <w:tcPr>
            <w:tcW w:w="1400" w:type="dxa"/>
            <w:vAlign w:val="bottom"/>
          </w:tcPr>
          <w:p>
            <w:pPr>
              <w:ind w:left="380"/>
              <w:spacing w:after="0"/>
              <w:rPr>
                <w:sz w:val="20"/>
                <w:szCs w:val="20"/>
                <w:color w:val="auto"/>
              </w:rPr>
            </w:pPr>
            <w:r>
              <w:rPr>
                <w:rFonts w:ascii="Arial" w:cs="Arial" w:eastAsia="Arial" w:hAnsi="Arial"/>
                <w:sz w:val="16"/>
                <w:szCs w:val="16"/>
                <w:color w:val="auto"/>
              </w:rPr>
              <w:t>(200)bps</w:t>
            </w:r>
          </w:p>
        </w:tc>
      </w:tr>
    </w:tbl>
    <w:p>
      <w:pPr>
        <w:spacing w:after="0" w:line="213"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increased 16% as a result of higher average PLO for the year.</w:t>
      </w:r>
    </w:p>
    <w:p>
      <w:pPr>
        <w:spacing w:after="0" w:line="171"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Merchandise sales increased 15% compared to the prior year. Offsetting the sales increase, merchandise sales gross profit margin decreased 100 bps reflecting a return to more normalized margins.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increased by 3% due to increased store count and increased labor expenses resulting from growing transaction volume.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$21.8 million primarily due to the changes in net revenues and store expenses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Latin America Pawn</w:t>
      </w:r>
    </w:p>
    <w:p>
      <w:pPr>
        <w:spacing w:after="0" w:line="1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presents selected summary financial data our Latin America Pawn segment, including constant currency results, after translation to U.S. dollars from functional currencies. See “Results of Operations — Non-GAAP Constant Currency and Same Store Financial Information”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840"/>
              <w:spacing w:after="0"/>
              <w:rPr>
                <w:sz w:val="20"/>
                <w:szCs w:val="20"/>
                <w:color w:val="auto"/>
              </w:rPr>
            </w:pPr>
            <w:r>
              <w:rPr>
                <w:rFonts w:ascii="Arial" w:cs="Arial" w:eastAsia="Arial" w:hAnsi="Arial"/>
                <w:sz w:val="16"/>
                <w:szCs w:val="16"/>
                <w:b w:val="1"/>
                <w:bCs w:val="1"/>
                <w:color w:val="auto"/>
              </w:rPr>
              <w:t>Six Months Ended March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2022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2021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2022 (Constant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37,379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27,128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37,544</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38%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69,134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46,928</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69,716</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49%</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20,222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16,466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20,390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(600)bps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(600)bps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4,174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5,249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4,187</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(300)bps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(300)bps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58,208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44,240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58,546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43,333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34,709</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43,646</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26%</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3,871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3,653</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3,898</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4240" w:type="dxa"/>
            <w:vAlign w:val="bottom"/>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11,004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5,878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11,002</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87%</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segment income (a)</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(1,705)</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(86)%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0"/>
        </w:trPr>
        <w:tc>
          <w:tcPr>
            <w:tcW w:w="4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11,245</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7,583</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11,451</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40" w:type="dxa"/>
            <w:vAlign w:val="bottom"/>
          </w:tcPr>
          <w:p>
            <w:pPr>
              <w:ind w:left="220"/>
              <w:spacing w:after="0" w:line="178"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220"/>
              <w:spacing w:after="0"/>
              <w:rPr>
                <w:sz w:val="20"/>
                <w:szCs w:val="20"/>
                <w:color w:val="auto"/>
              </w:rPr>
            </w:pPr>
            <w:r>
              <w:rPr>
                <w:rFonts w:ascii="Arial" w:cs="Arial" w:eastAsia="Arial" w:hAnsi="Arial"/>
                <w:sz w:val="16"/>
                <w:szCs w:val="16"/>
                <w:color w:val="auto"/>
              </w:rPr>
              <w:t>(a)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(100)bps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6"/>
                <w:szCs w:val="16"/>
                <w:color w:val="auto"/>
              </w:rPr>
              <w:t>Pawn loan redemption rate (b)</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20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2022 Change</w:t>
            </w:r>
          </w:p>
        </w:tc>
        <w:tc>
          <w:tcPr>
            <w:tcW w:w="160" w:type="dxa"/>
            <w:vAlign w:val="bottom"/>
          </w:tcPr>
          <w:p>
            <w:pPr>
              <w:spacing w:after="0"/>
              <w:rPr>
                <w:sz w:val="15"/>
                <w:szCs w:val="15"/>
                <w:color w:val="auto"/>
              </w:rPr>
            </w:pPr>
          </w:p>
        </w:tc>
        <w:tc>
          <w:tcPr>
            <w:tcW w:w="19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2022 Change</w:t>
            </w:r>
          </w:p>
        </w:tc>
      </w:tr>
      <w:tr>
        <w:trPr>
          <w:trHeight w:val="215"/>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7"/>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13%</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w:t>
            </w: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23%</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3%</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March 31, 2022, our Latin America pawn segment opened four de novo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PSC increased 38% to $37.4 million (38% to $37.5 million on a constant currency basis) as a result of higher average PLO for the year.</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Merchandise sales increased 47% (49% on a constant currency basis) and 22% on a same store basis (23% on a constant currency basis). Offsetting the sales increase, merchandise sales gross profit margin decreased 600 bps from 35% to 29% (29% on a constant currency basis) reflecting a return to more normalized margins.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Store expenses increased by 25% (26% on a constant currency basis) primarily due to growth in store count. On a same-store basis, store expenses increased by $0.9 million or 3% (3% on a constant currency basis) due to rising labor costs resulting from growing transaction volume.</w:t>
      </w:r>
    </w:p>
    <w:p>
      <w:pPr>
        <w:spacing w:after="0" w:line="14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Segment contribution increased $3.7 million, or 48%, to $11.2 million. This increase was primarily due to the changes in revenue and store expenses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Investments</w:t>
      </w:r>
    </w:p>
    <w:p>
      <w:pPr>
        <w:spacing w:after="0" w:line="18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Six Months Ended March 31,</w:t>
            </w:r>
          </w:p>
        </w:tc>
        <w:tc>
          <w:tcPr>
            <w:tcW w:w="100" w:type="dxa"/>
            <w:vAlign w:val="bottom"/>
          </w:tcPr>
          <w:p>
            <w:pPr>
              <w:spacing w:after="0"/>
              <w:rPr>
                <w:sz w:val="18"/>
                <w:szCs w:val="18"/>
                <w:color w:val="auto"/>
              </w:rPr>
            </w:pPr>
          </w:p>
        </w:tc>
        <w:tc>
          <w:tcPr>
            <w:tcW w:w="14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loss (income) of unconsolidated affiliates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(loss) contribution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income</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(loss) contribution</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Segment loss was $0.2 million, a decrease of $2.4 million from the prior-year six months ended March 31, 2021, primarily due to the decrease in equity income for our unconsolidated affiliates. The equity in net loss in the current six months ended March 31, 2022 was primarily due to our equity pickup of Cash Converters' net results which included an impairment, primarily of its ROU leased assets, that was attributed to COVID-19.</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Items</w:t>
      </w:r>
    </w:p>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Six Months Ended March 31,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41%</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26,281</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6,636</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(12)%</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loss on sale or disposal of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10,973</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(55)%</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72%</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expense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(53)%</w:t>
            </w:r>
          </w:p>
        </w:tc>
      </w:tr>
      <w:tr>
        <w:trPr>
          <w:trHeight w:val="212"/>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12,301</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237%</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307%</w:t>
            </w:r>
          </w:p>
        </w:tc>
      </w:tr>
      <w:tr>
        <w:trPr>
          <w:trHeight w:val="21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30,608</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9,629</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218%</w:t>
            </w:r>
          </w:p>
        </w:tc>
      </w:tr>
    </w:tbl>
    <w:p>
      <w:pPr>
        <w:spacing w:after="0" w:line="140"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30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Segment contribution increased $ 23.0 million or 41% over the prior year 6 months ended March 31, 2021, primarily due to the improved operating results of the segments above.</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expense decreased $6.0 million primarily driven by the ASU 2020-06 accounting policy change which no longer requires debt discount be included on our balance sheet effective October 1, 2021. The policy change eliminates the non-cash interest amortization of that debt discount. See Note 1: Organization And Summary Of Significant Accounting Policies to the consolidated financials for further discussion of this recently adopted accounting policy.</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Income tax expense increased $8.2 million primarily due to an increase in income before income taxes of $29.2 million this six months ended March 31, 2022 compared to the prior year same 6 months period ended.</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2021 Note 11: Income Taxes of Notes to Consolidated Financial Statements included in “Part II, Item 8 — Financial Statements and Supplemental Data” for quantification of these items.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20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currently believe that, based on available capital resources and projected operating cash flow, we have adequate capital resources to fund working capital needs, currently anticipated capital expenditures, currently anticipated business growth and expansion, tax payments, and current and projected debt service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8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cash and equivalents balance was $255.0 million at March 31, 2022 compared to $253.7 million at September 30, 2021. At March 31, 2022, our cash and equivalents were held in cash depository accounts with major banks or invested in high quality, short-term liquid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09"/>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18,721</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63%</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Cash flows (used in) provided by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(31,887)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9,080</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rPr>
              <w:t>(451)%</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(54)%</w:t>
            </w:r>
          </w:p>
        </w:tc>
      </w:tr>
      <w:tr>
        <w:trPr>
          <w:trHeight w:val="21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12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8"/>
              </w:rPr>
              <w:t>(57)%</w:t>
            </w:r>
          </w:p>
        </w:tc>
      </w:tr>
      <w:tr>
        <w:trPr>
          <w:trHeight w:val="220"/>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31,091</w:t>
            </w:r>
          </w:p>
        </w:tc>
        <w:tc>
          <w:tcPr>
            <w:tcW w:w="12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cash flows provided by operating activities year-over-year was primarily due to a $21.0 million increase in net income.</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$41.0 million increase in cash flows used in investing activities year-over-year was primarily due to $16.5 million in outgoing cash flows used to fund other investments and an increase of $ 38.0 million in net pawn lending, offset by an $ 20.3 million increase in the sale of forfeited collateral. Of the $16.5 million used to fund other investments, $15.0 million was invested in Founders, as discussed in Note 6: Strategic Investments in Part I, Item 1 - Notes to Interim Condensed Consolidated Financial Statements.</w:t>
      </w:r>
    </w:p>
    <w:p>
      <w:pPr>
        <w:spacing w:after="0" w:line="150"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The net effect of these changes was a $0.1 million increase in cash on hand during the current year to date period, resulting in a $263.7 million ending cash and restricted cash balance.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8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On May 3, 2022, our Board of Directors approved a new share repurchase program, which replaced the previous program that was suspended in March 2020. Under the new program, the Company is authorized to repurchase up to $50 million of our Class A Non-Voting common shares over the next three years. Execution of the program will be responsive to fluctuating market conditions and valuations, liquidity needs and the expected return on investment compared to other opportunities.</w:t>
      </w:r>
    </w:p>
    <w:p>
      <w:pPr>
        <w:spacing w:after="0" w:line="1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Under the previous share repurchase program authorized in December 2019, the Company had repurchased and retired 943,149 shares of our Class A Common Stock for $5.2 million. During the six months ended March 31, 2022, there were no stock repurchases.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any future stock repurchases, our contractual obligations, planned de novo store growth, capital expenditures and working capital requirements through fiscal 2022.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Given the current uncertainty related to the COVID-19 pandemic, we may adjust our capital or other expenditures.</w:t>
      </w:r>
      <w:r>
        <w:rPr>
          <w:rFonts w:ascii="Arial" w:cs="Arial" w:eastAsia="Arial" w:hAnsi="Arial"/>
          <w:sz w:val="18"/>
          <w:szCs w:val="18"/>
          <w:color w:val="auto"/>
        </w:rPr>
        <w:t xml:space="preserve"> </w:t>
      </w:r>
      <w:r>
        <w:rPr>
          <w:rFonts w:ascii="Arial" w:cs="Arial" w:eastAsia="Arial" w:hAnsi="Arial"/>
          <w:sz w:val="18"/>
          <w:szCs w:val="18"/>
          <w:color w:val="212529"/>
        </w:rPr>
        <w:t>Depending on the level of acquisition activity and other factors, our ability to repay our longer term debt obligations, including the convertible debt maturing in 2024 and 2025, may require us to refinance these obligations through the issuance of new debt securities, equity securities, convertible securities or through new credit facilities.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84" w:lineRule="exact"/>
        <w:rPr>
          <w:sz w:val="20"/>
          <w:szCs w:val="20"/>
          <w:color w:val="auto"/>
        </w:rPr>
      </w:pPr>
    </w:p>
    <w:p>
      <w:pPr>
        <w:ind w:right="40"/>
        <w:spacing w:after="0" w:line="253" w:lineRule="auto"/>
        <w:rPr>
          <w:rFonts w:ascii="Arial" w:cs="Arial" w:eastAsia="Arial" w:hAnsi="Arial"/>
          <w:sz w:val="18"/>
          <w:szCs w:val="18"/>
          <w:color w:val="auto"/>
        </w:rPr>
      </w:pPr>
      <w:hyperlink r:id="rId21">
        <w:r>
          <w:rPr>
            <w:rFonts w:ascii="Arial" w:cs="Arial" w:eastAsia="Arial" w:hAnsi="Arial"/>
            <w:sz w:val="18"/>
            <w:szCs w:val="18"/>
            <w:color w:val="auto"/>
          </w:rPr>
          <w:t>In "Part II, Item 7 — Management's Discussion and Analysis of Financial Condition and Results of Operations" of our Annual Report on Form</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10-K for the year ended September 30, 2021, we reported that we had $ 602.6 million in total contractual obligations as of September 30,</w:t>
        </w:r>
      </w:hyperlink>
      <w:r>
        <w:rPr>
          <w:rFonts w:ascii="Arial" w:cs="Arial" w:eastAsia="Arial" w:hAnsi="Arial"/>
          <w:sz w:val="18"/>
          <w:szCs w:val="18"/>
          <w:color w:val="auto"/>
        </w:rPr>
        <w:t xml:space="preserve"> 2021. There have been no material changes to this total obligation since September 30, 2021, other than changes as the result of adoption of accounting standards as further discussed in Note 1: Organization And Summary Of Significant Accounting Policies of Notes to Interim Condensed Consolidated Financial Statements included in "Part I, Item 1 — Financial Statements."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2021, these collectively amounted to $25.5 million.</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2020, the FASB issued its Accounting Standards Update (“ASU”) 2020-06, </w:t>
      </w:r>
      <w:r>
        <w:rPr>
          <w:rFonts w:ascii="Arial" w:cs="Arial" w:eastAsia="Arial" w:hAnsi="Arial"/>
          <w:sz w:val="18"/>
          <w:szCs w:val="18"/>
          <w:i w:val="1"/>
          <w:iCs w:val="1"/>
          <w:color w:val="auto"/>
        </w:rPr>
        <w:t>Debt – Debt with Conversion and Other Options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470-20) and Derivatives and Hedging – Contracts in Entity’s Own Equity (Subtopic 815 – 40)</w:t>
      </w:r>
      <w:r>
        <w:rPr>
          <w:rFonts w:ascii="Arial" w:cs="Arial" w:eastAsia="Arial" w:hAnsi="Arial"/>
          <w:sz w:val="18"/>
          <w:szCs w:val="18"/>
          <w:color w:val="auto"/>
        </w:rPr>
        <w:t>, (“ASU 2020-06”). 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the accounting for certain financial instruments with characteristics of liabilities and equity, including convertible instruments and contracts on an entity’s own equity. Additionally, ASU 2020-06 eliminates beneficial conversion feature and cash conversion models resulting in more convertible instruments being accounted for as a single unit. We early adopted this standard on October 1, 2021 under the modified retrospective basis. The effect of eliminating our debt discount on the 2024 and 2025 Convertible Notes will decrease non-cash interest expense amortization on our Condensed Consolidated Statement of Operations, and the reduction of interest expense will affect our basic earnings per common share. When calculating net income per share of common stock attributable to common shareholders, the Company uses the if-converted method as required under ASU 2020-06 to determine the dilutive effect of the Convertible Notes. The Company did not incur any impact to liquidity or cash flows with recently adopted accounting policy.</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201" w:lineRule="exact"/>
        <w:rPr>
          <w:sz w:val="20"/>
          <w:szCs w:val="20"/>
          <w:color w:val="auto"/>
        </w:rPr>
      </w:pPr>
    </w:p>
    <w:p>
      <w:pPr>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21">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 xml:space="preserve">Item 1A — Risk Factors" of our Annual Report on Form 10-K for the year ended September 30, 2021 and "Part II, Item 1A — Risk Factors" </w:t>
        </w:r>
      </w:hyperlink>
      <w:r>
        <w:rPr>
          <w:rFonts w:ascii="Arial" w:cs="Arial" w:eastAsia="Arial" w:hAnsi="Arial"/>
          <w:sz w:val="18"/>
          <w:szCs w:val="18"/>
          <w:color w:val="auto"/>
        </w:rPr>
        <w:t>of this Report.</w:t>
      </w:r>
    </w:p>
    <w:p>
      <w:pPr>
        <w:spacing w:after="0" w:line="1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2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2021. With the exception of the impacts of COVID-19, which are discussed elsewhere in this Report, there have been no material changes in our reported market risks or risk management policies since the filing of our Annual Report on Form 10-K for the year ended September 30, 2021.</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evaluated the effectiveness of the design and operation of our disclosure controls and procedures as of March 31, 2022. Our principal executive officer and principal financial officer have concluded that as of March 31, 2022,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2022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8" w:lineRule="exact"/>
        <w:rPr>
          <w:sz w:val="20"/>
          <w:szCs w:val="20"/>
          <w:color w:val="auto"/>
        </w:rPr>
      </w:pPr>
    </w:p>
    <w:p>
      <w:pPr>
        <w:ind w:right="3600" w:firstLine="3627"/>
        <w:spacing w:after="0" w:line="395" w:lineRule="auto"/>
        <w:rPr>
          <w:sz w:val="20"/>
          <w:szCs w:val="20"/>
          <w:color w:val="auto"/>
        </w:rPr>
      </w:pPr>
      <w:r>
        <w:rPr>
          <w:rFonts w:ascii="Arial" w:cs="Arial" w:eastAsia="Arial" w:hAnsi="Arial"/>
          <w:sz w:val="25"/>
          <w:szCs w:val="25"/>
          <w:b w:val="1"/>
          <w:bCs w:val="1"/>
          <w:color w:val="00497F"/>
        </w:rPr>
        <w:t>PART II — OTHER INFORMATION ITEM 1. LEGAL PROCEEDINGS</w:t>
      </w:r>
    </w:p>
    <w:p>
      <w:pPr>
        <w:spacing w:after="0" w:line="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See Note 10: Contingencies of Notes to Interim Condensed Consolidated Financial Statements included in "Part I, Item 1 —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201" w:lineRule="exact"/>
        <w:rPr>
          <w:sz w:val="20"/>
          <w:szCs w:val="20"/>
          <w:color w:val="auto"/>
        </w:rPr>
      </w:pPr>
    </w:p>
    <w:p>
      <w:pPr>
        <w:ind w:right="12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Important risk factors that could affect our operations and financial performance, or that could cause results or events to differ from current expectations, are described in </w:t>
      </w:r>
      <w:hyperlink r:id="rId21">
        <w:r>
          <w:rPr>
            <w:rFonts w:ascii="Arial" w:cs="Arial" w:eastAsia="Arial" w:hAnsi="Arial"/>
            <w:sz w:val="17"/>
            <w:szCs w:val="17"/>
            <w:color w:val="auto"/>
          </w:rPr>
          <w:t xml:space="preserve">"Part I, Item 1A — Risk Factors" of our Annual Report on Form 10-K for the year ended September 30, </w:t>
        </w:r>
      </w:hyperlink>
      <w:r>
        <w:rPr>
          <w:rFonts w:ascii="Arial" w:cs="Arial" w:eastAsia="Arial" w:hAnsi="Arial"/>
          <w:sz w:val="17"/>
          <w:szCs w:val="17"/>
          <w:color w:val="auto"/>
        </w:rPr>
        <w:t>2021.</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94"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27260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6000" w:val="left"/>
          <w:tab w:leader="none" w:pos="6780" w:val="left"/>
          <w:tab w:leader="none" w:pos="7780" w:val="left"/>
          <w:tab w:leader="none" w:pos="8900" w:val="left"/>
        </w:tabs>
        <w:rPr>
          <w:sz w:val="20"/>
          <w:szCs w:val="20"/>
          <w:color w:val="auto"/>
        </w:rPr>
      </w:pPr>
      <w:r>
        <w:rPr>
          <w:rFonts w:ascii="Arial" w:cs="Arial" w:eastAsia="Arial" w:hAnsi="Arial"/>
          <w:sz w:val="16"/>
          <w:szCs w:val="16"/>
          <w:b w:val="1"/>
          <w:bCs w:val="1"/>
          <w:color w:val="auto"/>
        </w:rPr>
        <w:t>Exhibit  Description of Exhibit</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64719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64"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41">
        <w:r>
          <w:rPr>
            <w:rFonts w:ascii="Arial" w:cs="Arial" w:eastAsia="Arial" w:hAnsi="Arial"/>
            <w:sz w:val="16"/>
            <w:szCs w:val="16"/>
            <w:u w:val="single" w:color="auto"/>
            <w:color w:val="0000FF"/>
          </w:rPr>
          <w:t>Certification of Principal Executive Officer, pursuant to Rule 13a-</w:t>
        </w:r>
      </w:hyperlink>
    </w:p>
    <w:p>
      <w:pPr>
        <w:ind w:left="800"/>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14(a) under the Securities Exchange Act of 1934</w:t>
        </w:r>
      </w:hyperlink>
    </w:p>
    <w:p>
      <w:pPr>
        <w:spacing w:after="0" w:line="10"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42">
        <w:r>
          <w:rPr>
            <w:rFonts w:ascii="Arial" w:cs="Arial" w:eastAsia="Arial" w:hAnsi="Arial"/>
            <w:sz w:val="16"/>
            <w:szCs w:val="16"/>
            <w:u w:val="single" w:color="auto"/>
            <w:color w:val="0000FF"/>
          </w:rPr>
          <w:t>Certification of Principal Financial Officer, pursuant to Rule 13a-14(a)</w:t>
        </w:r>
      </w:hyperlink>
    </w:p>
    <w:p>
      <w:pPr>
        <w:ind w:left="80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2" w:lineRule="exact"/>
        <w:rPr>
          <w:sz w:val="20"/>
          <w:szCs w:val="20"/>
          <w:color w:val="auto"/>
        </w:rPr>
      </w:pPr>
    </w:p>
    <w:p>
      <w:pPr>
        <w:ind w:left="800" w:right="4240" w:hanging="604"/>
        <w:spacing w:after="0" w:line="232"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43">
        <w:r>
          <w:rPr>
            <w:rFonts w:ascii="Arial" w:cs="Arial" w:eastAsia="Arial" w:hAnsi="Arial"/>
            <w:sz w:val="16"/>
            <w:szCs w:val="16"/>
            <w:u w:val="single" w:color="auto"/>
            <w:color w:val="0000FF"/>
          </w:rPr>
          <w:t>Certifications of Principal Executive Officer and Principal Financial</w:t>
        </w:r>
      </w:hyperlink>
      <w:r>
        <w:rPr>
          <w:rFonts w:ascii="Arial" w:cs="Arial" w:eastAsia="Arial" w:hAnsi="Arial"/>
          <w:sz w:val="16"/>
          <w:szCs w:val="16"/>
          <w:u w:val="single" w:color="auto"/>
          <w:color w:val="0000FF"/>
        </w:rPr>
        <w:t xml:space="preserve"> </w:t>
      </w:r>
      <w:hyperlink w:anchor="page43">
        <w:r>
          <w:rPr>
            <w:rFonts w:ascii="Arial" w:cs="Arial" w:eastAsia="Arial" w:hAnsi="Arial"/>
            <w:sz w:val="16"/>
            <w:szCs w:val="16"/>
            <w:u w:val="single" w:color="auto"/>
            <w:color w:val="0000FF"/>
          </w:rPr>
          <w:t>Officer, pursuant to 18 U.S.C. Section 1350</w:t>
        </w:r>
      </w:hyperlink>
    </w:p>
    <w:p>
      <w:pPr>
        <w:spacing w:after="0" w:line="22"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21.1</w:t>
      </w:r>
      <w:r>
        <w:rPr>
          <w:sz w:val="20"/>
          <w:szCs w:val="20"/>
          <w:color w:val="auto"/>
        </w:rPr>
        <w:tab/>
      </w:r>
      <w:hyperlink w:anchor="page39">
        <w:r>
          <w:rPr>
            <w:rFonts w:ascii="Arial" w:cs="Arial" w:eastAsia="Arial" w:hAnsi="Arial"/>
            <w:sz w:val="16"/>
            <w:szCs w:val="16"/>
            <w:u w:val="single" w:color="auto"/>
            <w:color w:val="0000FF"/>
          </w:rPr>
          <w:t>List of Subsidiaries of EZCORP,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342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2" w:lineRule="exact"/>
        <w:rPr>
          <w:sz w:val="20"/>
          <w:szCs w:val="20"/>
          <w:color w:val="auto"/>
        </w:rPr>
      </w:pPr>
    </w:p>
    <w:p>
      <w:pPr>
        <w:ind w:left="800" w:right="4280" w:hanging="694"/>
        <w:spacing w:after="0" w:line="225" w:lineRule="auto"/>
        <w:rPr>
          <w:sz w:val="20"/>
          <w:szCs w:val="20"/>
          <w:color w:val="auto"/>
        </w:rPr>
      </w:pPr>
      <w:r>
        <w:rPr>
          <w:rFonts w:ascii="Arial" w:cs="Arial" w:eastAsia="Arial" w:hAnsi="Arial"/>
          <w:sz w:val="16"/>
          <w:szCs w:val="16"/>
          <w:color w:val="auto"/>
        </w:rPr>
        <w:t>101.INS Inline XBRL Instance Document (the instance document does not appear in the interactive data files because the XBRL tags are embedded within the Inline XBRL document)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101.CAL Inline XBRL Taxonomy Extension Calculation Linkbase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101.LAB Inline XBRL Taxonomy Extension Labels Linkbase Document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sectPr>
          <w:pgSz w:w="11900" w:h="16838" w:orient="portrait"/>
          <w:cols w:equalWidth="0" w:num="2">
            <w:col w:w="9760" w:space="680"/>
            <w:col w:w="680"/>
          </w:cols>
          <w:pgMar w:left="320" w:top="144" w:right="459" w:bottom="1440" w:gutter="0" w:footer="0" w:header="0"/>
        </w:sectPr>
      </w:pPr>
    </w:p>
    <w:p>
      <w:pPr>
        <w:ind w:left="800" w:right="5440" w:hanging="542"/>
        <w:spacing w:after="0" w:line="232"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17" w:lineRule="exact"/>
        <w:rPr>
          <w:sz w:val="20"/>
          <w:szCs w:val="20"/>
          <w:color w:val="auto"/>
        </w:rPr>
      </w:pPr>
    </w:p>
    <w:p>
      <w:pPr>
        <w:ind w:left="800" w:right="180" w:hanging="774"/>
        <w:spacing w:after="0" w:line="219"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7"/>
          <w:szCs w:val="17"/>
          <w:color w:val="auto"/>
        </w:rPr>
        <w:t>/s/Timothy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6350</wp:posOffset>
            </wp:positionV>
            <wp:extent cx="33343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Timothy K. Jugmans,</w:t>
      </w: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144" w:right="4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180" w:type="dxa"/>
            <w:vAlign w:val="bottom"/>
            <w:gridSpan w:val="2"/>
          </w:tcPr>
          <w:p>
            <w:pPr>
              <w:ind w:left="6260"/>
              <w:spacing w:after="0"/>
              <w:rPr>
                <w:sz w:val="20"/>
                <w:szCs w:val="20"/>
                <w:color w:val="auto"/>
              </w:rPr>
            </w:pPr>
            <w:r>
              <w:rPr>
                <w:rFonts w:ascii="Arial" w:cs="Arial" w:eastAsia="Arial" w:hAnsi="Arial"/>
                <w:sz w:val="18"/>
                <w:szCs w:val="18"/>
                <w:b w:val="1"/>
                <w:bCs w:val="1"/>
                <w:color w:val="auto"/>
                <w:w w:val="89"/>
              </w:rPr>
              <w:t>Exhibit 21.1</w:t>
            </w:r>
          </w:p>
        </w:tc>
      </w:tr>
      <w:tr>
        <w:trPr>
          <w:trHeight w:val="553"/>
        </w:trPr>
        <w:tc>
          <w:tcPr>
            <w:tcW w:w="3560" w:type="dxa"/>
            <w:vAlign w:val="bottom"/>
          </w:tcPr>
          <w:p>
            <w:pPr>
              <w:spacing w:after="0"/>
              <w:rPr>
                <w:sz w:val="24"/>
                <w:szCs w:val="24"/>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b w:val="1"/>
                <w:bCs w:val="1"/>
                <w:color w:val="auto"/>
              </w:rPr>
              <w:t>SUBSIDIARIES OF EZCORP, INC.</w:t>
            </w:r>
          </w:p>
        </w:tc>
      </w:tr>
      <w:tr>
        <w:trPr>
          <w:trHeight w:val="230"/>
        </w:trPr>
        <w:tc>
          <w:tcPr>
            <w:tcW w:w="3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w:t>
            </w:r>
          </w:p>
        </w:tc>
        <w:tc>
          <w:tcPr>
            <w:tcW w:w="6700" w:type="dxa"/>
            <w:vAlign w:val="bottom"/>
            <w:tcBorders>
              <w:top w:val="single" w:sz="8" w:color="auto"/>
              <w:bottom w:val="single" w:sz="8" w:color="auto"/>
            </w:tcBorders>
          </w:tcPr>
          <w:p>
            <w:pPr>
              <w:jc w:val="center"/>
              <w:ind w:left="4030"/>
              <w:spacing w:after="0"/>
              <w:rPr>
                <w:sz w:val="20"/>
                <w:szCs w:val="20"/>
                <w:color w:val="auto"/>
              </w:rPr>
            </w:pPr>
            <w:r>
              <w:rPr>
                <w:rFonts w:ascii="Arial" w:cs="Arial" w:eastAsia="Arial" w:hAnsi="Arial"/>
                <w:sz w:val="18"/>
                <w:szCs w:val="18"/>
                <w:b w:val="1"/>
                <w:bCs w:val="1"/>
                <w:color w:val="auto"/>
                <w:w w:val="91"/>
              </w:rPr>
              <w:t>Jurisdiction of Organization</w:t>
            </w:r>
          </w:p>
        </w:tc>
        <w:tc>
          <w:tcPr>
            <w:tcW w:w="480" w:type="dxa"/>
            <w:vAlign w:val="bottom"/>
          </w:tcPr>
          <w:p>
            <w:pPr>
              <w:spacing w:after="0"/>
              <w:rPr>
                <w:sz w:val="20"/>
                <w:szCs w:val="20"/>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Brainerd Honduras, S.A. de C.V.</w:t>
            </w:r>
          </w:p>
        </w:tc>
        <w:tc>
          <w:tcPr>
            <w:tcW w:w="6700" w:type="dxa"/>
            <w:vAlign w:val="bottom"/>
            <w:shd w:val="clear" w:color="auto" w:fill="CCEEFF"/>
          </w:tcPr>
          <w:p>
            <w:pPr>
              <w:ind w:left="5400"/>
              <w:spacing w:after="0"/>
              <w:rPr>
                <w:sz w:val="20"/>
                <w:szCs w:val="20"/>
                <w:color w:val="auto"/>
              </w:rPr>
            </w:pPr>
            <w:r>
              <w:rPr>
                <w:rFonts w:ascii="Arial" w:cs="Arial" w:eastAsia="Arial" w:hAnsi="Arial"/>
                <w:sz w:val="18"/>
                <w:szCs w:val="18"/>
                <w:color w:val="auto"/>
              </w:rPr>
              <w:t>Honduras</w:t>
            </w:r>
          </w:p>
        </w:tc>
        <w:tc>
          <w:tcPr>
            <w:tcW w:w="480" w:type="dxa"/>
            <w:vAlign w:val="bottom"/>
          </w:tcPr>
          <w:p>
            <w:pPr>
              <w:spacing w:after="0"/>
              <w:rPr>
                <w:sz w:val="19"/>
                <w:szCs w:val="19"/>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Brainerd, S.A.</w:t>
            </w:r>
          </w:p>
        </w:tc>
        <w:tc>
          <w:tcPr>
            <w:tcW w:w="7180" w:type="dxa"/>
            <w:vAlign w:val="bottom"/>
            <w:gridSpan w:val="2"/>
          </w:tcPr>
          <w:p>
            <w:pPr>
              <w:jc w:val="center"/>
              <w:ind w:left="3550"/>
              <w:spacing w:after="0"/>
              <w:rPr>
                <w:sz w:val="20"/>
                <w:szCs w:val="20"/>
                <w:color w:val="auto"/>
              </w:rPr>
            </w:pPr>
            <w:r>
              <w:rPr>
                <w:rFonts w:ascii="Arial" w:cs="Arial" w:eastAsia="Arial" w:hAnsi="Arial"/>
                <w:sz w:val="18"/>
                <w:szCs w:val="18"/>
                <w:color w:val="auto"/>
                <w:w w:val="88"/>
              </w:rPr>
              <w:t>Guatemala</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Brainerd, S.A.C.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4"/>
              </w:rPr>
              <w:t>Peru</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Brainerd, S.A. de C.V.</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91"/>
              </w:rPr>
              <w:t>El Salvador</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Camira Administration Corp</w:t>
            </w:r>
          </w:p>
        </w:tc>
        <w:tc>
          <w:tcPr>
            <w:tcW w:w="6700" w:type="dxa"/>
            <w:vAlign w:val="bottom"/>
            <w:shd w:val="clear" w:color="auto" w:fill="CCEEFF"/>
          </w:tcPr>
          <w:p>
            <w:pPr>
              <w:jc w:val="center"/>
              <w:ind w:left="4030"/>
              <w:spacing w:after="0"/>
              <w:rPr>
                <w:sz w:val="20"/>
                <w:szCs w:val="20"/>
                <w:color w:val="auto"/>
              </w:rPr>
            </w:pPr>
            <w:r>
              <w:rPr>
                <w:rFonts w:ascii="Arial" w:cs="Arial" w:eastAsia="Arial" w:hAnsi="Arial"/>
                <w:sz w:val="18"/>
                <w:szCs w:val="18"/>
                <w:color w:val="auto"/>
                <w:w w:val="94"/>
              </w:rPr>
              <w:t>British Virgin Islands</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Cap City Holdings, LLC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CCV Americas, LLC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CCV Latin America Coöperatief, U.A</w:t>
            </w:r>
          </w:p>
        </w:tc>
        <w:tc>
          <w:tcPr>
            <w:tcW w:w="7180" w:type="dxa"/>
            <w:vAlign w:val="bottom"/>
            <w:gridSpan w:val="2"/>
          </w:tcPr>
          <w:p>
            <w:pPr>
              <w:jc w:val="center"/>
              <w:ind w:left="3550"/>
              <w:spacing w:after="0"/>
              <w:rPr>
                <w:sz w:val="20"/>
                <w:szCs w:val="20"/>
                <w:color w:val="auto"/>
              </w:rPr>
            </w:pPr>
            <w:r>
              <w:rPr>
                <w:rFonts w:ascii="Arial" w:cs="Arial" w:eastAsia="Arial" w:hAnsi="Arial"/>
                <w:sz w:val="18"/>
                <w:szCs w:val="18"/>
                <w:color w:val="auto"/>
                <w:w w:val="88"/>
              </w:rPr>
              <w:t>Netherlands</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CCV Pennsylvania,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Change Capital International Holdings, B.V.</w:t>
            </w:r>
          </w:p>
        </w:tc>
        <w:tc>
          <w:tcPr>
            <w:tcW w:w="7180" w:type="dxa"/>
            <w:vAlign w:val="bottom"/>
            <w:gridSpan w:val="2"/>
          </w:tcPr>
          <w:p>
            <w:pPr>
              <w:jc w:val="center"/>
              <w:ind w:left="3550"/>
              <w:spacing w:after="0"/>
              <w:rPr>
                <w:sz w:val="20"/>
                <w:szCs w:val="20"/>
                <w:color w:val="auto"/>
              </w:rPr>
            </w:pPr>
            <w:r>
              <w:rPr>
                <w:rFonts w:ascii="Arial" w:cs="Arial" w:eastAsia="Arial" w:hAnsi="Arial"/>
                <w:sz w:val="18"/>
                <w:szCs w:val="18"/>
                <w:color w:val="auto"/>
                <w:w w:val="88"/>
              </w:rPr>
              <w:t>Netherlands</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Change Capital Mexico Holdings, S.A. de C.V.</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98"/>
              </w:rPr>
              <w:t>Mexico</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EGreen Financial,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 Online Sales,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 Talent S. de R.L. de C.V</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98"/>
              </w:rPr>
              <w:t>Mexico</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 Transfers S.A. de C.V.</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98"/>
              </w:rPr>
              <w:t>Mexico</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EZCORP (2015) Asia-Pacific PTE, LTD</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7"/>
              </w:rPr>
              <w:t>Singapore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EZCORP FS Holdings,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EZCORP Global, B.V.</w:t>
            </w:r>
          </w:p>
        </w:tc>
        <w:tc>
          <w:tcPr>
            <w:tcW w:w="7180" w:type="dxa"/>
            <w:vAlign w:val="bottom"/>
            <w:gridSpan w:val="2"/>
          </w:tcPr>
          <w:p>
            <w:pPr>
              <w:jc w:val="center"/>
              <w:ind w:left="3550"/>
              <w:spacing w:after="0"/>
              <w:rPr>
                <w:sz w:val="20"/>
                <w:szCs w:val="20"/>
                <w:color w:val="auto"/>
              </w:rPr>
            </w:pPr>
            <w:r>
              <w:rPr>
                <w:rFonts w:ascii="Arial" w:cs="Arial" w:eastAsia="Arial" w:hAnsi="Arial"/>
                <w:sz w:val="18"/>
                <w:szCs w:val="18"/>
                <w:color w:val="auto"/>
                <w:w w:val="88"/>
              </w:rPr>
              <w:t>Netherlands</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EZCORP Global Holdings, C.V.</w:t>
            </w:r>
          </w:p>
        </w:tc>
        <w:tc>
          <w:tcPr>
            <w:tcW w:w="6700" w:type="dxa"/>
            <w:vAlign w:val="bottom"/>
            <w:shd w:val="clear" w:color="auto" w:fill="CCEEFF"/>
          </w:tcPr>
          <w:p>
            <w:pPr>
              <w:jc w:val="center"/>
              <w:ind w:left="4030"/>
              <w:spacing w:after="0"/>
              <w:rPr>
                <w:sz w:val="20"/>
                <w:szCs w:val="20"/>
                <w:color w:val="auto"/>
              </w:rPr>
            </w:pPr>
            <w:r>
              <w:rPr>
                <w:rFonts w:ascii="Arial" w:cs="Arial" w:eastAsia="Arial" w:hAnsi="Arial"/>
                <w:sz w:val="18"/>
                <w:szCs w:val="18"/>
                <w:color w:val="auto"/>
                <w:w w:val="88"/>
              </w:rPr>
              <w:t>Netherlands</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EZCORP International,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EZCORP International Holdings, LLC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EZCORP Latin America Coöperatief, U.A.</w:t>
            </w:r>
          </w:p>
        </w:tc>
        <w:tc>
          <w:tcPr>
            <w:tcW w:w="7180" w:type="dxa"/>
            <w:vAlign w:val="bottom"/>
            <w:gridSpan w:val="2"/>
          </w:tcPr>
          <w:p>
            <w:pPr>
              <w:jc w:val="center"/>
              <w:ind w:left="3550"/>
              <w:spacing w:after="0"/>
              <w:rPr>
                <w:sz w:val="20"/>
                <w:szCs w:val="20"/>
                <w:color w:val="auto"/>
              </w:rPr>
            </w:pPr>
            <w:r>
              <w:rPr>
                <w:rFonts w:ascii="Arial" w:cs="Arial" w:eastAsia="Arial" w:hAnsi="Arial"/>
                <w:sz w:val="18"/>
                <w:szCs w:val="18"/>
                <w:color w:val="auto"/>
                <w:w w:val="88"/>
              </w:rPr>
              <w:t>Netherlands</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EZCORP UK Limited</w:t>
            </w:r>
          </w:p>
        </w:tc>
        <w:tc>
          <w:tcPr>
            <w:tcW w:w="6700" w:type="dxa"/>
            <w:vAlign w:val="bottom"/>
            <w:shd w:val="clear" w:color="auto" w:fill="CCEEFF"/>
          </w:tcPr>
          <w:p>
            <w:pPr>
              <w:jc w:val="center"/>
              <w:ind w:left="4030"/>
              <w:spacing w:after="0"/>
              <w:rPr>
                <w:sz w:val="20"/>
                <w:szCs w:val="20"/>
                <w:color w:val="auto"/>
              </w:rPr>
            </w:pPr>
            <w:r>
              <w:rPr>
                <w:rFonts w:ascii="Arial" w:cs="Arial" w:eastAsia="Arial" w:hAnsi="Arial"/>
                <w:sz w:val="18"/>
                <w:szCs w:val="18"/>
                <w:color w:val="auto"/>
                <w:w w:val="95"/>
              </w:rPr>
              <w:t>United Kingdom</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EZCORP USA,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Alabama,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EZMONEY Canada Holdings,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94"/>
              </w:rPr>
              <w:t>British Columbia</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Canada,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EZMONEY Colorado,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Hawaii,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EZMONEY Holdings,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Idaho,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EZMONEY Kansas,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Management,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EZMONEY Missouri,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South Dakota,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EZMONEY Tario,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94"/>
              </w:rPr>
              <w:t>British Columbia</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Tennessee,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EZMONEY Utah,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EZMONEY Wisconsin,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EZPAWN Alabama,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Arizona,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EZPAWN Arkansas,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Colorado,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EZPAWN Florida, Inc.</w:t>
            </w:r>
          </w:p>
        </w:tc>
        <w:tc>
          <w:tcPr>
            <w:tcW w:w="718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Delaware</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Georgia, Inc.</w:t>
            </w:r>
          </w:p>
        </w:tc>
        <w:tc>
          <w:tcPr>
            <w:tcW w:w="6700" w:type="dxa"/>
            <w:vAlign w:val="bottom"/>
            <w:shd w:val="clear" w:color="auto" w:fill="CCEEFF"/>
          </w:tcPr>
          <w:p>
            <w:pPr>
              <w:jc w:val="center"/>
              <w:ind w:left="4010"/>
              <w:spacing w:after="0"/>
              <w:rPr>
                <w:sz w:val="20"/>
                <w:szCs w:val="20"/>
                <w:color w:val="auto"/>
              </w:rPr>
            </w:pPr>
            <w:r>
              <w:rPr>
                <w:rFonts w:ascii="Arial" w:cs="Arial" w:eastAsia="Arial" w:hAnsi="Arial"/>
                <w:sz w:val="18"/>
                <w:szCs w:val="18"/>
                <w:color w:val="auto"/>
                <w:w w:val="89"/>
              </w:rPr>
              <w:t>Delaware</w:t>
            </w:r>
          </w:p>
        </w:tc>
        <w:tc>
          <w:tcPr>
            <w:tcW w:w="4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65233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-153670</wp:posOffset>
            </wp:positionV>
            <wp:extent cx="65233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-307975</wp:posOffset>
            </wp:positionV>
            <wp:extent cx="65233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-462280</wp:posOffset>
            </wp:positionV>
            <wp:extent cx="65233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-616585</wp:posOffset>
            </wp:positionV>
            <wp:extent cx="65233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-770890</wp:posOffset>
            </wp:positionV>
            <wp:extent cx="65233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-925195</wp:posOffset>
            </wp:positionV>
            <wp:extent cx="65233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-1079500</wp:posOffset>
            </wp:positionV>
            <wp:extent cx="65233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-1233805</wp:posOffset>
            </wp:positionV>
            <wp:extent cx="65233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-1388110</wp:posOffset>
            </wp:positionV>
            <wp:extent cx="65233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-1542415</wp:posOffset>
            </wp:positionV>
            <wp:extent cx="65233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-1696720</wp:posOffset>
            </wp:positionV>
            <wp:extent cx="65233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-1851025</wp:posOffset>
            </wp:positionV>
            <wp:extent cx="65233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-2005330</wp:posOffset>
            </wp:positionV>
            <wp:extent cx="65233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-2159635</wp:posOffset>
            </wp:positionV>
            <wp:extent cx="65233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-2313940</wp:posOffset>
            </wp:positionV>
            <wp:extent cx="65233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-2468245</wp:posOffset>
            </wp:positionV>
            <wp:extent cx="65233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-2622550</wp:posOffset>
            </wp:positionV>
            <wp:extent cx="65233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-2776855</wp:posOffset>
            </wp:positionV>
            <wp:extent cx="65233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-2931160</wp:posOffset>
            </wp:positionV>
            <wp:extent cx="65233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-3085465</wp:posOffset>
            </wp:positionV>
            <wp:extent cx="65233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-3239770</wp:posOffset>
            </wp:positionV>
            <wp:extent cx="65233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-3394075</wp:posOffset>
            </wp:positionV>
            <wp:extent cx="65233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-3548380</wp:posOffset>
            </wp:positionV>
            <wp:extent cx="65233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-3702685</wp:posOffset>
            </wp:positionV>
            <wp:extent cx="65233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-3856990</wp:posOffset>
            </wp:positionV>
            <wp:extent cx="65233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-4011295</wp:posOffset>
            </wp:positionV>
            <wp:extent cx="65233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-4165600</wp:posOffset>
            </wp:positionV>
            <wp:extent cx="65233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-4319905</wp:posOffset>
            </wp:positionV>
            <wp:extent cx="65233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-4474210</wp:posOffset>
            </wp:positionV>
            <wp:extent cx="65233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-4628515</wp:posOffset>
            </wp:positionV>
            <wp:extent cx="65233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-4782820</wp:posOffset>
            </wp:positionV>
            <wp:extent cx="65233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-4937125</wp:posOffset>
            </wp:positionV>
            <wp:extent cx="65233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-5091430</wp:posOffset>
            </wp:positionV>
            <wp:extent cx="65233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-5245735</wp:posOffset>
            </wp:positionV>
            <wp:extent cx="65233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-5400040</wp:posOffset>
            </wp:positionV>
            <wp:extent cx="65233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-5554345</wp:posOffset>
            </wp:positionV>
            <wp:extent cx="65233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-5708650</wp:posOffset>
            </wp:positionV>
            <wp:extent cx="65233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-5862955</wp:posOffset>
            </wp:positionV>
            <wp:extent cx="65233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-6017260</wp:posOffset>
            </wp:positionV>
            <wp:extent cx="65233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-6171565</wp:posOffset>
            </wp:positionV>
            <wp:extent cx="65233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-6325870</wp:posOffset>
            </wp:positionV>
            <wp:extent cx="65233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-6480175</wp:posOffset>
            </wp:positionV>
            <wp:extent cx="65233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-6634480</wp:posOffset>
            </wp:positionV>
            <wp:extent cx="65233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-6788785</wp:posOffset>
            </wp:positionV>
            <wp:extent cx="65233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ectPr>
          <w:pgSz w:w="11900" w:h="16838" w:orient="portrait"/>
          <w:cols w:equalWidth="0" w:num="1">
            <w:col w:w="10740"/>
          </w:cols>
          <w:pgMar w:left="820" w:top="87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SUBSIDIARIES OF EZCORP, INC.</w:t>
            </w:r>
          </w:p>
        </w:tc>
      </w:tr>
      <w:tr>
        <w:trPr>
          <w:trHeight w:val="228"/>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6540" w:type="dxa"/>
            <w:vAlign w:val="bottom"/>
          </w:tcPr>
          <w:p>
            <w:pPr>
              <w:jc w:val="center"/>
              <w:ind w:left="3870"/>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38"/>
        </w:trPr>
        <w:tc>
          <w:tcPr>
            <w:tcW w:w="3720" w:type="dxa"/>
            <w:vAlign w:val="bottom"/>
          </w:tcPr>
          <w:p>
            <w:pPr>
              <w:ind w:left="20"/>
              <w:spacing w:after="0"/>
              <w:rPr>
                <w:sz w:val="20"/>
                <w:szCs w:val="20"/>
                <w:color w:val="auto"/>
              </w:rPr>
            </w:pPr>
            <w:r>
              <w:rPr>
                <w:rFonts w:ascii="Arial" w:cs="Arial" w:eastAsia="Arial" w:hAnsi="Arial"/>
                <w:sz w:val="18"/>
                <w:szCs w:val="18"/>
                <w:color w:val="auto"/>
              </w:rPr>
              <w:t>EZPAWN Holdings, Inc.</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Illinois, Inc.</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EZPAWN Indiana, Inc.</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Iowa, Inc.</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w w:val="91"/>
              </w:rPr>
              <w:t>EZPAWN Management Mexico, S. de R.L. de C.V.</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98"/>
              </w:rPr>
              <w:t>Mexico</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Mexico Holdings, LLC.</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EZPAWN Mexico Ltd., LLC.</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Minnesota, Inc.</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EZPAWN Nevada, Inc.</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Oklahoma, Inc.</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EZPAWN Oregon, Inc.</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EZPAWN Services Mexico, S. de R.L. de C.V.</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98"/>
              </w:rPr>
              <w:t>Mexico</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EZPAWN Tennessee, Inc.</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EZPAWN Utah, Inc.</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Janama Honduras, S.A. de C.V.</w:t>
            </w:r>
          </w:p>
        </w:tc>
        <w:tc>
          <w:tcPr>
            <w:tcW w:w="6540" w:type="dxa"/>
            <w:vAlign w:val="bottom"/>
          </w:tcPr>
          <w:p>
            <w:pPr>
              <w:jc w:val="center"/>
              <w:ind w:left="3870"/>
              <w:spacing w:after="0"/>
              <w:rPr>
                <w:sz w:val="20"/>
                <w:szCs w:val="20"/>
                <w:color w:val="auto"/>
              </w:rPr>
            </w:pPr>
            <w:r>
              <w:rPr>
                <w:rFonts w:ascii="Arial" w:cs="Arial" w:eastAsia="Arial" w:hAnsi="Arial"/>
                <w:sz w:val="18"/>
                <w:szCs w:val="18"/>
                <w:color w:val="auto"/>
                <w:w w:val="89"/>
              </w:rPr>
              <w:t>Honduras</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Janama, S.A.</w:t>
            </w:r>
          </w:p>
        </w:tc>
        <w:tc>
          <w:tcPr>
            <w:tcW w:w="6540" w:type="dxa"/>
            <w:vAlign w:val="bottom"/>
            <w:shd w:val="clear" w:color="auto" w:fill="CCEEFF"/>
          </w:tcPr>
          <w:p>
            <w:pPr>
              <w:jc w:val="center"/>
              <w:ind w:left="3870"/>
              <w:spacing w:after="0"/>
              <w:rPr>
                <w:sz w:val="20"/>
                <w:szCs w:val="20"/>
                <w:color w:val="auto"/>
              </w:rPr>
            </w:pPr>
            <w:r>
              <w:rPr>
                <w:rFonts w:ascii="Arial" w:cs="Arial" w:eastAsia="Arial" w:hAnsi="Arial"/>
                <w:sz w:val="18"/>
                <w:szCs w:val="18"/>
                <w:color w:val="auto"/>
                <w:w w:val="88"/>
              </w:rPr>
              <w:t>Guatemala</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Janama, S.A.C.</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4"/>
              </w:rPr>
              <w:t>Peru</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Janama, S.A. de C.V.</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91"/>
              </w:rPr>
              <w:t>El Salvador</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Khoper Advisors, Ltd.</w:t>
            </w:r>
          </w:p>
        </w:tc>
        <w:tc>
          <w:tcPr>
            <w:tcW w:w="6540" w:type="dxa"/>
            <w:vAlign w:val="bottom"/>
          </w:tcPr>
          <w:p>
            <w:pPr>
              <w:jc w:val="center"/>
              <w:ind w:left="3870"/>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Madras Investments Corp.</w:t>
            </w:r>
          </w:p>
        </w:tc>
        <w:tc>
          <w:tcPr>
            <w:tcW w:w="6540" w:type="dxa"/>
            <w:vAlign w:val="bottom"/>
            <w:shd w:val="clear" w:color="auto" w:fill="CCEEFF"/>
          </w:tcPr>
          <w:p>
            <w:pPr>
              <w:jc w:val="center"/>
              <w:ind w:left="3870"/>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Maxiefectivo Peru, S.A.C.</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4"/>
              </w:rPr>
              <w:t>Peru</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Maxiprestamos. S.A. de C.V.</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91"/>
              </w:rPr>
              <w:t>El Salvador</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Miravet Planning Corp</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3"/>
              </w:rPr>
              <w:t>Panama</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Mister Money Holdings, Inc.</w:t>
            </w:r>
          </w:p>
        </w:tc>
        <w:tc>
          <w:tcPr>
            <w:tcW w:w="6540" w:type="dxa"/>
            <w:vAlign w:val="bottom"/>
            <w:shd w:val="clear" w:color="auto" w:fill="CCEEFF"/>
          </w:tcPr>
          <w:p>
            <w:pPr>
              <w:jc w:val="center"/>
              <w:ind w:left="3870"/>
              <w:spacing w:after="0"/>
              <w:rPr>
                <w:sz w:val="20"/>
                <w:szCs w:val="20"/>
                <w:color w:val="auto"/>
              </w:rPr>
            </w:pPr>
            <w:r>
              <w:rPr>
                <w:rFonts w:ascii="Arial" w:cs="Arial" w:eastAsia="Arial" w:hAnsi="Arial"/>
                <w:sz w:val="18"/>
                <w:szCs w:val="18"/>
                <w:color w:val="auto"/>
                <w:w w:val="90"/>
              </w:rPr>
              <w:t>Colorado</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MP Luxury, LLC</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Operadora de Servicios, S.A. de C.V.</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91"/>
              </w:rPr>
              <w:t>El Salvador</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Parkway Insurance, Inc.</w:t>
            </w:r>
          </w:p>
        </w:tc>
        <w:tc>
          <w:tcPr>
            <w:tcW w:w="6540" w:type="dxa"/>
            <w:vAlign w:val="bottom"/>
          </w:tcPr>
          <w:p>
            <w:pPr>
              <w:jc w:val="center"/>
              <w:ind w:left="3870"/>
              <w:spacing w:after="0"/>
              <w:rPr>
                <w:sz w:val="20"/>
                <w:szCs w:val="20"/>
                <w:color w:val="auto"/>
              </w:rPr>
            </w:pPr>
            <w:r>
              <w:rPr>
                <w:rFonts w:ascii="Arial" w:cs="Arial" w:eastAsia="Arial" w:hAnsi="Arial"/>
                <w:sz w:val="18"/>
                <w:szCs w:val="18"/>
                <w:color w:val="auto"/>
                <w:w w:val="85"/>
              </w:rPr>
              <w:t>Texas</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Payday Loan Management, Inc.</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PLO Del Bajio S. de R.L. de C.V.</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98"/>
              </w:rPr>
              <w:t>Mexico</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Prenda Aval, S.A. de C.V.</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91"/>
              </w:rPr>
              <w:t>El Salvador</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Renueva Comercial, S.A.P.I. de C.V.</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98"/>
              </w:rPr>
              <w:t>Mexico</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Salvaprenda, S.A. de C.V.</w:t>
            </w:r>
          </w:p>
        </w:tc>
        <w:tc>
          <w:tcPr>
            <w:tcW w:w="654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91"/>
              </w:rPr>
              <w:t>El Salvador</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Texas EZMONEY, L.P.</w:t>
            </w:r>
          </w:p>
        </w:tc>
        <w:tc>
          <w:tcPr>
            <w:tcW w:w="6540" w:type="dxa"/>
            <w:vAlign w:val="bottom"/>
          </w:tcPr>
          <w:p>
            <w:pPr>
              <w:jc w:val="center"/>
              <w:ind w:left="3870"/>
              <w:spacing w:after="0"/>
              <w:rPr>
                <w:sz w:val="20"/>
                <w:szCs w:val="20"/>
                <w:color w:val="auto"/>
              </w:rPr>
            </w:pPr>
            <w:r>
              <w:rPr>
                <w:rFonts w:ascii="Arial" w:cs="Arial" w:eastAsia="Arial" w:hAnsi="Arial"/>
                <w:sz w:val="18"/>
                <w:szCs w:val="18"/>
                <w:color w:val="auto"/>
                <w:w w:val="85"/>
              </w:rPr>
              <w:t>Texas</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EZPAWN, L.P.</w:t>
            </w:r>
          </w:p>
        </w:tc>
        <w:tc>
          <w:tcPr>
            <w:tcW w:w="6540" w:type="dxa"/>
            <w:vAlign w:val="bottom"/>
            <w:shd w:val="clear" w:color="auto" w:fill="CCEEFF"/>
          </w:tcPr>
          <w:p>
            <w:pPr>
              <w:jc w:val="center"/>
              <w:ind w:left="3870"/>
              <w:spacing w:after="0"/>
              <w:rPr>
                <w:sz w:val="20"/>
                <w:szCs w:val="20"/>
                <w:color w:val="auto"/>
              </w:rPr>
            </w:pPr>
            <w:r>
              <w:rPr>
                <w:rFonts w:ascii="Arial" w:cs="Arial" w:eastAsia="Arial" w:hAnsi="Arial"/>
                <w:sz w:val="18"/>
                <w:szCs w:val="18"/>
                <w:color w:val="auto"/>
                <w:w w:val="85"/>
              </w:rPr>
              <w:t>Texas</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Texas EZPAWN Management, Inc.</w:t>
            </w:r>
          </w:p>
        </w:tc>
        <w:tc>
          <w:tcPr>
            <w:tcW w:w="6540" w:type="dxa"/>
            <w:vAlign w:val="bottom"/>
          </w:tcPr>
          <w:p>
            <w:pPr>
              <w:jc w:val="center"/>
              <w:ind w:left="3850"/>
              <w:spacing w:after="0"/>
              <w:rPr>
                <w:sz w:val="20"/>
                <w:szCs w:val="20"/>
                <w:color w:val="auto"/>
              </w:rPr>
            </w:pPr>
            <w:r>
              <w:rPr>
                <w:rFonts w:ascii="Arial" w:cs="Arial" w:eastAsia="Arial" w:hAnsi="Arial"/>
                <w:sz w:val="18"/>
                <w:szCs w:val="18"/>
                <w:color w:val="auto"/>
                <w:w w:val="89"/>
              </w:rPr>
              <w:t>Delaware</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PRA Management, L.P.</w:t>
            </w:r>
          </w:p>
        </w:tc>
        <w:tc>
          <w:tcPr>
            <w:tcW w:w="6540" w:type="dxa"/>
            <w:vAlign w:val="bottom"/>
            <w:shd w:val="clear" w:color="auto" w:fill="CCEEFF"/>
          </w:tcPr>
          <w:p>
            <w:pPr>
              <w:jc w:val="center"/>
              <w:ind w:left="3870"/>
              <w:spacing w:after="0"/>
              <w:rPr>
                <w:sz w:val="20"/>
                <w:szCs w:val="20"/>
                <w:color w:val="auto"/>
              </w:rPr>
            </w:pPr>
            <w:r>
              <w:rPr>
                <w:rFonts w:ascii="Arial" w:cs="Arial" w:eastAsia="Arial" w:hAnsi="Arial"/>
                <w:sz w:val="18"/>
                <w:szCs w:val="18"/>
                <w:color w:val="auto"/>
                <w:w w:val="85"/>
              </w:rPr>
              <w:t>Texas</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USA Pawn &amp; Jewelry Co. XI, LLC</w:t>
            </w:r>
          </w:p>
        </w:tc>
        <w:tc>
          <w:tcPr>
            <w:tcW w:w="6540" w:type="dxa"/>
            <w:vAlign w:val="bottom"/>
          </w:tcPr>
          <w:p>
            <w:pPr>
              <w:jc w:val="center"/>
              <w:ind w:left="3870"/>
              <w:spacing w:after="0"/>
              <w:rPr>
                <w:sz w:val="20"/>
                <w:szCs w:val="20"/>
                <w:color w:val="auto"/>
              </w:rPr>
            </w:pPr>
            <w:r>
              <w:rPr>
                <w:rFonts w:ascii="Arial" w:cs="Arial" w:eastAsia="Arial" w:hAnsi="Arial"/>
                <w:sz w:val="18"/>
                <w:szCs w:val="18"/>
                <w:color w:val="auto"/>
                <w:w w:val="86"/>
              </w:rPr>
              <w:t>Nevada</w:t>
            </w: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 Pawn &amp; Jewelry Co. 19, LLC</w:t>
            </w:r>
          </w:p>
        </w:tc>
        <w:tc>
          <w:tcPr>
            <w:tcW w:w="6540" w:type="dxa"/>
            <w:vAlign w:val="bottom"/>
            <w:shd w:val="clear" w:color="auto" w:fill="CCEEFF"/>
          </w:tcPr>
          <w:p>
            <w:pPr>
              <w:jc w:val="center"/>
              <w:ind w:left="3870"/>
              <w:spacing w:after="0"/>
              <w:rPr>
                <w:sz w:val="20"/>
                <w:szCs w:val="20"/>
                <w:color w:val="auto"/>
              </w:rPr>
            </w:pPr>
            <w:r>
              <w:rPr>
                <w:rFonts w:ascii="Arial" w:cs="Arial" w:eastAsia="Arial" w:hAnsi="Arial"/>
                <w:sz w:val="18"/>
                <w:szCs w:val="18"/>
                <w:color w:val="auto"/>
                <w:w w:val="86"/>
              </w:rPr>
              <w:t>Nevada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65233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-153670</wp:posOffset>
            </wp:positionV>
            <wp:extent cx="65233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-307975</wp:posOffset>
            </wp:positionV>
            <wp:extent cx="65233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-462280</wp:posOffset>
            </wp:positionV>
            <wp:extent cx="65233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-616585</wp:posOffset>
            </wp:positionV>
            <wp:extent cx="65233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-770890</wp:posOffset>
            </wp:positionV>
            <wp:extent cx="65233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-925195</wp:posOffset>
            </wp:positionV>
            <wp:extent cx="65233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-1079500</wp:posOffset>
            </wp:positionV>
            <wp:extent cx="65233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-1233805</wp:posOffset>
            </wp:positionV>
            <wp:extent cx="65233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-1388110</wp:posOffset>
            </wp:positionV>
            <wp:extent cx="65233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-1542415</wp:posOffset>
            </wp:positionV>
            <wp:extent cx="65233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-1696720</wp:posOffset>
            </wp:positionV>
            <wp:extent cx="65233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-1851025</wp:posOffset>
            </wp:positionV>
            <wp:extent cx="65233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-2005330</wp:posOffset>
            </wp:positionV>
            <wp:extent cx="65233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-2159635</wp:posOffset>
            </wp:positionV>
            <wp:extent cx="65233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-2313940</wp:posOffset>
            </wp:positionV>
            <wp:extent cx="65233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-2468245</wp:posOffset>
            </wp:positionV>
            <wp:extent cx="65233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-2622550</wp:posOffset>
            </wp:positionV>
            <wp:extent cx="65233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-2776855</wp:posOffset>
            </wp:positionV>
            <wp:extent cx="65233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-2931160</wp:posOffset>
            </wp:positionV>
            <wp:extent cx="65233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-3085465</wp:posOffset>
            </wp:positionV>
            <wp:extent cx="65233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-3239770</wp:posOffset>
            </wp:positionV>
            <wp:extent cx="65233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-3394075</wp:posOffset>
            </wp:positionV>
            <wp:extent cx="65233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-3548380</wp:posOffset>
            </wp:positionV>
            <wp:extent cx="65233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-3702685</wp:posOffset>
            </wp:positionV>
            <wp:extent cx="65233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-3856990</wp:posOffset>
            </wp:positionV>
            <wp:extent cx="65233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-4011295</wp:posOffset>
            </wp:positionV>
            <wp:extent cx="65233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-4165600</wp:posOffset>
            </wp:positionV>
            <wp:extent cx="65233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-4319905</wp:posOffset>
            </wp:positionV>
            <wp:extent cx="65233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-4474210</wp:posOffset>
            </wp:positionV>
            <wp:extent cx="65233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-4628515</wp:posOffset>
            </wp:positionV>
            <wp:extent cx="65233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-4782820</wp:posOffset>
            </wp:positionV>
            <wp:extent cx="65233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-4937125</wp:posOffset>
            </wp:positionV>
            <wp:extent cx="65233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-5091430</wp:posOffset>
            </wp:positionV>
            <wp:extent cx="65233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-5245735</wp:posOffset>
            </wp:positionV>
            <wp:extent cx="65233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-5400040</wp:posOffset>
            </wp:positionV>
            <wp:extent cx="65233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-5554345</wp:posOffset>
            </wp:positionV>
            <wp:extent cx="65233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-5708650</wp:posOffset>
            </wp:positionV>
            <wp:extent cx="65233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-5862955</wp:posOffset>
            </wp:positionV>
            <wp:extent cx="65233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523355" cy="8890"/>
                    </a:xfrm>
                    <a:prstGeom prst="rect">
                      <a:avLst/>
                    </a:prstGeom>
                    <a:noFill/>
                  </pic:spPr>
                </pic:pic>
              </a:graphicData>
            </a:graphic>
          </wp:anchor>
        </w:drawing>
      </w:r>
    </w:p>
    <w:p>
      <w:pPr>
        <w:sectPr>
          <w:pgSz w:w="11900" w:h="16838" w:orient="portrait"/>
          <w:cols w:equalWidth="0" w:num="1">
            <w:col w:w="10260"/>
          </w:cols>
          <w:pgMar w:left="820" w:top="1296" w:right="8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Lachlan P. Given, Chief Executive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Lachlan P. Given, certify that:</w:t>
      </w:r>
    </w:p>
    <w:p>
      <w:pPr>
        <w:spacing w:after="0" w:line="6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Lachlan P. Given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258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Lachlan P. Given, Chief Executive Officer, and Timothy K. Jugmans, Chief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March 31, 2022,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4, 2022</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Lachlan P. Given</w:t>
            </w:r>
          </w:p>
        </w:tc>
      </w:tr>
      <w:tr>
        <w:trPr>
          <w:trHeight w:val="222"/>
        </w:trPr>
        <w:tc>
          <w:tcPr>
            <w:tcW w:w="55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Lachlan P. Given</w:t>
            </w:r>
          </w:p>
        </w:tc>
      </w:tr>
      <w:tr>
        <w:trPr>
          <w:trHeight w:val="230"/>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769"/>
        </w:trPr>
        <w:tc>
          <w:tcPr>
            <w:tcW w:w="5500" w:type="dxa"/>
            <w:vAlign w:val="bottom"/>
          </w:tcPr>
          <w:p>
            <w:pPr>
              <w:ind w:left="60"/>
              <w:spacing w:after="0"/>
              <w:rPr>
                <w:sz w:val="20"/>
                <w:szCs w:val="20"/>
                <w:color w:val="auto"/>
              </w:rPr>
            </w:pPr>
            <w:r>
              <w:rPr>
                <w:rFonts w:ascii="Arial" w:cs="Arial" w:eastAsia="Arial" w:hAnsi="Arial"/>
                <w:sz w:val="18"/>
                <w:szCs w:val="18"/>
                <w:color w:val="auto"/>
              </w:rPr>
              <w:t>Date: May 4, 2022</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K. Jugmans</w:t>
            </w:r>
          </w:p>
        </w:tc>
      </w:tr>
      <w:tr>
        <w:trPr>
          <w:trHeight w:val="222"/>
        </w:trPr>
        <w:tc>
          <w:tcPr>
            <w:tcW w:w="55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Timothy K. Jugmans</w:t>
            </w:r>
          </w:p>
        </w:tc>
      </w:tr>
      <w:tr>
        <w:trPr>
          <w:trHeight w:val="230"/>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21" Type="http://schemas.openxmlformats.org/officeDocument/2006/relationships/hyperlink" Target="http://www.sec.gov/ix?doc=/Archives/edgar/data/876523/000087652321000068/ezpw-2021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2022-05-04T15:21:19Z</dcterms:created>
  <dcterms:modified xsi:type="dcterms:W3CDTF">2022-05-04T15:21:19Z</dcterms:modified>
</cp:coreProperties>
</file>