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4960"/>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ind w:left="2960"/>
        <w:spacing w:after="0"/>
        <w:rPr>
          <w:sz w:val="20"/>
          <w:szCs w:val="20"/>
          <w:color w:val="auto"/>
        </w:rPr>
      </w:pPr>
      <w:r>
        <w:rPr>
          <w:rFonts w:ascii="Arial" w:cs="Arial" w:eastAsia="Arial" w:hAnsi="Arial"/>
          <w:sz w:val="25"/>
          <w:szCs w:val="25"/>
          <w:b w:val="1"/>
          <w:bCs w:val="1"/>
          <w:color w:val="auto"/>
        </w:rPr>
        <w:t>SECURITIES AND EXCHANGE COMMISSION</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123190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73025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5" w:lineRule="exact"/>
        <w:rPr>
          <w:sz w:val="24"/>
          <w:szCs w:val="24"/>
          <w:color w:val="auto"/>
        </w:rPr>
      </w:pPr>
    </w:p>
    <w:p>
      <w:pPr>
        <w:ind w:left="3540" w:right="780" w:hanging="2920"/>
        <w:spacing w:after="0" w:line="397" w:lineRule="auto"/>
        <w:tabs>
          <w:tab w:leader="none" w:pos="1215"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2024 or</w:t>
      </w:r>
    </w:p>
    <w:p>
      <w:pPr>
        <w:spacing w:after="0" w:line="70" w:lineRule="exact"/>
        <w:rPr>
          <w:sz w:val="24"/>
          <w:szCs w:val="24"/>
          <w:color w:val="auto"/>
        </w:rPr>
      </w:pPr>
    </w:p>
    <w:p>
      <w:pPr>
        <w:ind w:left="1220" w:hanging="600"/>
        <w:spacing w:after="0"/>
        <w:tabs>
          <w:tab w:leader="none" w:pos="12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3"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-7620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52070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EZCORP,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66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284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020" w:type="dxa"/>
            <w:vAlign w:val="bottom"/>
          </w:tcPr>
          <w:p>
            <w:pPr>
              <w:jc w:val="right"/>
              <w:ind w:right="50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jc w:val="center"/>
              <w:ind w:right="68"/>
              <w:spacing w:after="0"/>
              <w:rPr>
                <w:sz w:val="20"/>
                <w:szCs w:val="20"/>
                <w:color w:val="auto"/>
              </w:rPr>
            </w:pPr>
            <w:r>
              <w:rPr>
                <w:rFonts w:ascii="Arial" w:cs="Arial" w:eastAsia="Arial" w:hAnsi="Arial"/>
                <w:sz w:val="14"/>
                <w:szCs w:val="14"/>
                <w:color w:val="auto"/>
              </w:rPr>
              <w:t>(State or other jurisdiction of incorporation or organization)</w:t>
            </w:r>
          </w:p>
        </w:tc>
        <w:tc>
          <w:tcPr>
            <w:tcW w:w="202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90"/>
        </w:trPr>
        <w:tc>
          <w:tcPr>
            <w:tcW w:w="3940" w:type="dxa"/>
            <w:vAlign w:val="bottom"/>
            <w:gridSpan w:val="2"/>
            <w:vMerge w:val="continue"/>
          </w:tcPr>
          <w:p>
            <w:pPr>
              <w:spacing w:after="0"/>
              <w:rPr>
                <w:sz w:val="16"/>
                <w:szCs w:val="16"/>
                <w:color w:val="auto"/>
              </w:rPr>
            </w:pP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1100" w:type="dxa"/>
            <w:vAlign w:val="bottom"/>
          </w:tcPr>
          <w:p>
            <w:pPr>
              <w:jc w:val="center"/>
              <w:ind w:right="8"/>
              <w:spacing w:after="0"/>
              <w:rPr>
                <w:sz w:val="20"/>
                <w:szCs w:val="20"/>
                <w:color w:val="auto"/>
              </w:rPr>
            </w:pPr>
            <w:r>
              <w:rPr>
                <w:rFonts w:ascii="Arial" w:cs="Arial" w:eastAsia="Arial" w:hAnsi="Arial"/>
                <w:sz w:val="14"/>
                <w:szCs w:val="14"/>
                <w:b w:val="1"/>
                <w:bCs w:val="1"/>
                <w:color w:val="auto"/>
              </w:rPr>
              <w:t>2500 Bee Cave</w:t>
            </w:r>
          </w:p>
        </w:tc>
        <w:tc>
          <w:tcPr>
            <w:tcW w:w="28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Bldg One Suite 200 Rollingwood  TX</w:t>
            </w:r>
          </w:p>
        </w:tc>
        <w:tc>
          <w:tcPr>
            <w:tcW w:w="202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89"/>
        </w:trPr>
        <w:tc>
          <w:tcPr>
            <w:tcW w:w="1100" w:type="dxa"/>
            <w:vAlign w:val="bottom"/>
          </w:tcPr>
          <w:p>
            <w:pPr>
              <w:jc w:val="center"/>
              <w:ind w:right="28"/>
              <w:spacing w:after="0"/>
              <w:rPr>
                <w:sz w:val="20"/>
                <w:szCs w:val="20"/>
                <w:color w:val="auto"/>
              </w:rPr>
            </w:pPr>
            <w:r>
              <w:rPr>
                <w:rFonts w:ascii="Arial" w:cs="Arial" w:eastAsia="Arial" w:hAnsi="Arial"/>
                <w:sz w:val="14"/>
                <w:szCs w:val="14"/>
                <w:b w:val="1"/>
                <w:bCs w:val="1"/>
                <w:color w:val="auto"/>
              </w:rPr>
              <w:t>Road</w:t>
            </w:r>
          </w:p>
        </w:tc>
        <w:tc>
          <w:tcPr>
            <w:tcW w:w="284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tcPr>
          <w:p>
            <w:pPr>
              <w:jc w:val="center"/>
              <w:ind w:right="48"/>
              <w:spacing w:after="0"/>
              <w:rPr>
                <w:sz w:val="20"/>
                <w:szCs w:val="20"/>
                <w:color w:val="auto"/>
              </w:rPr>
            </w:pPr>
            <w:r>
              <w:rPr>
                <w:rFonts w:ascii="Arial" w:cs="Arial" w:eastAsia="Arial" w:hAnsi="Arial"/>
                <w:sz w:val="14"/>
                <w:szCs w:val="14"/>
                <w:color w:val="auto"/>
              </w:rPr>
              <w:t>(Address of principal executive offices)</w:t>
            </w:r>
          </w:p>
        </w:tc>
        <w:tc>
          <w:tcPr>
            <w:tcW w:w="2020" w:type="dxa"/>
            <w:vAlign w:val="bottom"/>
          </w:tcPr>
          <w:p>
            <w:pPr>
              <w:jc w:val="center"/>
              <w:ind w:left="2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16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126365</wp:posOffset>
            </wp:positionV>
            <wp:extent cx="2331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9" w:lineRule="exact"/>
        <w:rPr>
          <w:sz w:val="24"/>
          <w:szCs w:val="24"/>
          <w:color w:val="auto"/>
        </w:rPr>
      </w:pPr>
    </w:p>
    <w:tbl>
      <w:tblPr>
        <w:tblLayout w:type="fixed"/>
        <w:tblInd w:w="1000" w:type="dxa"/>
        <w:tblCellMar>
          <w:top w:w="0" w:type="dxa"/>
          <w:left w:w="0" w:type="dxa"/>
          <w:bottom w:w="0" w:type="dxa"/>
          <w:right w:w="0" w:type="dxa"/>
        </w:tblCellMar>
      </w:tblPr>
      <w:tr>
        <w:trPr>
          <w:trHeight w:val="19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17"/>
                <w:szCs w:val="17"/>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8"/>
        </w:trPr>
        <w:tc>
          <w:tcPr>
            <w:tcW w:w="3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EZPW</w:t>
            </w:r>
          </w:p>
        </w:tc>
        <w:tc>
          <w:tcPr>
            <w:tcW w:w="3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6"/>
        </w:trPr>
        <w:tc>
          <w:tcPr>
            <w:tcW w:w="3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c>
          <w:tcPr>
            <w:tcW w:w="1460" w:type="dxa"/>
            <w:vAlign w:val="bottom"/>
            <w:gridSpan w:val="2"/>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right="8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ind w:right="66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jc w:val="both"/>
        <w:ind w:right="56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4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00" w:type="dxa"/>
            <w:vAlign w:val="bottom"/>
          </w:tcPr>
          <w:p>
            <w:pPr>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2580" w:type="dxa"/>
            <w:vAlign w:val="bottom"/>
          </w:tcPr>
          <w:p>
            <w:pPr>
              <w:ind w:left="12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580" w:type="dxa"/>
            <w:vAlign w:val="bottom"/>
          </w:tcPr>
          <w:p>
            <w:pPr>
              <w:ind w:left="120"/>
              <w:spacing w:after="0"/>
              <w:rPr>
                <w:sz w:val="20"/>
                <w:szCs w:val="20"/>
                <w:color w:val="auto"/>
              </w:rPr>
            </w:pPr>
            <w:r>
              <w:rPr>
                <w:rFonts w:ascii="Arial" w:cs="Arial" w:eastAsia="Arial" w:hAnsi="Arial"/>
                <w:sz w:val="14"/>
                <w:szCs w:val="14"/>
                <w:color w:val="auto"/>
              </w:rPr>
              <w:t>Emerging growth company</w:t>
            </w:r>
          </w:p>
        </w:tc>
        <w:tc>
          <w:tcPr>
            <w:tcW w:w="9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33" w:lineRule="exact"/>
        <w:rPr>
          <w:sz w:val="24"/>
          <w:szCs w:val="24"/>
          <w:color w:val="auto"/>
        </w:rPr>
      </w:pPr>
    </w:p>
    <w:p>
      <w:pPr>
        <w:ind w:right="28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40"/>
        <w:spacing w:after="0" w:line="305"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36"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As of April 24, 2024, 51,972,207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60" w:type="dxa"/>
            <w:vAlign w:val="bottom"/>
            <w:gridSpan w:val="12"/>
          </w:tcPr>
          <w:p>
            <w:pPr>
              <w:jc w:val="center"/>
              <w:ind w:right="478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0" w:type="dxa"/>
            <w:vAlign w:val="bottom"/>
            <w:gridSpan w:val="13"/>
          </w:tcPr>
          <w:p>
            <w:pPr>
              <w:jc w:val="center"/>
              <w:ind w:right="41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0980" w:type="dxa"/>
            <w:vAlign w:val="bottom"/>
            <w:gridSpan w:val="31"/>
          </w:tcPr>
          <w:p>
            <w:pPr>
              <w:spacing w:after="0"/>
              <w:rPr>
                <w:sz w:val="20"/>
                <w:szCs w:val="20"/>
                <w:color w:val="auto"/>
              </w:rPr>
            </w:pPr>
            <w:r>
              <w:rPr>
                <w:rFonts w:ascii="Arial" w:cs="Arial" w:eastAsia="Arial" w:hAnsi="Arial"/>
                <w:sz w:val="18"/>
                <w:szCs w:val="18"/>
                <w:color w:val="0000FF"/>
              </w:rPr>
              <w:t>PART I — 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tcBorders>
              <w:bottom w:val="single" w:sz="8" w:color="0000FF"/>
            </w:tcBorders>
            <w:gridSpan w:val="15"/>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7400" w:type="dxa"/>
            <w:vAlign w:val="bottom"/>
            <w:gridSpan w:val="15"/>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00" w:type="dxa"/>
            <w:vAlign w:val="bottom"/>
            <w:gridSpan w:val="24"/>
          </w:tcPr>
          <w:p>
            <w:pPr>
              <w:spacing w:after="0"/>
              <w:rPr>
                <w:sz w:val="20"/>
                <w:szCs w:val="20"/>
                <w:color w:val="auto"/>
              </w:rPr>
            </w:pPr>
            <w:r>
              <w:rPr>
                <w:rFonts w:ascii="Arial" w:cs="Arial" w:eastAsia="Arial" w:hAnsi="Arial"/>
                <w:sz w:val="18"/>
                <w:szCs w:val="18"/>
                <w:color w:val="0000FF"/>
                <w:w w:val="99"/>
              </w:rPr>
              <w:t>Condensed Consolidated Balance Sheets as of March 31, 2024 and 2023 and September 30, 2023</w:t>
            </w:r>
          </w:p>
        </w:tc>
        <w:tc>
          <w:tcPr>
            <w:tcW w:w="2420" w:type="dxa"/>
            <w:vAlign w:val="bottom"/>
            <w:gridSpan w:val="5"/>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March 31, 2024 and 2023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32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Comprehensive Income for the Three and Six Months Ended March 31, 2024</w:t>
            </w: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360" w:type="dxa"/>
            <w:vAlign w:val="bottom"/>
            <w:tcBorders>
              <w:top w:val="single" w:sz="8" w:color="0000FF"/>
            </w:tcBorders>
            <w:gridSpan w:val="28"/>
            <w:vMerge w:val="restart"/>
          </w:tcPr>
          <w:p>
            <w:pPr>
              <w:spacing w:after="0" w:line="156" w:lineRule="exact"/>
              <w:rPr>
                <w:sz w:val="20"/>
                <w:szCs w:val="20"/>
                <w:color w:val="auto"/>
              </w:rPr>
            </w:pPr>
            <w:r>
              <w:rPr>
                <w:rFonts w:ascii="Arial" w:cs="Arial" w:eastAsia="Arial" w:hAnsi="Arial"/>
                <w:sz w:val="18"/>
                <w:szCs w:val="18"/>
                <w:color w:val="0000FF"/>
              </w:rPr>
              <w:t>and 2023</w:t>
            </w:r>
          </w:p>
        </w:tc>
        <w:tc>
          <w:tcPr>
            <w:tcW w:w="960" w:type="dxa"/>
            <w:vAlign w:val="bottom"/>
            <w:vMerge w:val="restart"/>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360" w:type="dxa"/>
            <w:vAlign w:val="bottom"/>
            <w:tcBorders>
              <w:top w:val="single" w:sz="8" w:color="0000FF"/>
            </w:tcBorders>
            <w:gridSpan w:val="28"/>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20" w:type="dxa"/>
            <w:vAlign w:val="bottom"/>
            <w:gridSpan w:val="29"/>
          </w:tcPr>
          <w:p>
            <w:pPr>
              <w:spacing w:after="0"/>
              <w:rPr>
                <w:sz w:val="20"/>
                <w:szCs w:val="20"/>
                <w:color w:val="auto"/>
              </w:rPr>
            </w:pPr>
            <w:r>
              <w:rPr>
                <w:rFonts w:ascii="Arial" w:cs="Arial" w:eastAsia="Arial" w:hAnsi="Arial"/>
                <w:sz w:val="18"/>
                <w:szCs w:val="18"/>
                <w:color w:val="0000FF"/>
              </w:rPr>
              <w:t>Condensed Consolidated Statements of Stockholders’ Equity for the Periods Ended March 31, 2024 and 2023</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March 31, 2024 and 2023</w:t>
            </w:r>
          </w:p>
        </w:tc>
        <w:tc>
          <w:tcPr>
            <w:tcW w:w="40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340" w:type="dxa"/>
            <w:vAlign w:val="bottom"/>
            <w:gridSpan w:val="2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80" w:type="dxa"/>
            <w:vAlign w:val="bottom"/>
            <w:gridSpan w:val="4"/>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0000FF"/>
              </w:rPr>
              <w:t>Note 1: Organization and Summary of Significant Accounting Policies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0000FF"/>
                <w:w w:val="93"/>
              </w:rPr>
              <w:t>Note 2: Goodwill</w:t>
            </w:r>
          </w:p>
        </w:tc>
        <w:tc>
          <w:tcPr>
            <w:tcW w:w="4180" w:type="dxa"/>
            <w:vAlign w:val="bottom"/>
            <w:gridSpan w:val="15"/>
          </w:tcPr>
          <w:p>
            <w:pPr>
              <w:spacing w:after="0"/>
              <w:rPr>
                <w:sz w:val="18"/>
                <w:szCs w:val="18"/>
                <w:color w:val="auto"/>
              </w:rPr>
            </w:pPr>
          </w:p>
        </w:tc>
        <w:tc>
          <w:tcPr>
            <w:tcW w:w="4380" w:type="dxa"/>
            <w:vAlign w:val="bottom"/>
            <w:gridSpan w:val="7"/>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w w:val="96"/>
              </w:rPr>
              <w:t>Note 3: Earnings Per Share</w:t>
            </w:r>
          </w:p>
        </w:tc>
        <w:tc>
          <w:tcPr>
            <w:tcW w:w="7680" w:type="dxa"/>
            <w:vAlign w:val="bottom"/>
            <w:gridSpan w:val="18"/>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gridSpan w:val="10"/>
          </w:tcPr>
          <w:p>
            <w:pPr>
              <w:spacing w:after="0"/>
              <w:rPr>
                <w:sz w:val="20"/>
                <w:szCs w:val="20"/>
                <w:color w:val="auto"/>
              </w:rPr>
            </w:pPr>
            <w:r>
              <w:rPr>
                <w:rFonts w:ascii="Arial" w:cs="Arial" w:eastAsia="Arial" w:hAnsi="Arial"/>
                <w:sz w:val="18"/>
                <w:szCs w:val="18"/>
                <w:color w:val="0000FF"/>
              </w:rPr>
              <w:t>Note 4: Leases</w:t>
            </w:r>
          </w:p>
        </w:tc>
        <w:tc>
          <w:tcPr>
            <w:tcW w:w="7680" w:type="dxa"/>
            <w:vAlign w:val="bottom"/>
            <w:gridSpan w:val="18"/>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6"/>
              </w:rPr>
              <w:t>Note 5: Strategic Investments</w:t>
            </w:r>
          </w:p>
        </w:tc>
        <w:tc>
          <w:tcPr>
            <w:tcW w:w="7520" w:type="dxa"/>
            <w:vAlign w:val="bottom"/>
            <w:gridSpan w:val="17"/>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Note 6: Fair Value Measurements</w:t>
            </w:r>
          </w:p>
        </w:tc>
        <w:tc>
          <w:tcPr>
            <w:tcW w:w="7200" w:type="dxa"/>
            <w:vAlign w:val="bottom"/>
            <w:gridSpan w:val="14"/>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8"/>
          </w:tcPr>
          <w:p>
            <w:pPr>
              <w:spacing w:after="0"/>
              <w:rPr>
                <w:sz w:val="20"/>
                <w:szCs w:val="20"/>
                <w:color w:val="auto"/>
              </w:rPr>
            </w:pPr>
            <w:r>
              <w:rPr>
                <w:rFonts w:ascii="Arial" w:cs="Arial" w:eastAsia="Arial" w:hAnsi="Arial"/>
                <w:sz w:val="18"/>
                <w:szCs w:val="18"/>
                <w:color w:val="0000FF"/>
              </w:rPr>
              <w:t>Note 7: Debt</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7"/>
              </w:rPr>
              <w:t>Note 8: Common Stock and Stock Compensation</w:t>
            </w:r>
          </w:p>
        </w:tc>
        <w:tc>
          <w:tcPr>
            <w:tcW w:w="5960" w:type="dxa"/>
            <w:vAlign w:val="bottom"/>
            <w:gridSpan w:val="12"/>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Note 9: Commitments and Contingencies</w:t>
            </w:r>
          </w:p>
        </w:tc>
        <w:tc>
          <w:tcPr>
            <w:tcW w:w="66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6"/>
              </w:rPr>
              <w:t>Note 10: Segment Information</w:t>
            </w:r>
          </w:p>
        </w:tc>
        <w:tc>
          <w:tcPr>
            <w:tcW w:w="748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8"/>
              </w:rPr>
              <w:t>Note 11: Supplemental Consolidated Financial Information</w:t>
            </w:r>
          </w:p>
        </w:tc>
        <w:tc>
          <w:tcPr>
            <w:tcW w:w="5240" w:type="dxa"/>
            <w:vAlign w:val="bottom"/>
            <w:gridSpan w:val="8"/>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0"/>
          </w:tcPr>
          <w:p>
            <w:pPr>
              <w:ind w:left="2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4"/>
          </w:tcPr>
          <w:p>
            <w:pPr>
              <w:ind w:left="2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298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21"/>
          </w:tcPr>
          <w:p>
            <w:pPr>
              <w:ind w:left="20"/>
              <w:spacing w:after="0"/>
              <w:rPr>
                <w:sz w:val="20"/>
                <w:szCs w:val="20"/>
                <w:color w:val="auto"/>
              </w:rPr>
            </w:pPr>
            <w:r>
              <w:rPr>
                <w:rFonts w:ascii="Arial" w:cs="Arial" w:eastAsia="Arial" w:hAnsi="Arial"/>
                <w:sz w:val="18"/>
                <w:szCs w:val="18"/>
                <w:color w:val="0000FF"/>
              </w:rPr>
              <w:t>Item 4. Controls and Procedures</w:t>
            </w:r>
          </w:p>
        </w:tc>
        <w:tc>
          <w:tcPr>
            <w:tcW w:w="5360" w:type="dxa"/>
            <w:vAlign w:val="bottom"/>
            <w:gridSpan w:val="9"/>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80" w:type="dxa"/>
            <w:vAlign w:val="bottom"/>
            <w:gridSpan w:val="31"/>
          </w:tcPr>
          <w:p>
            <w:pPr>
              <w:spacing w:after="0"/>
              <w:rPr>
                <w:sz w:val="20"/>
                <w:szCs w:val="20"/>
                <w:color w:val="auto"/>
              </w:rPr>
            </w:pPr>
            <w:r>
              <w:rPr>
                <w:rFonts w:ascii="Arial" w:cs="Arial" w:eastAsia="Arial" w:hAnsi="Arial"/>
                <w:sz w:val="18"/>
                <w:szCs w:val="18"/>
                <w:color w:val="0000FF"/>
              </w:rPr>
              <w:t>PART II — OTHER INFORMATION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00" w:type="dxa"/>
            <w:vAlign w:val="bottom"/>
            <w:tcBorders>
              <w:top w:val="single" w:sz="8" w:color="0000FF"/>
            </w:tcBorders>
            <w:gridSpan w:val="9"/>
          </w:tcPr>
          <w:p>
            <w:pPr>
              <w:ind w:left="20"/>
              <w:spacing w:after="0"/>
              <w:rPr>
                <w:sz w:val="20"/>
                <w:szCs w:val="20"/>
                <w:color w:val="auto"/>
              </w:rPr>
            </w:pPr>
            <w:r>
              <w:rPr>
                <w:rFonts w:ascii="Arial" w:cs="Arial" w:eastAsia="Arial" w:hAnsi="Arial"/>
                <w:sz w:val="18"/>
                <w:szCs w:val="18"/>
                <w:color w:val="0000FF"/>
              </w:rPr>
              <w:t>Item 1. Legal Proceedings</w:t>
            </w:r>
          </w:p>
        </w:tc>
        <w:tc>
          <w:tcPr>
            <w:tcW w:w="8160" w:type="dxa"/>
            <w:vAlign w:val="bottom"/>
            <w:gridSpan w:val="21"/>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8"/>
          </w:tcPr>
          <w:p>
            <w:pPr>
              <w:ind w:left="20"/>
              <w:spacing w:after="0"/>
              <w:rPr>
                <w:sz w:val="20"/>
                <w:szCs w:val="20"/>
                <w:color w:val="auto"/>
              </w:rPr>
            </w:pPr>
            <w:r>
              <w:rPr>
                <w:rFonts w:ascii="Arial" w:cs="Arial" w:eastAsia="Arial" w:hAnsi="Arial"/>
                <w:sz w:val="18"/>
                <w:szCs w:val="18"/>
                <w:color w:val="0000FF"/>
              </w:rPr>
              <w:t>Item 1A. Risk Factors</w:t>
            </w:r>
          </w:p>
        </w:tc>
        <w:tc>
          <w:tcPr>
            <w:tcW w:w="8560" w:type="dxa"/>
            <w:vAlign w:val="bottom"/>
            <w:gridSpan w:val="22"/>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40" w:type="dxa"/>
            <w:vAlign w:val="bottom"/>
            <w:gridSpan w:val="13"/>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Item 2. Unregistered Sale of Equity Security and Use of Proceeds</w:t>
            </w:r>
          </w:p>
        </w:tc>
        <w:tc>
          <w:tcPr>
            <w:tcW w:w="5420" w:type="dxa"/>
            <w:vAlign w:val="bottom"/>
            <w:gridSpan w:val="10"/>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0"/>
          </w:tcPr>
          <w:p>
            <w:pPr>
              <w:ind w:left="20"/>
              <w:spacing w:after="0"/>
              <w:rPr>
                <w:sz w:val="20"/>
                <w:szCs w:val="20"/>
                <w:color w:val="auto"/>
              </w:rPr>
            </w:pPr>
            <w:r>
              <w:rPr>
                <w:rFonts w:ascii="Arial" w:cs="Arial" w:eastAsia="Arial" w:hAnsi="Arial"/>
                <w:sz w:val="18"/>
                <w:szCs w:val="18"/>
                <w:color w:val="0000FF"/>
              </w:rPr>
              <w:t>Item 5. Other Information</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4"/>
          </w:tcPr>
          <w:p>
            <w:pPr>
              <w:ind w:left="20"/>
              <w:spacing w:after="0"/>
              <w:rPr>
                <w:sz w:val="20"/>
                <w:szCs w:val="20"/>
                <w:color w:val="auto"/>
              </w:rPr>
            </w:pPr>
            <w:r>
              <w:rPr>
                <w:rFonts w:ascii="Arial" w:cs="Arial" w:eastAsia="Arial" w:hAnsi="Arial"/>
                <w:sz w:val="18"/>
                <w:szCs w:val="18"/>
                <w:color w:val="0000FF"/>
                <w:w w:val="97"/>
              </w:rPr>
              <w:t>Item 6. Exhibits</w:t>
            </w:r>
          </w:p>
        </w:tc>
        <w:tc>
          <w:tcPr>
            <w:tcW w:w="760" w:type="dxa"/>
            <w:vAlign w:val="bottom"/>
            <w:tcBorders>
              <w:top w:val="single" w:sz="8" w:color="0000FF"/>
            </w:tcBorders>
            <w:gridSpan w:val="3"/>
          </w:tcPr>
          <w:p>
            <w:pPr>
              <w:spacing w:after="0"/>
              <w:rPr>
                <w:sz w:val="18"/>
                <w:szCs w:val="18"/>
                <w:color w:val="auto"/>
              </w:rPr>
            </w:pPr>
          </w:p>
        </w:tc>
        <w:tc>
          <w:tcPr>
            <w:tcW w:w="8660" w:type="dxa"/>
            <w:vAlign w:val="bottom"/>
            <w:gridSpan w:val="23"/>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980" w:type="dxa"/>
            <w:vAlign w:val="bottom"/>
            <w:gridSpan w:val="31"/>
          </w:tcPr>
          <w:p>
            <w:pPr>
              <w:spacing w:after="0"/>
              <w:rPr>
                <w:sz w:val="20"/>
                <w:szCs w:val="20"/>
                <w:color w:val="auto"/>
              </w:rPr>
            </w:pPr>
            <w:r>
              <w:rPr>
                <w:rFonts w:ascii="Arial" w:cs="Arial" w:eastAsia="Arial" w:hAnsi="Arial"/>
                <w:sz w:val="18"/>
                <w:szCs w:val="18"/>
                <w:color w:val="0000FF"/>
              </w:rPr>
              <w:t>SIGNATURES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0000FF"/>
                <w:w w:val="89"/>
              </w:rPr>
              <w:t>39</w:t>
            </w:r>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5"/>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220,595</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8,373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loans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235,773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38,268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686,652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719,719</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investments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36,220</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63,306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59,775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Right-of-use assets,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310,658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302,372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Notes receivable, net</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25,702</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assets, net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15,779</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1,508,142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1,420,532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r>
        <w:trPr>
          <w:trHeight w:val="417"/>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62,838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72,695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18,920</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191,972</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Long-term debt,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326,573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359,287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liability, net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Operating lease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191,874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10,502</w:t>
            </w:r>
          </w:p>
        </w:tc>
        <w:tc>
          <w:tcPr>
            <w:tcW w:w="0" w:type="dxa"/>
            <w:vAlign w:val="bottom"/>
          </w:tcPr>
          <w:p>
            <w:pPr>
              <w:spacing w:after="0"/>
              <w:rPr>
                <w:sz w:val="1"/>
                <w:szCs w:val="1"/>
                <w:color w:val="auto"/>
              </w:rPr>
            </w:pPr>
          </w:p>
        </w:tc>
      </w:tr>
      <w:tr>
        <w:trPr>
          <w:trHeight w:val="209"/>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707,746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707,944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721,943</w:t>
            </w: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9)</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2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A Non-voting Common Stock, par value $0.01 per share; shares authorized: 100</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million; issued and outstanding: 52,057,309 as of March 31, 2024; 52,561,071 as of</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March 31, 2023; and 51,869,569 as of September 30, 2023</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0" w:type="dxa"/>
            <w:vAlign w:val="bottom"/>
          </w:tcPr>
          <w:p>
            <w:pPr>
              <w:spacing w:after="0"/>
              <w:rPr>
                <w:sz w:val="1"/>
                <w:szCs w:val="1"/>
                <w:color w:val="auto"/>
              </w:rPr>
            </w:pP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477,683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405,961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431,140</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(37,017)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800,396</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712,588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1,508,142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1,420,532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3"/>
          </w:tcPr>
          <w:p>
            <w:pPr>
              <w:jc w:val="right"/>
              <w:ind w:right="779"/>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4"/>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r>
      <w:tr>
        <w:trPr>
          <w:trHeight w:val="251"/>
        </w:trPr>
        <w:tc>
          <w:tcPr>
            <w:tcW w:w="520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164,687</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344,090</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316,294</w:t>
            </w:r>
          </w:p>
        </w:tc>
      </w:tr>
      <w:tr>
        <w:trPr>
          <w:trHeight w:val="215"/>
        </w:trPr>
        <w:tc>
          <w:tcPr>
            <w:tcW w:w="52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13,714</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27,796</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20,709</w:t>
            </w: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107,163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213,612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185,623</w:t>
            </w:r>
          </w:p>
        </w:tc>
      </w:tr>
      <w:tr>
        <w:trPr>
          <w:trHeight w:val="215"/>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132</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52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285,639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585,630</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522,750</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106,259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97,339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221,469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202,216</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11,788</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23,996</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18,855</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167,592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149,182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340,165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301,679</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114,582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225,137</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202,072</w:t>
            </w:r>
          </w:p>
        </w:tc>
      </w:tr>
      <w:tr>
        <w:trPr>
          <w:trHeight w:val="215"/>
        </w:trPr>
        <w:tc>
          <w:tcPr>
            <w:tcW w:w="52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18,266</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34,809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31,085</w:t>
            </w:r>
          </w:p>
        </w:tc>
      </w:tr>
      <w:tr>
        <w:trPr>
          <w:trHeight w:val="217"/>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8,219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16,784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w:t>
            </w:r>
          </w:p>
        </w:tc>
      </w:tr>
      <w:tr>
        <w:trPr>
          <w:trHeight w:val="215"/>
        </w:trPr>
        <w:tc>
          <w:tcPr>
            <w:tcW w:w="5200" w:type="dxa"/>
            <w:vAlign w:val="bottom"/>
          </w:tcPr>
          <w:p>
            <w:pPr>
              <w:ind w:left="220"/>
              <w:spacing w:after="0"/>
              <w:rPr>
                <w:sz w:val="20"/>
                <w:szCs w:val="20"/>
                <w:color w:val="auto"/>
              </w:rPr>
            </w:pPr>
            <w:r>
              <w:rPr>
                <w:rFonts w:ascii="Arial" w:cs="Arial" w:eastAsia="Arial" w:hAnsi="Arial"/>
                <w:sz w:val="16"/>
                <w:szCs w:val="16"/>
                <w:color w:val="auto"/>
              </w:rPr>
              <w:t>Loss (gain) on sale or disposal of assets and other</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w:t>
            </w:r>
          </w:p>
        </w:tc>
      </w:tr>
      <w:tr>
        <w:trPr>
          <w:trHeight w:val="210"/>
        </w:trPr>
        <w:tc>
          <w:tcPr>
            <w:tcW w:w="5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140,305</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122,449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275,796</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246,700</w:t>
            </w:r>
          </w:p>
        </w:tc>
      </w:tr>
      <w:tr>
        <w:trPr>
          <w:trHeight w:val="210"/>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27,287</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64,369</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54,979</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3,402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6,842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9,580</w:t>
            </w: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(2,872)</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30,917</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10"/>
        </w:trPr>
        <w:tc>
          <w:tcPr>
            <w:tcW w:w="5200" w:type="dxa"/>
            <w:vAlign w:val="bottom"/>
          </w:tcPr>
          <w:p>
            <w:pPr>
              <w:ind w:left="8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28,651</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66,356</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17,198</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7,172</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16,407</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7,210</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21,479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49,949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9,988</w:t>
            </w: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(loss)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0.39</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0.91</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Diluted earnings (loss)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0.29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0.65</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55,093</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55,084</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55,981</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83,045</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84,948</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65,269</w:t>
            </w:r>
          </w:p>
        </w:tc>
      </w:tr>
    </w:tbl>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Foreign currency translation adjustment, net of income tax expense for</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our investment in unconsolidated affiliate of $98 and $1,133 for the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three months ended March 31, 2024, and 2023, respectively and $41</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and $737 for the six months ended March 31, 2024, and 2023,</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4,457</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9,090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18,652</w:t>
            </w:r>
          </w:p>
        </w:tc>
        <w:tc>
          <w:tcPr>
            <w:tcW w:w="0" w:type="dxa"/>
            <w:vAlign w:val="bottom"/>
          </w:tcPr>
          <w:p>
            <w:pPr>
              <w:spacing w:after="0"/>
              <w:rPr>
                <w:sz w:val="1"/>
                <w:szCs w:val="1"/>
                <w:color w:val="auto"/>
              </w:rPr>
            </w:pPr>
          </w:p>
        </w:tc>
      </w:tr>
      <w:tr>
        <w:trPr>
          <w:trHeight w:val="215"/>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25,936</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59,039</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5"/>
          </w:tcPr>
          <w:p>
            <w:pPr>
              <w:jc w:val="right"/>
              <w:spacing w:after="0" w:line="158" w:lineRule="exact"/>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6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5"/>
                <w:szCs w:val="5"/>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54,840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745,768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6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6"/>
                <w:szCs w:val="16"/>
                <w:color w:val="auto"/>
              </w:rPr>
              <w:t>(3,253)</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4,633</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tcPr>
          <w:p>
            <w:pPr>
              <w:ind w:left="460"/>
              <w:spacing w:after="0"/>
              <w:rPr>
                <w:sz w:val="20"/>
                <w:szCs w:val="20"/>
                <w:color w:val="auto"/>
              </w:rPr>
            </w:pPr>
            <w:r>
              <w:rPr>
                <w:rFonts w:ascii="Arial" w:cs="Arial" w:eastAsia="Arial" w:hAnsi="Arial"/>
                <w:sz w:val="16"/>
                <w:szCs w:val="16"/>
                <w:color w:val="auto"/>
              </w:rPr>
              <w:t>(355)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28,470</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2023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55,243</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553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343,870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457,929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774,883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tcPr>
          <w:p>
            <w:pPr>
              <w:jc w:val="right"/>
              <w:ind w:right="61"/>
              <w:spacing w:after="0"/>
              <w:rPr>
                <w:sz w:val="20"/>
                <w:szCs w:val="20"/>
                <w:color w:val="auto"/>
              </w:rPr>
            </w:pPr>
            <w:r>
              <w:rPr>
                <w:rFonts w:ascii="Arial" w:cs="Arial" w:eastAsia="Arial" w:hAnsi="Arial"/>
                <w:sz w:val="16"/>
                <w:szCs w:val="16"/>
                <w:color w:val="auto"/>
              </w:rPr>
              <w:t>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60" w:type="dxa"/>
            <w:vAlign w:val="bottom"/>
            <w:gridSpan w:val="2"/>
          </w:tcPr>
          <w:p>
            <w:pPr>
              <w:jc w:val="right"/>
              <w:ind w:right="61"/>
              <w:spacing w:after="0"/>
              <w:rPr>
                <w:sz w:val="20"/>
                <w:szCs w:val="20"/>
                <w:color w:val="auto"/>
              </w:rPr>
            </w:pPr>
            <w:r>
              <w:rPr>
                <w:rFonts w:ascii="Arial" w:cs="Arial" w:eastAsia="Arial" w:hAnsi="Arial"/>
                <w:sz w:val="16"/>
                <w:szCs w:val="16"/>
                <w:color w:val="auto"/>
              </w:rPr>
              <w:t>(305)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(3,003)</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21,479</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2024</w:t>
            </w:r>
          </w:p>
        </w:tc>
        <w:tc>
          <w:tcPr>
            <w:tcW w:w="86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color w:val="auto"/>
              </w:rPr>
              <w:t>55,027</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551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345,174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477,683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800,396</w:t>
            </w:r>
          </w:p>
        </w:tc>
        <w:tc>
          <w:tcPr>
            <w:tcW w:w="0" w:type="dxa"/>
            <w:vAlign w:val="bottom"/>
          </w:tcPr>
          <w:p>
            <w:pPr>
              <w:spacing w:after="0"/>
              <w:rPr>
                <w:sz w:val="1"/>
                <w:szCs w:val="1"/>
                <w:color w:val="auto"/>
              </w:rPr>
            </w:pPr>
          </w:p>
        </w:tc>
      </w:tr>
      <w:tr>
        <w:trPr>
          <w:trHeight w:val="396"/>
        </w:trPr>
        <w:tc>
          <w:tcPr>
            <w:tcW w:w="4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gridSpan w:val="5"/>
          </w:tcPr>
          <w:p>
            <w:pPr>
              <w:ind w:left="400"/>
              <w:spacing w:after="0" w:line="158" w:lineRule="exact"/>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920" w:type="dxa"/>
            <w:vAlign w:val="bottom"/>
          </w:tcPr>
          <w:p>
            <w:pPr>
              <w:jc w:val="center"/>
              <w:ind w:right="140"/>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4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46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5"/>
                <w:szCs w:val="5"/>
                <w:color w:val="auto"/>
              </w:rPr>
            </w:pPr>
          </w:p>
        </w:tc>
        <w:tc>
          <w:tcPr>
            <w:tcW w:w="92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9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4"/>
        </w:trPr>
        <w:tc>
          <w:tcPr>
            <w:tcW w:w="4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56,425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692,231</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equity consideration for acquisition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Foreign currency translation gain</w:t>
            </w:r>
          </w:p>
        </w:tc>
        <w:tc>
          <w:tcPr>
            <w:tcW w:w="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(7,027)</w:t>
            </w:r>
          </w:p>
        </w:tc>
        <w:tc>
          <w:tcPr>
            <w:tcW w:w="0" w:type="dxa"/>
            <w:vAlign w:val="bottom"/>
          </w:tcPr>
          <w:p>
            <w:pPr>
              <w:spacing w:after="0"/>
              <w:rPr>
                <w:sz w:val="1"/>
                <w:szCs w:val="1"/>
                <w:color w:val="auto"/>
              </w:rPr>
            </w:pPr>
          </w:p>
        </w:tc>
      </w:tr>
      <w:tr>
        <w:trPr>
          <w:trHeight w:val="215"/>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2022</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55,848</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343,012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414,929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(53,165)</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705,335</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 net of shares withheld for taxes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0" w:type="dxa"/>
            <w:vAlign w:val="bottom"/>
          </w:tcPr>
          <w:p>
            <w:pPr>
              <w:spacing w:after="0"/>
              <w:rPr>
                <w:sz w:val="1"/>
                <w:szCs w:val="1"/>
                <w:color w:val="auto"/>
              </w:rPr>
            </w:pP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(448)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ind w:left="380"/>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55,531</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343,088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405,961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(37,017)</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712,588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00497F"/>
        </w:rPr>
        <w:t>EZCORP, Inc.</w:t>
      </w:r>
    </w:p>
    <w:p>
      <w:pPr>
        <w:spacing w:after="0" w:line="36" w:lineRule="exact"/>
        <w:rPr>
          <w:sz w:val="20"/>
          <w:szCs w:val="20"/>
          <w:color w:val="auto"/>
        </w:rPr>
      </w:pPr>
    </w:p>
    <w:p>
      <w:pPr>
        <w:ind w:left="1820"/>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97F"/>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49,949</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r>
      <w:tr>
        <w:trPr>
          <w:trHeight w:val="215"/>
        </w:trPr>
        <w:tc>
          <w:tcPr>
            <w:tcW w:w="8240" w:type="dxa"/>
            <w:vAlign w:val="bottom"/>
          </w:tcPr>
          <w:p>
            <w:pPr>
              <w:ind w:left="2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16,784</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807</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29,514</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(6,987)</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Provision for inventory reserve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4,844</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3,741</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Equity in net (income) loss from investment in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(2,872)</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30,917</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loss on extinguishment of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Pawn service charges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1,071</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1,617</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(2,306)</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(8,699)</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(57,531)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(43,969)</w:t>
            </w:r>
          </w:p>
        </w:tc>
      </w:tr>
      <w:tr>
        <w:trPr>
          <w:trHeight w:val="217"/>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r>
      <w:tr>
        <w:trPr>
          <w:trHeight w:val="215"/>
        </w:trPr>
        <w:tc>
          <w:tcPr>
            <w:tcW w:w="82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909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8,852</w:t>
            </w:r>
          </w:p>
        </w:tc>
      </w:tr>
      <w:tr>
        <w:trPr>
          <w:trHeight w:val="216"/>
        </w:trPr>
        <w:tc>
          <w:tcPr>
            <w:tcW w:w="82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36,548</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46,827</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(433,194)</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(378,717)</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262,970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230,604</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188,351</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171,504</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(13,654)</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(18,439)</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(8,610)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(12,968)</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notes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(15,500)</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(2,133)</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 other investments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5"/>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Dividends from unconsolidated affiliates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1,745</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(18,242)</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(40,649)</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(3,253)</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Proceeds from issuance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issuance cost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Cash paid on extinguishment of debt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(178,488)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(6,010)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(10,978)</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Payments of finance leases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(9,539)</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29,976</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8,724</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37,210</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228,968</w:t>
            </w: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r>
      <w:tr>
        <w:trPr>
          <w:trHeight w:val="21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237,692</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251,579</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00497F"/>
        </w:rPr>
        <w:t>Notes to Condensed Consolidated Financial Statements</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497F"/>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6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EZCORP, Inc. (collectively with its subsidiaries, the “Company,” “we,” “us,” or “our”) is a provider of pawn loans in the United States (“U.S.”) and Latin America. Pawn loans are non-recourse loans collateralized by tangible property. We also sell merchandise, primarily collateral forfeited from pawn lending operations and pre-owned merchandise purchased from customers.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6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spacing w:after="0" w:line="122" w:lineRule="exact"/>
        <w:rPr>
          <w:sz w:val="20"/>
          <w:szCs w:val="20"/>
          <w:color w:val="auto"/>
        </w:rPr>
      </w:pPr>
    </w:p>
    <w:p>
      <w:pPr>
        <w:jc w:val="both"/>
        <w:ind w:right="1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1">
        <w:r>
          <w:rPr>
            <w:rFonts w:ascii="Arial" w:cs="Arial" w:eastAsia="Arial" w:hAnsi="Arial"/>
            <w:sz w:val="18"/>
            <w:szCs w:val="18"/>
            <w:color w:val="auto"/>
          </w:rPr>
          <w:t xml:space="preserve">Annual Report on Form 10-K for the year ended September 30, </w:t>
        </w:r>
      </w:hyperlink>
      <w:r>
        <w:rPr>
          <w:rFonts w:ascii="Arial" w:cs="Arial" w:eastAsia="Arial" w:hAnsi="Arial"/>
          <w:sz w:val="18"/>
          <w:szCs w:val="18"/>
          <w:color w:val="auto"/>
        </w:rPr>
        <w:t>2023, filed with the Securities and Exchange Commission (“SEC”) on November 15, 2023 (“2023 Annual Report”).</w:t>
      </w:r>
    </w:p>
    <w:p>
      <w:pPr>
        <w:spacing w:after="0" w:line="117" w:lineRule="exact"/>
        <w:rPr>
          <w:sz w:val="20"/>
          <w:szCs w:val="20"/>
          <w:color w:val="auto"/>
        </w:rPr>
      </w:pPr>
    </w:p>
    <w:p>
      <w:pPr>
        <w:ind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In the opinion of management, the accompanying Condensed Consolidated Financial Statements include all adjustments, consisting of normal recurring adjustments, considered necessary for a fair presentation. Financial results for the three and six month periods ended March 31, 2024, are not necessarily indicative of results that may be expected for the fiscal year ending September 30, 2024 or any other period due, in part, to seasonal variations. There have been no changes that have had a material impact in significant accounting policies as described in our 2023 </w:t>
      </w:r>
      <w:hyperlink r:id="rId21">
        <w:r>
          <w:rPr>
            <w:rFonts w:ascii="Arial" w:cs="Arial" w:eastAsia="Arial" w:hAnsi="Arial"/>
            <w:sz w:val="18"/>
            <w:szCs w:val="18"/>
            <w:color w:val="auto"/>
          </w:rPr>
          <w:t>Annual Report.</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Merchandise Sales Revenue Recognition</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Customer layaway deposits are recorded as liabilities when a customer provides a deposit for merchandise. Customer layaway deposits are generally refundable upon cancellation. Our customer layaway deposits balance as of March 31, 2024, 2023 and September 30, 2023 was $20.4 million, $18.8 million and $18.9 million, respectively, and are generally recognized as revenue within a one-year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7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account for our investment in Rich Data Corporation (“RDC”) in accordance with Accounting Standards Codification (“ASC”) 321, Investments — Equity Securities, and we have elected to use the measurement alternative to measure this investment at cost, less any impairment, plus or minus changes resulting from observable price changes in orderly transactions for identical or similar investments of the same issuer, if any. As of March 31, 2024, 2023 and September 30, 2023, the carrying value of our investment in RDC was $6.2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Strategic Investments for details on our investment in Founders One, LLC (“Founders”).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In October 2023, the Financial Accounting Standards Board (“FASB”) issued Accounting Standards Update (“ASU”) 2023-06,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 Codification Amendments in Response to the SEC’s Disclosure Update and Simplification Initiative </w:t>
      </w:r>
      <w:r>
        <w:rPr>
          <w:rFonts w:ascii="Arial" w:cs="Arial" w:eastAsia="Arial" w:hAnsi="Arial"/>
          <w:sz w:val="18"/>
          <w:szCs w:val="18"/>
          <w:color w:val="auto"/>
        </w:rPr>
        <w:t>(“ASU 2023-06”).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 of this standard on our consolidated financial statements and related disclosures.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(“ASU 2023-07”). ASU 2023-07 requires disclosure of significant segment expenses regularly provided to the chief operating decision maker (“CODM”) included within segment operating profit or loss. Additionally, the ASU requires a description of how the CODM utilizes segment operating profit or loss to assess segment performance. The requirements of this ASU 2023-07 are effective for the Company for fiscal years beginning after December 15, 2023, and interim periods within fiscal years beginning after December 15, 2024. Early adoption is permitted, and retrospective application is required for all periods presented. We are currently evaluating the impact of this standard on our consolidated financial statements and related disclosures.</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fiscal years beginning after December 15, 2024. Early adoption is permitted, and the amendments should be applied on a prospective basis. Retrospective application is permitted. We are currently evaluating the impact of this standard on our consolidated financial statements and related disclosures.</w:t>
      </w:r>
    </w:p>
    <w:p>
      <w:pPr>
        <w:spacing w:after="0" w:line="1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In March 2024, the FASB issued ASU 2024-02, </w:t>
      </w:r>
      <w:r>
        <w:rPr>
          <w:rFonts w:ascii="Arial" w:cs="Arial" w:eastAsia="Arial" w:hAnsi="Arial"/>
          <w:sz w:val="18"/>
          <w:szCs w:val="18"/>
          <w:i w:val="1"/>
          <w:iCs w:val="1"/>
          <w:color w:val="auto"/>
        </w:rPr>
        <w:t>Codification Improvements—Amendments to Remove References to the Concepts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(“ASU 2024-02”). ASU 2024-02 contains amendments to the Codification that remove references to various FASB Concepts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The requirements of this ASU 2024-02 are effective for the Company for fiscal years beginning after December 15, 2024 and can be applied on a prospective or retrospective basis. This standard is not expected to have a significant impact on our consolidated financial statements and related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GOODWILL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79"/>
              <w:spacing w:after="0"/>
              <w:rPr>
                <w:sz w:val="20"/>
                <w:szCs w:val="20"/>
                <w:color w:val="auto"/>
              </w:rPr>
            </w:pPr>
            <w:r>
              <w:rPr>
                <w:rFonts w:ascii="Arial" w:cs="Arial" w:eastAsia="Arial" w:hAnsi="Arial"/>
                <w:sz w:val="16"/>
                <w:szCs w:val="16"/>
                <w:b w:val="1"/>
                <w:bCs w:val="1"/>
                <w:color w:val="auto"/>
              </w:rPr>
              <w:t>Six Months Ended March 31, 2024</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60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2023</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255,942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302,372</w:t>
            </w: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6,330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6,330</w:t>
            </w:r>
          </w:p>
        </w:tc>
      </w:tr>
      <w:tr>
        <w:trPr>
          <w:trHeight w:val="215"/>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1,956</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262,272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310,658</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7"/>
          </w:tcPr>
          <w:p>
            <w:pPr>
              <w:jc w:val="right"/>
              <w:ind w:right="1179"/>
              <w:spacing w:after="0"/>
              <w:rPr>
                <w:sz w:val="20"/>
                <w:szCs w:val="20"/>
                <w:color w:val="auto"/>
              </w:rPr>
            </w:pPr>
            <w:r>
              <w:rPr>
                <w:rFonts w:ascii="Arial" w:cs="Arial" w:eastAsia="Arial" w:hAnsi="Arial"/>
                <w:sz w:val="16"/>
                <w:szCs w:val="16"/>
                <w:b w:val="1"/>
                <w:bCs w:val="1"/>
                <w:color w:val="auto"/>
              </w:rPr>
              <w:t>Six Months Ended March 31, 2023</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20" w:type="dxa"/>
            <w:vAlign w:val="bottom"/>
            <w:gridSpan w:val="3"/>
          </w:tcPr>
          <w:p>
            <w:pPr>
              <w:ind w:left="4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20" w:type="dxa"/>
            <w:vAlign w:val="bottom"/>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34"/>
        </w:trPr>
        <w:tc>
          <w:tcPr>
            <w:tcW w:w="59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245,503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286,828</w:t>
            </w:r>
          </w:p>
        </w:tc>
      </w:tr>
      <w:tr>
        <w:trPr>
          <w:trHeight w:val="216"/>
        </w:trPr>
        <w:tc>
          <w:tcPr>
            <w:tcW w:w="5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Acquisitions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9,468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9,468</w:t>
            </w:r>
          </w:p>
        </w:tc>
      </w:tr>
      <w:tr>
        <w:trPr>
          <w:trHeight w:val="215"/>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3,782</w:t>
            </w:r>
          </w:p>
        </w:tc>
      </w:tr>
      <w:tr>
        <w:trPr>
          <w:trHeight w:val="20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254,971</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45,107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300,078</w:t>
            </w:r>
          </w:p>
        </w:tc>
      </w:tr>
    </w:tbl>
    <w:p>
      <w:pPr>
        <w:spacing w:after="0" w:line="126" w:lineRule="exact"/>
        <w:rPr>
          <w:sz w:val="20"/>
          <w:szCs w:val="20"/>
          <w:color w:val="auto"/>
        </w:rPr>
      </w:pPr>
    </w:p>
    <w:p>
      <w:pPr>
        <w:ind w:left="180" w:right="180" w:hanging="172"/>
        <w:spacing w:after="0" w:line="305" w:lineRule="auto"/>
        <w:tabs>
          <w:tab w:leader="none" w:pos="234"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 represents goodwill recognized in connection with acquisitions within the U.S. Pawn segment that were immaterial, individually and in the aggregate, and we have therefore omitted certain disclosures.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EARNINGS (LOSS)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number of common shares used to compute basic and diluted earnings (loss) per share attributable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EZCORP Inc., shareholders: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Net income (loss) - 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21,479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49,949</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9,988</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55,093</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55,648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55,084</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55,981</w:t>
            </w: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earnings (loss)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Diluted earnings (loss) per common share: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 basic</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9,988</w:t>
            </w:r>
          </w:p>
        </w:tc>
      </w:tr>
      <w:tr>
        <w:trPr>
          <w:trHeight w:val="215"/>
        </w:trPr>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Add: Convertible Notes interest expense (income), net of tax*</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2,415</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23,894</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55,023</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7,255</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Weighted shares outstanding - 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55,084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55,981</w:t>
            </w:r>
          </w:p>
        </w:tc>
      </w:tr>
      <w:tr>
        <w:trPr>
          <w:trHeight w:val="217"/>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Equity-based compensation awards - effect of dilution**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r>
      <w:tr>
        <w:trPr>
          <w:trHeight w:val="215"/>
        </w:trPr>
        <w:tc>
          <w:tcPr>
            <w:tcW w:w="52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Convertible Notes - effect of dilution***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26,978</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8,221</w:t>
            </w:r>
          </w:p>
        </w:tc>
      </w:tr>
      <w:tr>
        <w:trPr>
          <w:trHeight w:val="20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Weighted shares outstanding - diluted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83,045</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55,648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84,948</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65,269</w:t>
            </w: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earnings (loss)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62"/>
        </w:trPr>
        <w:tc>
          <w:tcPr>
            <w:tcW w:w="5200" w:type="dxa"/>
            <w:vAlign w:val="bottom"/>
          </w:tcPr>
          <w:p>
            <w:pPr>
              <w:ind w:left="20"/>
              <w:spacing w:after="0" w:line="162" w:lineRule="exact"/>
              <w:rPr>
                <w:sz w:val="20"/>
                <w:szCs w:val="20"/>
                <w:color w:val="auto"/>
              </w:rPr>
            </w:pPr>
            <w:r>
              <w:rPr>
                <w:rFonts w:ascii="Arial" w:cs="Arial" w:eastAsia="Arial" w:hAnsi="Arial"/>
                <w:sz w:val="16"/>
                <w:szCs w:val="16"/>
                <w:color w:val="auto"/>
              </w:rPr>
              <w:t>Potential common shares excluded from the calculation of diluted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earnings (loss) per common share above: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Arial" w:cs="Arial" w:eastAsia="Arial" w:hAnsi="Arial"/>
                <w:sz w:val="16"/>
                <w:szCs w:val="16"/>
                <w:color w:val="auto"/>
              </w:rPr>
              <w:t>Equity-based compensation awards**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Convertible Notes***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20,141</w:t>
            </w:r>
          </w:p>
        </w:tc>
      </w:tr>
      <w:tr>
        <w:trPr>
          <w:trHeight w:val="215"/>
        </w:trPr>
        <w:tc>
          <w:tcPr>
            <w:tcW w:w="5200" w:type="dxa"/>
            <w:vAlign w:val="bottom"/>
            <w:tcBorders>
              <w:bottom w:val="single" w:sz="8" w:color="929292"/>
            </w:tcBorders>
          </w:tcPr>
          <w:p>
            <w:pPr>
              <w:ind w:left="240"/>
              <w:spacing w:after="0"/>
              <w:rPr>
                <w:sz w:val="20"/>
                <w:szCs w:val="20"/>
                <w:color w:val="auto"/>
              </w:rPr>
            </w:pPr>
            <w:r>
              <w:rPr>
                <w:rFonts w:ascii="Arial" w:cs="Arial" w:eastAsia="Arial" w:hAnsi="Arial"/>
                <w:sz w:val="16"/>
                <w:szCs w:val="16"/>
                <w:color w:val="auto"/>
              </w:rPr>
              <w:t>Restricted stock****</w:t>
            </w:r>
          </w:p>
        </w:tc>
        <w:tc>
          <w:tcPr>
            <w:tcW w:w="320" w:type="dxa"/>
            <w:vAlign w:val="bottom"/>
            <w:tcBorders>
              <w:bottom w:val="single" w:sz="8" w:color="929292"/>
            </w:tcBorders>
          </w:tcPr>
          <w:p>
            <w:pPr>
              <w:spacing w:after="0"/>
              <w:rPr>
                <w:sz w:val="18"/>
                <w:szCs w:val="18"/>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929292"/>
            </w:tcBorders>
          </w:tcPr>
          <w:p>
            <w:pPr>
              <w:spacing w:after="0"/>
              <w:rPr>
                <w:sz w:val="18"/>
                <w:szCs w:val="18"/>
                <w:color w:val="auto"/>
              </w:rPr>
            </w:pPr>
          </w:p>
        </w:tc>
        <w:tc>
          <w:tcPr>
            <w:tcW w:w="420" w:type="dxa"/>
            <w:vAlign w:val="bottom"/>
            <w:tcBorders>
              <w:bottom w:val="single" w:sz="8" w:color="929292"/>
            </w:tcBorders>
          </w:tcPr>
          <w:p>
            <w:pPr>
              <w:spacing w:after="0"/>
              <w:rPr>
                <w:sz w:val="18"/>
                <w:szCs w:val="18"/>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1,504</w:t>
            </w:r>
          </w:p>
        </w:tc>
        <w:tc>
          <w:tcPr>
            <w:tcW w:w="100" w:type="dxa"/>
            <w:vAlign w:val="bottom"/>
            <w:tcBorders>
              <w:bottom w:val="single" w:sz="8" w:color="929292"/>
            </w:tcBorders>
          </w:tcPr>
          <w:p>
            <w:pPr>
              <w:spacing w:after="0"/>
              <w:rPr>
                <w:sz w:val="18"/>
                <w:szCs w:val="18"/>
                <w:color w:val="auto"/>
              </w:rPr>
            </w:pPr>
          </w:p>
        </w:tc>
        <w:tc>
          <w:tcPr>
            <w:tcW w:w="340" w:type="dxa"/>
            <w:vAlign w:val="bottom"/>
            <w:tcBorders>
              <w:bottom w:val="single" w:sz="8" w:color="929292"/>
            </w:tcBorders>
          </w:tcPr>
          <w:p>
            <w:pPr>
              <w:spacing w:after="0"/>
              <w:rPr>
                <w:sz w:val="18"/>
                <w:szCs w:val="18"/>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929292"/>
            </w:tcBorders>
          </w:tcPr>
          <w:p>
            <w:pPr>
              <w:spacing w:after="0"/>
              <w:rPr>
                <w:sz w:val="18"/>
                <w:szCs w:val="18"/>
                <w:color w:val="auto"/>
              </w:rPr>
            </w:pPr>
          </w:p>
        </w:tc>
        <w:tc>
          <w:tcPr>
            <w:tcW w:w="440" w:type="dxa"/>
            <w:vAlign w:val="bottom"/>
            <w:tcBorders>
              <w:bottom w:val="single" w:sz="8" w:color="929292"/>
            </w:tcBorders>
          </w:tcPr>
          <w:p>
            <w:pPr>
              <w:spacing w:after="0"/>
              <w:rPr>
                <w:sz w:val="18"/>
                <w:szCs w:val="18"/>
                <w:color w:val="auto"/>
              </w:rPr>
            </w:pPr>
          </w:p>
        </w:tc>
        <w:tc>
          <w:tcPr>
            <w:tcW w:w="10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1,528</w:t>
            </w:r>
          </w:p>
        </w:tc>
      </w:tr>
      <w:tr>
        <w:trPr>
          <w:trHeight w:val="21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32,935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21,669</w:t>
            </w:r>
          </w:p>
        </w:tc>
      </w:tr>
    </w:tbl>
    <w:p>
      <w:pPr>
        <w:spacing w:after="0" w:line="85" w:lineRule="exact"/>
        <w:rPr>
          <w:sz w:val="20"/>
          <w:szCs w:val="20"/>
          <w:color w:val="auto"/>
        </w:rPr>
      </w:pPr>
    </w:p>
    <w:p>
      <w:pPr>
        <w:ind w:left="340" w:right="80" w:hanging="332"/>
        <w:spacing w:after="0" w:line="272" w:lineRule="auto"/>
        <w:tabs>
          <w:tab w:leader="none" w:pos="232" w:val="left"/>
        </w:tabs>
        <w:numPr>
          <w:ilvl w:val="0"/>
          <w:numId w:val="4"/>
        </w:numPr>
        <w:rPr>
          <w:rFonts w:ascii="Arial" w:cs="Arial" w:eastAsia="Arial" w:hAnsi="Arial"/>
          <w:sz w:val="14"/>
          <w:szCs w:val="14"/>
          <w:color w:val="auto"/>
        </w:rPr>
      </w:pPr>
      <w:r>
        <w:rPr>
          <w:rFonts w:ascii="Arial" w:cs="Arial" w:eastAsia="Arial" w:hAnsi="Arial"/>
          <w:sz w:val="14"/>
          <w:szCs w:val="14"/>
          <w:color w:val="auto"/>
        </w:rPr>
        <w:t>Effective January 1, 2024, we are required to combination settle the 2024 Convertible Notes. As such, no interest expense is included for the three months ended March 31, 2024 and only the first quarter of 2024 interest expense is included for the six months ended March 31, 2024. The six months ended March 31,2023 includes $5.4 million</w:t>
      </w:r>
    </w:p>
    <w:p>
      <w:pPr>
        <w:ind w:left="340" w:right="820"/>
        <w:spacing w:after="0" w:line="251" w:lineRule="auto"/>
        <w:rPr>
          <w:sz w:val="20"/>
          <w:szCs w:val="20"/>
          <w:color w:val="auto"/>
        </w:rPr>
      </w:pPr>
      <w:r>
        <w:rPr>
          <w:rFonts w:ascii="Arial" w:cs="Arial" w:eastAsia="Arial" w:hAnsi="Arial"/>
          <w:sz w:val="14"/>
          <w:szCs w:val="14"/>
          <w:color w:val="auto"/>
        </w:rPr>
        <w:t>gain on the partial extinguishment of debt, associated with the 2025 Convertible Notes, which was recorded to “Interest expense” in the Company’s condensed consolidated statement of operations. See Note 7: Debt for additional information.</w:t>
      </w:r>
    </w:p>
    <w:p>
      <w:pPr>
        <w:spacing w:after="0" w:line="1" w:lineRule="exact"/>
        <w:rPr>
          <w:sz w:val="20"/>
          <w:szCs w:val="20"/>
          <w:color w:val="auto"/>
        </w:rPr>
      </w:pPr>
    </w:p>
    <w:p>
      <w:pPr>
        <w:ind w:left="340" w:right="480" w:hanging="332"/>
        <w:spacing w:after="0" w:line="261" w:lineRule="auto"/>
        <w:tabs>
          <w:tab w:leader="none" w:pos="288"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time-based share-based awards and performance based awards for which targets for fiscal year tranches have been achieved and vesting is subject only to achievement of service conditions.</w:t>
      </w:r>
    </w:p>
    <w:p>
      <w:pPr>
        <w:ind w:left="340" w:right="80" w:hanging="332"/>
        <w:spacing w:after="0" w:line="257" w:lineRule="auto"/>
        <w:tabs>
          <w:tab w:leader="none" w:pos="336"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we are required to combination settle the 2024 Convertible Notes effective January 1, 2024, the 3.4 million principal shares are not included for the three months ended March 31, 2024 and only the weighted average shares of 1.7 million are included for the six months ended March 31, 2024. Additionally, no potential common shares related to the accreted value of the 2024 Convertible Notes are included for the three or six months ended March 31, 2024 as the average market rate was not above the initial conversion price of $10.00 per share for the noted reporting periods. See Note 7: Debt for conversion price, initial conversion rate and additional information on the 2024 Convertible Notes, 2025 Convertible Notes, and 2029 Convertible Notes.</w:t>
      </w:r>
    </w:p>
    <w:p>
      <w:pPr>
        <w:spacing w:after="0" w:line="2" w:lineRule="exact"/>
        <w:rPr>
          <w:rFonts w:ascii="Arial" w:cs="Arial" w:eastAsia="Arial" w:hAnsi="Arial"/>
          <w:sz w:val="14"/>
          <w:szCs w:val="14"/>
          <w:color w:val="auto"/>
        </w:rPr>
      </w:pPr>
    </w:p>
    <w:p>
      <w:pPr>
        <w:ind w:left="340" w:right="200" w:hanging="332"/>
        <w:spacing w:after="0" w:line="284"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LEASES</w:t>
      </w:r>
    </w:p>
    <w:p>
      <w:pPr>
        <w:spacing w:after="0" w:line="17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 and finance leases for vehicles with lease terms ranging from two to five years.</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table below presents balances of our lease assets and liabilities and their balance sheet locations for both operating and financing leases:</w:t>
      </w:r>
    </w:p>
    <w:tbl>
      <w:tblPr>
        <w:tblLayout w:type="fixed"/>
        <w:tblInd w:w="0" w:type="dxa"/>
        <w:tblCellMar>
          <w:top w:w="0" w:type="dxa"/>
          <w:left w:w="0" w:type="dxa"/>
          <w:bottom w:w="0" w:type="dxa"/>
          <w:right w:w="0" w:type="dxa"/>
        </w:tblCellMar>
      </w:tblPr>
      <w:tr>
        <w:trPr>
          <w:trHeight w:val="164"/>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4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2024</w:t>
            </w: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4"/>
                <w:szCs w:val="14"/>
                <w:color w:val="auto"/>
              </w:rPr>
            </w:pPr>
          </w:p>
        </w:tc>
        <w:tc>
          <w:tcPr>
            <w:tcW w:w="130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2720" w:type="dxa"/>
            <w:vAlign w:val="bottom"/>
            <w:vMerge w:val="continue"/>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assets:</w:t>
            </w:r>
          </w:p>
        </w:tc>
        <w:tc>
          <w:tcPr>
            <w:tcW w:w="3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234,388</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assets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04"/>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assets</w:t>
            </w:r>
          </w:p>
        </w:tc>
        <w:tc>
          <w:tcPr>
            <w:tcW w:w="3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245,846</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235,576</w:t>
            </w: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236,566</w:t>
            </w:r>
          </w:p>
        </w:tc>
        <w:tc>
          <w:tcPr>
            <w:tcW w:w="0" w:type="dxa"/>
            <w:vAlign w:val="bottom"/>
          </w:tcPr>
          <w:p>
            <w:pPr>
              <w:spacing w:after="0"/>
              <w:rPr>
                <w:sz w:val="1"/>
                <w:szCs w:val="1"/>
                <w:color w:val="auto"/>
              </w:rPr>
            </w:pPr>
          </w:p>
        </w:tc>
      </w:tr>
      <w:tr>
        <w:trPr>
          <w:trHeight w:val="418"/>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6"/>
                <w:szCs w:val="16"/>
                <w:color w:val="auto"/>
              </w:rPr>
              <w:t>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57,182</w:t>
            </w:r>
          </w:p>
        </w:tc>
        <w:tc>
          <w:tcPr>
            <w:tcW w:w="0" w:type="dxa"/>
            <w:vAlign w:val="bottom"/>
          </w:tcPr>
          <w:p>
            <w:pPr>
              <w:spacing w:after="0"/>
              <w:rPr>
                <w:sz w:val="1"/>
                <w:szCs w:val="1"/>
                <w:color w:val="auto"/>
              </w:rPr>
            </w:pPr>
          </w:p>
        </w:tc>
      </w:tr>
      <w:tr>
        <w:trPr>
          <w:trHeight w:val="162"/>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Accounts payable, accrued expenses and other</w:t>
            </w: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vMerge w:val="continue"/>
          </w:tcPr>
          <w:p>
            <w:pPr>
              <w:spacing w:after="0"/>
              <w:rPr>
                <w:sz w:val="18"/>
                <w:szCs w:val="18"/>
                <w:color w:val="auto"/>
              </w:rPr>
            </w:pP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56,241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54,203</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57,712</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Non-current:</w:t>
            </w:r>
          </w:p>
        </w:tc>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193,187</w:t>
            </w:r>
          </w:p>
        </w:tc>
        <w:tc>
          <w:tcPr>
            <w:tcW w:w="0" w:type="dxa"/>
            <w:vAlign w:val="bottom"/>
          </w:tcPr>
          <w:p>
            <w:pPr>
              <w:spacing w:after="0"/>
              <w:rPr>
                <w:sz w:val="1"/>
                <w:szCs w:val="1"/>
                <w:color w:val="auto"/>
              </w:rPr>
            </w:pPr>
          </w:p>
        </w:tc>
      </w:tr>
      <w:tr>
        <w:trPr>
          <w:trHeight w:val="21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Financing lease liabilities</w:t>
            </w:r>
          </w:p>
        </w:tc>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17"/>
        </w:trPr>
        <w:tc>
          <w:tcPr>
            <w:tcW w:w="2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non-current lease liabilities</w:t>
            </w:r>
          </w:p>
        </w:tc>
        <w:tc>
          <w:tcPr>
            <w:tcW w:w="3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198,911</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192,898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194,902</w:t>
            </w:r>
          </w:p>
        </w:tc>
        <w:tc>
          <w:tcPr>
            <w:tcW w:w="0" w:type="dxa"/>
            <w:vAlign w:val="bottom"/>
          </w:tcPr>
          <w:p>
            <w:pPr>
              <w:spacing w:after="0"/>
              <w:rPr>
                <w:sz w:val="1"/>
                <w:szCs w:val="1"/>
                <w:color w:val="auto"/>
              </w:rPr>
            </w:pPr>
          </w:p>
        </w:tc>
      </w:tr>
      <w:tr>
        <w:trPr>
          <w:trHeight w:val="223"/>
        </w:trPr>
        <w:tc>
          <w:tcPr>
            <w:tcW w:w="2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liabilities</w:t>
            </w:r>
          </w:p>
        </w:tc>
        <w:tc>
          <w:tcPr>
            <w:tcW w:w="3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255,152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247,101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252,614</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major components of our lease costs: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5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Operating lease cost:</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35,518</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Variable lease cost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r>
      <w:tr>
        <w:trPr>
          <w:trHeight w:val="217"/>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operating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24,483</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22,051</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47,764</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43,398</w:t>
            </w:r>
          </w:p>
        </w:tc>
      </w:tr>
      <w:tr>
        <w:trPr>
          <w:trHeight w:val="418"/>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Financing lease cost:</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financing lease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on financing lease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financing lease cost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2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cost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24,710</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22,130</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48,207</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43,507</w:t>
            </w:r>
          </w:p>
        </w:tc>
      </w:tr>
    </w:tbl>
    <w:p>
      <w:pPr>
        <w:spacing w:after="0" w:line="85" w:lineRule="exact"/>
        <w:rPr>
          <w:sz w:val="20"/>
          <w:szCs w:val="20"/>
          <w:color w:val="auto"/>
        </w:rPr>
      </w:pPr>
    </w:p>
    <w:p>
      <w:pPr>
        <w:ind w:right="500" w:firstLine="8"/>
        <w:spacing w:after="0" w:line="285" w:lineRule="auto"/>
        <w:tabs>
          <w:tab w:leader="none" w:pos="9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 reduction for sublease rental income of $0.6 million and $1.1 million for the three months ended March 31, 2024 and 2023, respectively, and $1.7 million and $1.8 million for the six months ended March 31, 2024 and 2023, respectively.</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was $24.3 million and $18.9 million for the three months ended March 31, 2024 and 2023, respectively, and $44.6 million and $37.4 million for the six months ended March 31, 2024 and 2023, respectively. Cash paid for principal and interest on finance leases was $0.1 million and $0.1 million, respectively, for the three months ended March 31, 2024 and $0.3 million and $0.1 million for the six months ended March 31, 2024 respectively</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There was no cash paid for principal or interest on finance leases during the three and six months ended March 31, 2023.</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term and discount rates for leases are as follows:</w:t>
      </w:r>
    </w:p>
    <w:p>
      <w:pPr>
        <w:spacing w:after="0" w:line="48"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49"/>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70"/>
        </w:trPr>
        <w:tc>
          <w:tcPr>
            <w:tcW w:w="806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7"/>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8.42 %</w:t>
            </w:r>
          </w:p>
        </w:tc>
      </w:tr>
      <w:tr>
        <w:trPr>
          <w:trHeight w:val="215"/>
        </w:trPr>
        <w:tc>
          <w:tcPr>
            <w:tcW w:w="8060" w:type="dxa"/>
            <w:vAlign w:val="bottom"/>
          </w:tcPr>
          <w:p>
            <w:pPr>
              <w:ind w:left="240"/>
              <w:spacing w:after="0"/>
              <w:rPr>
                <w:sz w:val="20"/>
                <w:szCs w:val="20"/>
                <w:color w:val="auto"/>
              </w:rPr>
            </w:pPr>
            <w:r>
              <w:rPr>
                <w:rFonts w:ascii="Arial" w:cs="Arial" w:eastAsia="Arial" w:hAnsi="Arial"/>
                <w:sz w:val="16"/>
                <w:szCs w:val="16"/>
                <w:color w:val="auto"/>
              </w:rPr>
              <w:t>Financing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11.14 %</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2024, maturities of lease liabilities under ASC 842 by fiscal year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Financing Leases</w:t>
            </w: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Remaining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75,330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15"/>
        </w:trPr>
        <w:tc>
          <w:tcPr>
            <w:tcW w:w="798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49,593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17"/>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50,899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w:t>
            </w:r>
          </w:p>
        </w:tc>
      </w:tr>
      <w:tr>
        <w:trPr>
          <w:trHeight w:val="215"/>
        </w:trPr>
        <w:tc>
          <w:tcPr>
            <w:tcW w:w="79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imputed interest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56,659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w:t>
            </w:r>
          </w:p>
        </w:tc>
      </w:tr>
      <w:tr>
        <w:trPr>
          <w:trHeight w:val="210"/>
        </w:trPr>
        <w:tc>
          <w:tcPr>
            <w:tcW w:w="7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net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w:t>
            </w:r>
          </w:p>
        </w:tc>
      </w:tr>
      <w:tr>
        <w:trPr>
          <w:trHeight w:val="215"/>
        </w:trPr>
        <w:tc>
          <w:tcPr>
            <w:tcW w:w="79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55,658</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r>
      <w:tr>
        <w:trPr>
          <w:trHeight w:val="217"/>
        </w:trPr>
        <w:tc>
          <w:tcPr>
            <w:tcW w:w="7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long term net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197,285</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1,626</w:t>
            </w:r>
          </w:p>
        </w:tc>
      </w:tr>
    </w:tbl>
    <w:p>
      <w:pPr>
        <w:spacing w:after="0" w:line="23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recorded $35.0 million and $34.5 million in non-cash additions to our operating right-of-use assets and lease liabilities for the six months ended March 31, 2024 and 2023, respectively. We recorded $0.2 million and $1.2 million in non-cash finance lease additions for the six months ended March 31, 2024 and 2023,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STRATEGIC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Converters International Limited</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March 31, 2024, we owned 273,939,157 shares, or approximately 43.7%, of Cash Converters. We acquired our original investment (representing approximately 30% of the outstanding shares) in November 2009 and have increased our ownership through the acquisition of additional shares periodically since that time.</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received cash dividends from Cash Converters of $1.7 million and $1.8 million during the six months ended March 31, 2024 and 2023, respectively.</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tables present summary financial information for Cash Converters’ most recently reported results at December 31, 2023 after translation to U.S.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189,179</w:t>
            </w:r>
          </w:p>
        </w:tc>
      </w:tr>
      <w:tr>
        <w:trPr>
          <w:trHeight w:val="21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137,271</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98,301</w:t>
            </w:r>
          </w:p>
        </w:tc>
      </w:tr>
      <w:tr>
        <w:trPr>
          <w:trHeight w:val="217"/>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323,843</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287,480</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101,097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91,601</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56,792</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142,820</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139,087</w:t>
            </w:r>
          </w:p>
        </w:tc>
      </w:tr>
      <w:tr>
        <w:trPr>
          <w:trHeight w:val="217"/>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323,843</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287,480</w:t>
            </w:r>
          </w:p>
        </w:tc>
      </w:tr>
    </w:tbl>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Half-Year Ended December 31,</w:t>
            </w: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34"/>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8"/>
              </w:rPr>
              <w:t>98,768</w:t>
            </w: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73,675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399"/>
              <w:spacing w:after="0"/>
              <w:rPr>
                <w:sz w:val="20"/>
                <w:szCs w:val="20"/>
                <w:color w:val="auto"/>
              </w:rPr>
            </w:pPr>
            <w:r>
              <w:rPr>
                <w:rFonts w:ascii="Arial" w:cs="Arial" w:eastAsia="Arial" w:hAnsi="Arial"/>
                <w:sz w:val="16"/>
                <w:szCs w:val="16"/>
                <w:color w:val="auto"/>
                <w:w w:val="98"/>
              </w:rPr>
              <w:t>63,800</w:t>
            </w:r>
          </w:p>
        </w:tc>
      </w:tr>
      <w:tr>
        <w:trPr>
          <w:trHeight w:val="21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(73,197)</w:t>
            </w:r>
          </w:p>
        </w:tc>
      </w:tr>
    </w:tbl>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12529"/>
        </w:rPr>
        <w:t xml:space="preserve">During the </w:t>
      </w:r>
      <w:r>
        <w:rPr>
          <w:rFonts w:ascii="Arial" w:cs="Arial" w:eastAsia="Arial" w:hAnsi="Arial"/>
          <w:sz w:val="18"/>
          <w:szCs w:val="18"/>
          <w:color w:val="000000"/>
        </w:rPr>
        <w:t>three and six</w:t>
      </w:r>
      <w:r>
        <w:rPr>
          <w:rFonts w:ascii="Arial" w:cs="Arial" w:eastAsia="Arial" w:hAnsi="Arial"/>
          <w:sz w:val="18"/>
          <w:szCs w:val="18"/>
          <w:color w:val="212529"/>
        </w:rPr>
        <w:t xml:space="preserve"> months ended March 31, 2024, we recorded our share of income of $1.7 million and $2.9 million, respectively, from Cash Converters. During the </w:t>
      </w:r>
      <w:r>
        <w:rPr>
          <w:rFonts w:ascii="Arial" w:cs="Arial" w:eastAsia="Arial" w:hAnsi="Arial"/>
          <w:sz w:val="18"/>
          <w:szCs w:val="18"/>
          <w:color w:val="000000"/>
        </w:rPr>
        <w:t>three and six</w:t>
      </w:r>
      <w:r>
        <w:rPr>
          <w:rFonts w:ascii="Arial" w:cs="Arial" w:eastAsia="Arial" w:hAnsi="Arial"/>
          <w:sz w:val="18"/>
          <w:szCs w:val="18"/>
          <w:color w:val="212529"/>
        </w:rPr>
        <w:t xml:space="preserve"> months ended March 31, 2023 we recorded a loss of $32.5 million and $30.9 million, respectively, from Cash Converters, which included $32.4 million as our share of their non-cash goodwill impairment charge during the quarter ended March 31, 2023 that was recorded to </w:t>
      </w:r>
      <w:r>
        <w:rPr>
          <w:rFonts w:ascii="Arial" w:cs="Arial" w:eastAsia="Arial" w:hAnsi="Arial"/>
          <w:sz w:val="18"/>
          <w:szCs w:val="18"/>
          <w:color w:val="000000"/>
        </w:rPr>
        <w:t>“Equity in net (income) loss of unconsolidated affiliates”</w:t>
      </w:r>
      <w:r>
        <w:rPr>
          <w:rFonts w:ascii="Arial" w:cs="Arial" w:eastAsia="Arial" w:hAnsi="Arial"/>
          <w:sz w:val="18"/>
          <w:szCs w:val="18"/>
          <w:color w:val="212529"/>
        </w:rPr>
        <w:t xml:space="preserve"> in the condensed consolidated statements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investment in Cash Converters.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Founders One, LLC</w:t>
      </w:r>
    </w:p>
    <w:p>
      <w:pPr>
        <w:spacing w:after="0" w:line="14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October 2021, we invested $15.0 million in exchange for a non-redeemable voting participating preferred equity interest in Founders One, LLC (“Founders”), a then newly-formed entity with one other member.</w:t>
      </w:r>
    </w:p>
    <w:p>
      <w:pPr>
        <w:spacing w:after="0" w:line="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December 2, 2022, we contributed an additional $15.0 million to Founders associated with our preferred interest. In addition, we loaned $15.0 million to Founders in exchange for a Demand Promissory Note secured by the common interest in Founders held by the other member.</w:t>
      </w:r>
    </w:p>
    <w:p>
      <w:pPr>
        <w:spacing w:after="0" w:line="7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October 2023, we contributed an additional $15.0 million to Founders associated with our preferred interest, bringing our total preferred equity investment in Founders to $45.0 million.</w:t>
      </w:r>
    </w:p>
    <w:p>
      <w:pPr>
        <w:spacing w:after="0" w:line="7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an interest in Founders, a variable interest entity, but because the Company is not the primary beneficiary, we do not consolidate Founders. Further, as we are not the appointed manager, we do not have the ability to direct the activities of the investment entity that most significantly impact its economic performance. Consequently, our preferred equity investment in Founders is accounted for utilizing the measurement alternative within ASC 321, Investments — Equity Securities. As of March 31, 2024, our $45.0 million carrying value of the preferred equity investment and $15.0 million Demand Promissory Note are included in “Other investments” and “Prepaid expenses and other current assets” in our condensed consolidated balance sheets, respectively. As of March 31, 2024, our maximum exposure for losses related to our investment in Founders was our $45.0 million preferred equity investment and $15.0 million Demand Promissory Note plus accrued and unpaid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212529"/>
        </w:rPr>
        <w:t>See Note 6: Fair Value Measurements for the fair value and carrying value of our loan to Founders.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FAIR VALUE MEASUREMENTS</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2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Value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2024</w:t>
            </w:r>
          </w:p>
        </w:tc>
        <w:tc>
          <w:tcPr>
            <w:tcW w:w="142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2024</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17,706</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97,171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tcPr>
          <w:p>
            <w:pPr>
              <w:spacing w:after="0"/>
              <w:rPr>
                <w:sz w:val="18"/>
                <w:szCs w:val="18"/>
                <w:color w:val="auto"/>
              </w:rPr>
            </w:pP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Value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March 31, 2023</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2023</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3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15,600</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2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102,312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94,690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94,690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250"/>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Promissory note receivable due April 2024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Promissory note receivable from Founders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16,500</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96,137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2029 Convertible Notes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primarily on the short-term nature of cash and cash equivalents, pawn loans, pawn service charges receivable and other liabilities, we estimate that their carrying value approximates fair value. We consider our cash and cash equivalents, including money market accounts, to be measured using Level 1 inputs and our pawn loans, pawn service charges receivable and other liabilities to be measured using Level 3 inputs. Significant increases or decreases in the underlying assumptions used to value pawn loans, pawn service charges receivable, fees and interest receivable and other debt could significantly increase or decrease these fair value estimates.</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remeasured its acquisition-related contingent obligation associated with the acquisition in June 2021 of PLO del Bajio S. de R.S. de C.V., which owned stores operating under the name "Cash Apoyo Efectivo," at the end of each reporting period. This remeasurement resulted in a $2.5 million reduction of the obligation with an offset recorded to "Other" as an operating item in our condensed consolidated statement of operations during the second quarter of fiscal 2023. The remaining obligation of $ 2.5 million is included in "Accounts payable, accrued expenses and other current liabilities" in our Consolidated Balance Sheet as of March 31, 2023. The key assumptions used to determine the fair value of acquisition-related contingent consideration are estimated by management, not observable in the market and, therefore, considered Level 3 inputs within the fair value hierarchy.</w:t>
      </w:r>
    </w:p>
    <w:p>
      <w:pPr>
        <w:spacing w:after="0" w:line="1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Based primarily on the short-term nature of the note, we estimate that its carrying value approximates fair value as of March 31, 2024. As of March 31, 2024, our $1.3 million carrying value of the promissory note is recorded within “Prepaid expenses and other current assets” in our condensed consolidated balance sheets. All principal and accrued interest was received in April 2024.</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December 2022, we loaned $15.0 million to Founders in exchange for a Demand Promissory Note secured by the common interest in Founders held by the other member. As of March 31, 2024, the interest rate on the note was 15.00% per annum, and all principal and accrued interest is due on demand. Based primarily on the short-term nature of the note, we estimate that its carrying value approximates fair value as of March 31, 2024.</w:t>
      </w:r>
    </w:p>
    <w:p>
      <w:pPr>
        <w:spacing w:after="0" w:line="12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pacing w:after="0" w:line="1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measured the fair value of the 2024, 2025 and 2029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2024</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March 31, 2023</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5" w:lineRule="exact"/>
              <w:rPr>
                <w:sz w:val="20"/>
                <w:szCs w:val="20"/>
                <w:color w:val="auto"/>
              </w:rPr>
            </w:pPr>
            <w:r>
              <w:rPr>
                <w:rFonts w:ascii="Arial" w:cs="Arial" w:eastAsia="Arial" w:hAnsi="Arial"/>
                <w:sz w:val="16"/>
                <w:szCs w:val="16"/>
                <w:b w:val="1"/>
                <w:bCs w:val="1"/>
                <w:color w:val="auto"/>
              </w:rPr>
              <w:t>Debt</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Debt</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223,284</w:t>
            </w: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103,373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102,563</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34,184</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09"/>
        </w:trPr>
        <w:tc>
          <w:tcPr>
            <w:tcW w:w="2240" w:type="dxa"/>
            <w:vAlign w:val="bottom"/>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367,762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360,920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367,762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359,287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367,762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360,112</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34,347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0" w:type="dxa"/>
            <w:vAlign w:val="bottom"/>
          </w:tcPr>
          <w:p>
            <w:pPr>
              <w:spacing w:after="0"/>
              <w:rPr>
                <w:sz w:val="1"/>
                <w:szCs w:val="1"/>
                <w:color w:val="auto"/>
              </w:rPr>
            </w:pPr>
          </w:p>
        </w:tc>
      </w:tr>
      <w:tr>
        <w:trPr>
          <w:trHeight w:val="217"/>
        </w:trPr>
        <w:tc>
          <w:tcPr>
            <w:tcW w:w="2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326,573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367,762</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359,287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333,373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325,847</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March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Schedule of Contractual Maturities</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210"/>
        </w:trPr>
        <w:tc>
          <w:tcPr>
            <w:tcW w:w="34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2029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2025 Convertible Notes</w:t>
            </w: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2024 Convertible Notes</w:t>
            </w:r>
          </w:p>
        </w:tc>
        <w:tc>
          <w:tcPr>
            <w:tcW w:w="440" w:type="dxa"/>
            <w:vAlign w:val="bottom"/>
          </w:tcPr>
          <w:p>
            <w:pPr>
              <w:spacing w:after="0"/>
              <w:rPr>
                <w:sz w:val="18"/>
                <w:szCs w:val="18"/>
                <w:color w:val="auto"/>
              </w:rPr>
            </w:pP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34"/>
        </w:trPr>
        <w:tc>
          <w:tcPr>
            <w:tcW w:w="3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2024</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34,389</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103,373</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6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2028</w:t>
            </w:r>
          </w:p>
        </w:tc>
        <w:tc>
          <w:tcPr>
            <w:tcW w:w="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230,000</w:t>
            </w:r>
          </w:p>
        </w:tc>
      </w:tr>
      <w:tr>
        <w:trPr>
          <w:trHeight w:val="217"/>
        </w:trPr>
        <w:tc>
          <w:tcPr>
            <w:tcW w:w="3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103,373</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34,389</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367,762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and six months ended March 31, 2024 and 2023:</w:t>
      </w:r>
    </w:p>
    <w:tbl>
      <w:tblPr>
        <w:tblLayout w:type="fixed"/>
        <w:tblInd w:w="0" w:type="dxa"/>
        <w:tblCellMar>
          <w:top w:w="0" w:type="dxa"/>
          <w:left w:w="0" w:type="dxa"/>
          <w:bottom w:w="0" w:type="dxa"/>
          <w:right w:w="0" w:type="dxa"/>
        </w:tblCellMar>
      </w:tblPr>
      <w:tr>
        <w:trPr>
          <w:trHeight w:val="164"/>
        </w:trPr>
        <w:tc>
          <w:tcPr>
            <w:tcW w:w="5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ind w:left="320"/>
              <w:spacing w:after="0" w:line="164" w:lineRule="exact"/>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4"/>
                <w:szCs w:val="14"/>
                <w:color w:val="auto"/>
              </w:rPr>
            </w:pPr>
          </w:p>
        </w:tc>
        <w:tc>
          <w:tcPr>
            <w:tcW w:w="2540" w:type="dxa"/>
            <w:vAlign w:val="bottom"/>
            <w:gridSpan w:val="4"/>
          </w:tcPr>
          <w:p>
            <w:pPr>
              <w:jc w:val="right"/>
              <w:ind w:right="639"/>
              <w:spacing w:after="0" w:line="164" w:lineRule="exact"/>
              <w:rPr>
                <w:sz w:val="20"/>
                <w:szCs w:val="20"/>
                <w:color w:val="auto"/>
              </w:rPr>
            </w:pPr>
            <w:r>
              <w:rPr>
                <w:rFonts w:ascii="Arial" w:cs="Arial" w:eastAsia="Arial" w:hAnsi="Arial"/>
                <w:sz w:val="16"/>
                <w:szCs w:val="16"/>
                <w:b w:val="1"/>
                <w:bCs w:val="1"/>
                <w:color w:val="auto"/>
              </w:rPr>
              <w:t>Six Months Ended</w:t>
            </w:r>
          </w:p>
        </w:tc>
      </w:tr>
      <w:tr>
        <w:trPr>
          <w:trHeight w:val="216"/>
        </w:trPr>
        <w:tc>
          <w:tcPr>
            <w:tcW w:w="5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r>
      <w:tr>
        <w:trPr>
          <w:trHeight w:val="249"/>
        </w:trPr>
        <w:tc>
          <w:tcPr>
            <w:tcW w:w="5460" w:type="dxa"/>
            <w:vAlign w:val="bottom"/>
          </w:tcPr>
          <w:p>
            <w:pPr>
              <w:ind w:left="20"/>
              <w:spacing w:after="0"/>
              <w:rPr>
                <w:sz w:val="20"/>
                <w:szCs w:val="20"/>
                <w:color w:val="auto"/>
              </w:rPr>
            </w:pPr>
            <w:r>
              <w:rPr>
                <w:rFonts w:ascii="Arial" w:cs="Arial" w:eastAsia="Arial" w:hAnsi="Arial"/>
                <w:sz w:val="16"/>
                <w:szCs w:val="16"/>
                <w:color w:val="auto"/>
              </w:rPr>
              <w:t>2029 Convertible Notes: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215"/>
        </w:trPr>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r>
      <w:tr>
        <w:trPr>
          <w:trHeight w:val="217"/>
        </w:trPr>
        <w:tc>
          <w:tcPr>
            <w:tcW w:w="5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4,785</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w:t>
            </w:r>
          </w:p>
        </w:tc>
      </w:tr>
      <w:tr>
        <w:trPr>
          <w:trHeight w:val="418"/>
        </w:trPr>
        <w:tc>
          <w:tcPr>
            <w:tcW w:w="546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w:t>
            </w:r>
          </w:p>
        </w:tc>
      </w:tr>
      <w:tr>
        <w:trPr>
          <w:trHeight w:val="215"/>
        </w:trPr>
        <w:tc>
          <w:tcPr>
            <w:tcW w:w="54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216"/>
        </w:trPr>
        <w:tc>
          <w:tcPr>
            <w:tcW w:w="5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Gain on extinguishment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(5,389)</w:t>
            </w:r>
          </w:p>
        </w:tc>
      </w:tr>
      <w:tr>
        <w:trPr>
          <w:trHeight w:val="217"/>
        </w:trPr>
        <w:tc>
          <w:tcPr>
            <w:tcW w:w="5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w:t>
            </w:r>
          </w:p>
        </w:tc>
      </w:tr>
      <w:tr>
        <w:trPr>
          <w:trHeight w:val="203"/>
        </w:trPr>
        <w:tc>
          <w:tcPr>
            <w:tcW w:w="5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2024 Convertible Notes: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5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r>
      <w:tr>
        <w:trPr>
          <w:trHeight w:val="215"/>
        </w:trPr>
        <w:tc>
          <w:tcPr>
            <w:tcW w:w="54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6"/>
        </w:trPr>
        <w:tc>
          <w:tcPr>
            <w:tcW w:w="5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Loss on extinguishment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8,935</w:t>
            </w:r>
          </w:p>
        </w:tc>
      </w:tr>
      <w:tr>
        <w:trPr>
          <w:trHeight w:val="217"/>
        </w:trPr>
        <w:tc>
          <w:tcPr>
            <w:tcW w:w="54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10,237</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3.750% Convertible Senior Notes Due 2029</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2022, we issued $230.0 million aggregate principal amount of 3.750% Convertible Senior Notes Due 2029 (the “2029 Convertible Notes”), for which $230.0 million remains outstanding as of March 31, 2024. The 2029 Convertible Notes were issued pursuant to an indenture dated December 12, 2022 (the “2022 Indenture”) by and between the Company and Truist Bank, as trustee. The 2029 Convertible Notes were issued in a private offering under Rule 144A under the Securities Act of 1933. The 2029 Convertible Notes pay interest semi-annually in arrears at a rate of 3.750% per annum on June 15 and December 15 of each year, commencing June 15, 2023, and mature on December 15, 2029 (the “2029 Maturity Date”), unless converted, redeemed or repurchased in accordance with the terms prior to such date. At maturity, the holders of the 2029 Convertible Notes will be entitled to receive cash equal to the principal of the 2029 Convertible Notes plus accrued interest.</w:t>
      </w:r>
    </w:p>
    <w:p>
      <w:pPr>
        <w:spacing w:after="0" w:line="1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effective interest rate for the three and six months ended March 31, 2024 was approximately 4.28%. As of March 31, 2024, the remaining unamortized debt issuance costs will be amortized using the effective interest method through the 2029 Maturity Date assuming no early conversion.</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2029 Convertible Notes are convertible based on an initial conversion rate of 89.0313 shares of Class A Common Stock per $1,000 principal amount (equivalent to an initial conversion price of $11.23 per share). The conversion rate will not be adjusted for any accrued and unpaid interest. The 2029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June 15, 2029, the 2029 Convertible Notes will be convertible only under the following circumstances: (1) during any fiscal quarter commencing after the fiscal quarter ending on March 31, 2023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2022 Indenture, per $1,000 principal amount of notes for each trading day of the measurement period was less than 98% of the product of the last reported sale price of our Class A Common Stock and the conversion rate on such trading day; (3) if we call any or all of the 2029 Convertible Notes for redemption, at any time prior to the close of business on the business day immediately preceding the redemption date; or (4) upon the occurrence of specified corporate events, as defined in the 2022 Indenture. On or after June 15, 2029 until the close of business on the business day immediately preceding the 2029 Maturity Date, holders of 2029 Convertible Notes may, at their option, convert their 2029 Convertible Notes at any time, regardless of the foregoing circumstances.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not redeem the 2029 Convertible Notes prior to December 21, 2026. At our option, we may redeem for cash all or any portion of the 2029 Convertible Notes on or after December 21, 2026,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2029 Convertible Notes to be redeemed, plus accrued and unpaid interest to, but excluding, the redemption date.</w:t>
      </w:r>
    </w:p>
    <w:p>
      <w:pPr>
        <w:spacing w:after="0" w:line="12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March 31, 2024. As of March 31, 2024, the if-converted value of the 2029 Convertible Notes did not exceed the principal amount.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Repurchases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recognized a $3.5 million loss on extinguishment of debt recorded to “Interest expense” in the Company’s condensed consolidated statement of operations for the three months ended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for which $103.4 million remains outstanding as of March 31, 2024.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w:t>
      </w:r>
    </w:p>
    <w:p>
      <w:pPr>
        <w:spacing w:after="0" w:line="1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effective interest rate for the three and six months ended March 31, 2024 was approximately 2.88% for the 2025 Convertible Notes. As of March 31, 2024, the remaining unamortized debt issuance costs will be amortized using the effective interest method through the 2025 Maturity Date assuming no early conversion.</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2025 Convertible Notes are convertible based on an initial conversion rate of 62.8931 shares of Class A Common Stock per $1,000 principal amount (equivalent to an initial conversion price of $15.90 per share). The conversion rate will not be adjusted for any accrued and unpaid interest. The 2025 Convertible Notes contain certain make-whole fundamental change premiums and customary anti-dilution adjustments. Upon conversion, we may settle in cash, shares of Class A Common Stock or any combination thereof, at our election.</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Prior to November 1, 2024, the 2025 Convertible Notes are convertible only under the following circumstances: (1) during any fiscal quarter commencing after the fiscal quarter ended on June 30, 2018 (and only during such fiscal 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2018 Indenture, per $1,000 principal amount of notes for each trading day of the measurement period was less than 98% of the product of the last reported sale price of our Class A Common Stock and the conversion rate on such trading day; (3) if we call any or all of the 2025 Convertible Notes for redemption, at any time prior to the close of business on the business day immediately preceding the redemption date; or (4) upon the occurrence of specified corporate events, as defined in the 2018 Indenture. On or after November 1, 2024 until the close of business on the business day immediately preceding the 2025 Maturity Date, holders of 2025 Convertible Notes may, at their option, convert their 2025 Convertible Notes at any time, regardless of the foregoing circumstances.</w:t>
      </w:r>
    </w:p>
    <w:p>
      <w:pPr>
        <w:spacing w:after="0" w:line="12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our option, we may redeem for cash all or any portion of the 2025 Convertible Notes if the last reported sale price of the Class A Common Stock has been at least 130% of the conversion price then in effect for at least 20 trading days (whether or not consecutive), including the trading day immediately preceding the date on which we provide notice of redemption, during any 30 consecutive trading day period ending on, and including, the trading day immediately preceding the date on which we provide notice of redemption. The redemption price will be equal to 100% of the principal amount of the 2025 Convertible Notes to be redeemed, plus accrued and unpaid interest to, but excluding, the redemption date.</w:t>
      </w:r>
    </w:p>
    <w:p>
      <w:pPr>
        <w:spacing w:after="0" w:line="12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stock trading price condition and other triggers are measured on a quarter-by-quarter basis and were not met as of March 31, 2024. As of March 31, 2024, the if-converted value of the 2025 Convertible Notes did not exceed the principal amount.</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of which $ 34.4 million remains outstanding as of March 31, 2024.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effective interest rate for the three and six months ended March 31, 2024 was approximately 3.35%. As of March 31, 2024, the remaining unamortized debt issuance costs will be amortized using the effective interest method through the 2024 Maturity Date assuming no early conversion.</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2024 Convertible Notes are convertible based on an initial conversion rate of 100 shares of Class A Common Stock per $1,000 principal amount (equivalent to an initial conversion price of $ 10.00 per share). The conversion rate will not be adjusted for any accrued and unpaid interest. The 2024 Convertible Notes contain certain make-whole fundamental change premiums and customary anti-dilution adjustments.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Until the close of business on the business day immediately preceding the 2024 Maturity Date, holders of 2024 Convertible Notes may, at their option, convert their 2024 Convertible Notes at any time.</w:t>
      </w:r>
    </w:p>
    <w:p>
      <w:pPr>
        <w:spacing w:after="0" w:line="9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Because we did not elect an alternative settlement method prior to January 1, 2024, conversions will be settled by combination settlement, which is $1,000 cash (per the $1,000 principal value) plus stock equal to the accreted value as defined in the 2017 Indenture.</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March 31, 2024, based on the terms of the 2017 Indenture, the if-converted value of the 2024 Convertible Notes exceeded the principal amount by $2.2 million, or approximately 205,000 Class A common shares. As of March 31, 2024, no holders of the 2024 Convertible Notes have delivered a conversion notice.</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COMMON STOCK AND STOCK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On May 3, 2022, the Company’s Board of Directors (the “Board”) authorized the repurchase of up to $ 50 million of our Class A Common Stock over three years (the “Common Stock Repurchase Program”). Execution of the program will be responsive to fluctuating market conditions and valuations, liquidity needs and the expected return on investment compared to other opportunities.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As of March 31, 2024, we had repurchased and retired 2,287,402 shares of our Class A Common Stock for $20.0 million under the Common Stock Repurchase Program, of which 305,475 and 660,357 shares were repurchased and retired for $3.0 million and $6.0 million during the three and six months ended March 31, 2024, respectively. During the three and six months ended March 31, 2023, 448,331 and 691,393 shares were repurchased and retired for $3.9 million and $6.0 million, respectively, under the Common Stock Repurchase Program. The repurchase amount is allocated between “Additional paid-in capital” and “Retained earnings” in our condensed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Common Stock Repurchases</w:t>
      </w:r>
    </w:p>
    <w:p>
      <w:pPr>
        <w:spacing w:after="0" w:line="17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December 2022, the Company used approximately $5.0 million of the net proceeds from the 2029 Convertible Notes offering to repurchase for cash 578,703 shares of its Class A common stock from purchasers of the notes in privately negotiated transactions. Such transactions were authorized separately from, and not considered a part of, the publicly announced share repurchase program discussed above. The repurchase amount is allocated between “Additional paid-in capital” and “Retained earnings” in our condensed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compensation activity:</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2200" w:type="dxa"/>
            <w:vAlign w:val="bottom"/>
            <w:gridSpan w:val="2"/>
            <w:vMerge w:val="restart"/>
          </w:tcPr>
          <w:p>
            <w:pPr>
              <w:ind w:left="7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6"/>
                <w:szCs w:val="16"/>
                <w:color w:val="auto"/>
              </w:rPr>
            </w:pPr>
          </w:p>
        </w:tc>
        <w:tc>
          <w:tcPr>
            <w:tcW w:w="1940" w:type="dxa"/>
            <w:vAlign w:val="bottom"/>
          </w:tcPr>
          <w:p>
            <w:pPr>
              <w:jc w:val="right"/>
              <w:ind w:right="27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jc w:val="right"/>
              <w:ind w:right="153"/>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2023</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9"/>
        </w:trPr>
        <w:tc>
          <w:tcPr>
            <w:tcW w:w="69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2080" w:type="dxa"/>
            <w:vAlign w:val="bottom"/>
          </w:tcPr>
          <w:p>
            <w:pPr>
              <w:jc w:val="right"/>
              <w:spacing w:after="0"/>
              <w:rPr>
                <w:sz w:val="20"/>
                <w:szCs w:val="20"/>
                <w:color w:val="auto"/>
              </w:rPr>
            </w:pPr>
            <w:r>
              <w:rPr>
                <w:rFonts w:ascii="Arial" w:cs="Arial" w:eastAsia="Arial" w:hAnsi="Arial"/>
                <w:sz w:val="18"/>
                <w:szCs w:val="18"/>
                <w:color w:val="auto"/>
              </w:rPr>
              <w:t>1,430,997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Released </w:t>
            </w:r>
            <w:r>
              <w:rPr>
                <w:rFonts w:ascii="Arial" w:cs="Arial" w:eastAsia="Arial" w:hAnsi="Arial"/>
                <w:sz w:val="23"/>
                <w:szCs w:val="23"/>
                <w:color w:val="auto"/>
                <w:vertAlign w:val="superscript"/>
              </w:rPr>
              <w:t>(b)</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Cancelled</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March 31, 2024</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2,729,002</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performance adjustment of 353,993 shares awarded above their target grants resulting from the achievement of performance targets established at the grant date.</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377,231 shares were withheld to satisfy related income tax withholding.</w:t>
      </w:r>
    </w:p>
    <w:p>
      <w:pPr>
        <w:spacing w:after="0" w:line="16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CONTINGENCIES</w:t>
      </w:r>
    </w:p>
    <w:p>
      <w:pPr>
        <w:spacing w:after="0" w:line="1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SEGMENT INFORMATION</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evaluates performance for purposes of allocating resources and assessing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right="260" w:hanging="328"/>
        <w:spacing w:after="0" w:line="287" w:lineRule="auto"/>
        <w:tabs>
          <w:tab w:leader="none" w:pos="6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Investments — primarily our equity interest in the net income of Cash Converters along with our investment in RDC and our investment in and notes receivable from Founders.</w:t>
      </w:r>
    </w:p>
    <w:p>
      <w:pPr>
        <w:spacing w:after="0" w:line="9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following income (loss) before income taxes tables present revenue for each reportable segment, disaggregated revenue within our reportable segments and Corporate, segment profits and segment contribution.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March 31, 2024</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164,687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164,687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13,714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107,163</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285,639</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33,461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106,259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106,259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10,794</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123,982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43,579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167,592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80,840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114,582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114,582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8,219</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(2,882)</w:t>
            </w:r>
          </w:p>
        </w:tc>
        <w:tc>
          <w:tcPr>
            <w:tcW w:w="0" w:type="dxa"/>
            <w:vAlign w:val="bottom"/>
          </w:tcPr>
          <w:p>
            <w:pPr>
              <w:spacing w:after="0"/>
              <w:rPr>
                <w:sz w:val="1"/>
                <w:szCs w:val="1"/>
                <w:color w:val="auto"/>
              </w:rPr>
            </w:pPr>
          </w:p>
        </w:tc>
      </w:tr>
      <w:tr>
        <w:trPr>
          <w:trHeight w:val="163"/>
        </w:trPr>
        <w:tc>
          <w:tcPr>
            <w:tcW w:w="350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51,143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51,143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(22,492)</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28,651</w:t>
            </w:r>
          </w:p>
        </w:tc>
        <w:tc>
          <w:tcPr>
            <w:tcW w:w="0" w:type="dxa"/>
            <w:vAlign w:val="bottom"/>
          </w:tcPr>
          <w:p>
            <w:pPr>
              <w:spacing w:after="0"/>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right"/>
              <w:ind w:right="39"/>
              <w:spacing w:after="0"/>
              <w:rPr>
                <w:sz w:val="20"/>
                <w:szCs w:val="20"/>
                <w:color w:val="auto"/>
              </w:rPr>
            </w:pPr>
            <w:r>
              <w:rPr>
                <w:rFonts w:ascii="Arial" w:cs="Arial" w:eastAsia="Arial" w:hAnsi="Arial"/>
                <w:sz w:val="16"/>
                <w:szCs w:val="16"/>
                <w:b w:val="1"/>
                <w:bCs w:val="1"/>
                <w:color w:val="auto"/>
              </w:rPr>
              <w:t>Three Months Ended March 31, 2023</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18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b w:val="1"/>
                <w:bCs w:val="1"/>
                <w:color w:val="auto"/>
              </w:rPr>
              <w:t>Pawn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43,767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152,507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12,825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93,030</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258,423</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67,643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97,339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11,902</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36,834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149,182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71,946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101,269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101,269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15,609</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(gain) on sale or disposal of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32,501</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7,996</w:t>
            </w: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Six Months Ended March 31, 2024</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240,362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103,728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344,090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344,090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27,796</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159,083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54,529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213,612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213,612</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585,630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585,630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221,469</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23,996</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340,165</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225,137</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34,809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34,809</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16,784</w:t>
            </w:r>
          </w:p>
        </w:tc>
        <w:tc>
          <w:tcPr>
            <w:tcW w:w="0" w:type="dxa"/>
            <w:vAlign w:val="bottom"/>
          </w:tcPr>
          <w:p>
            <w:pPr>
              <w:spacing w:after="0"/>
              <w:rPr>
                <w:sz w:val="1"/>
                <w:szCs w:val="1"/>
                <w:color w:val="auto"/>
              </w:rPr>
            </w:pPr>
          </w:p>
        </w:tc>
      </w:tr>
      <w:tr>
        <w:trPr>
          <w:trHeight w:val="162"/>
        </w:trPr>
        <w:tc>
          <w:tcPr>
            <w:tcW w:w="3500" w:type="dxa"/>
            <w:vAlign w:val="bottom"/>
          </w:tcPr>
          <w:p>
            <w:pPr>
              <w:ind w:left="220"/>
              <w:spacing w:after="0" w:line="162"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6,842</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(2,872)</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88,196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110,561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110,561</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Six Months Ended March 31, 2023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227,054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89,240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316,294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316,294</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20,709</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185,623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185,623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383,356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139,362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522,750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202,216</w:t>
            </w:r>
          </w:p>
        </w:tc>
        <w:tc>
          <w:tcPr>
            <w:tcW w:w="0" w:type="dxa"/>
            <w:vAlign w:val="bottom"/>
          </w:tcPr>
          <w:p>
            <w:pPr>
              <w:spacing w:after="0"/>
              <w:rPr>
                <w:sz w:val="1"/>
                <w:szCs w:val="1"/>
                <w:color w:val="auto"/>
              </w:rPr>
            </w:pPr>
          </w:p>
        </w:tc>
      </w:tr>
      <w:tr>
        <w:trPr>
          <w:trHeight w:val="215"/>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18,855</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301,679</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202,072</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31,085</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15,951</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Loss (gain) on sale or disposal of assets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9,580</w:t>
            </w: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0" w:type="dxa"/>
            <w:vAlign w:val="bottom"/>
          </w:tcPr>
          <w:p>
            <w:pPr>
              <w:spacing w:after="0"/>
              <w:rPr>
                <w:sz w:val="1"/>
                <w:szCs w:val="1"/>
                <w:color w:val="auto"/>
              </w:rPr>
            </w:pPr>
          </w:p>
        </w:tc>
      </w:tr>
      <w:tr>
        <w:trPr>
          <w:trHeight w:val="215"/>
        </w:trPr>
        <w:tc>
          <w:tcPr>
            <w:tcW w:w="3500" w:type="dxa"/>
            <w:vAlign w:val="bottom"/>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30,917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30,917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77,043</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15,525</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(30,895)</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61,673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61,673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(44,475)</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separately identified segment 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6"/>
                <w:szCs w:val="1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Latin America</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Corporate</w:t>
            </w:r>
          </w:p>
        </w:tc>
        <w:tc>
          <w:tcPr>
            <w:tcW w:w="220" w:type="dxa"/>
            <w:vAlign w:val="bottom"/>
          </w:tcPr>
          <w:p>
            <w:pPr>
              <w:spacing w:after="0"/>
              <w:rPr>
                <w:sz w:val="16"/>
                <w:szCs w:val="16"/>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Pawn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(a)</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Items</w:t>
            </w: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173,744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62,029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235,773</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38,268</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121,863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41,566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163,429</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1,003,447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1,508,142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157,043</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49,053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206,096</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33,116</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112,147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150,297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901,745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1,420,532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Pawn loans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190,624</w:t>
            </w:r>
          </w:p>
        </w:tc>
        <w:tc>
          <w:tcPr>
            <w:tcW w:w="1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55,142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245,766</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15"/>
        </w:trPr>
        <w:tc>
          <w:tcPr>
            <w:tcW w:w="5000" w:type="dxa"/>
            <w:vAlign w:val="bottom"/>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128,901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17"/>
        </w:trPr>
        <w:tc>
          <w:tcPr>
            <w:tcW w:w="5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1,467,711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80" w:right="140" w:hanging="172"/>
        <w:spacing w:after="0" w:line="285" w:lineRule="auto"/>
        <w:tabs>
          <w:tab w:leader="none" w:pos="234"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Segment assets as of September 30, 2023 have been recast to conform to current year presentation as CCV no longer meets the 10 percent threshold to be considered its own segment.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SUPPLEMENTAL CONSOLIDATED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2024</w:t>
            </w:r>
          </w:p>
        </w:tc>
        <w:tc>
          <w:tcPr>
            <w:tcW w:w="14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(10,544)</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(11,996)</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38,268</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33,116</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169,138</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163,429</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150,297</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166,477</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4,106</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notes receivable and other</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33,849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27,817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30,548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prepaid and receivable</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4,447</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47,142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gross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345,461</w:t>
            </w: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depreciation</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(217,933)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(265,683)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(277,365)</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63,306</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59,775</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68,096</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23,022</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payroll</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11,472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Incentive accrual</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18,544</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Other payroll related expenses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5,262</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sales and VAT taxes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Accrued income taxes payable</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16,492</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15,112</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62,838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72,695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81,605</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 of condensed consolidated statements of cash flows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49"/>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7"/>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220,595</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206,028</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beginning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8,373</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8,341</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beginning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228,968</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214,369</w:t>
            </w:r>
          </w:p>
        </w:tc>
      </w:tr>
      <w:tr>
        <w:trPr>
          <w:trHeight w:val="203"/>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229,111</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243,128</w:t>
            </w:r>
          </w:p>
        </w:tc>
      </w:tr>
      <w:tr>
        <w:trPr>
          <w:trHeight w:val="215"/>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 at end of period</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8,581</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8,451</w:t>
            </w:r>
          </w:p>
        </w:tc>
      </w:tr>
      <w:tr>
        <w:trPr>
          <w:trHeight w:val="217"/>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237,692</w:t>
            </w:r>
          </w:p>
        </w:tc>
        <w:tc>
          <w:tcPr>
            <w:tcW w:w="5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251,579</w:t>
            </w:r>
          </w:p>
        </w:tc>
      </w:tr>
      <w:tr>
        <w:trPr>
          <w:trHeight w:val="255"/>
        </w:trPr>
        <w:tc>
          <w:tcPr>
            <w:tcW w:w="824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183,532</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159,398</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Transfer of equity consideration for acquisition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8240" w:type="dxa"/>
            <w:vAlign w:val="bottom"/>
          </w:tcPr>
          <w:p>
            <w:pPr>
              <w:ind w:left="220"/>
              <w:spacing w:after="0"/>
              <w:rPr>
                <w:sz w:val="20"/>
                <w:szCs w:val="20"/>
                <w:color w:val="auto"/>
              </w:rPr>
            </w:pPr>
            <w:r>
              <w:rPr>
                <w:rFonts w:ascii="Arial" w:cs="Arial" w:eastAsia="Arial" w:hAnsi="Arial"/>
                <w:sz w:val="16"/>
                <w:szCs w:val="16"/>
                <w:color w:val="auto"/>
              </w:rPr>
              <w:t>Accrued acquisition consideration</w:t>
            </w:r>
          </w:p>
        </w:tc>
        <w:tc>
          <w:tcPr>
            <w:tcW w:w="3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1,145</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680"/>
        <w:spacing w:after="0" w:line="29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61"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1">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ended September 30, 2023,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206375</wp:posOffset>
            </wp:positionV>
            <wp:extent cx="4732020" cy="1139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732020" cy="1139825"/>
                    </a:xfrm>
                    <a:prstGeom prst="rect">
                      <a:avLst/>
                    </a:prstGeom>
                    <a:noFill/>
                  </pic:spPr>
                </pic:pic>
              </a:graphicData>
            </a:graphic>
          </wp:anchor>
        </w:drawing>
      </w:r>
    </w:p>
    <w:p>
      <w:pPr>
        <w:spacing w:after="0" w:line="305" w:lineRule="exact"/>
        <w:rPr>
          <w:sz w:val="20"/>
          <w:szCs w:val="20"/>
          <w:color w:val="auto"/>
        </w:rPr>
      </w:pPr>
    </w:p>
    <w:tbl>
      <w:tblPr>
        <w:tblLayout w:type="fixed"/>
        <w:tblInd w:w="1920" w:type="dxa"/>
        <w:tblCellMar>
          <w:top w:w="0" w:type="dxa"/>
          <w:left w:w="0" w:type="dxa"/>
          <w:bottom w:w="0" w:type="dxa"/>
          <w:right w:w="0" w:type="dxa"/>
        </w:tblCellMar>
      </w:tblPr>
      <w:tr>
        <w:trPr>
          <w:trHeight w:val="278"/>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Strengthen the Core</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Relentless focus on superior execution and operational</w:t>
            </w:r>
          </w:p>
        </w:tc>
        <w:tc>
          <w:tcPr>
            <w:tcW w:w="0" w:type="dxa"/>
            <w:vAlign w:val="bottom"/>
          </w:tcPr>
          <w:p>
            <w:pPr>
              <w:spacing w:after="0"/>
              <w:rPr>
                <w:sz w:val="1"/>
                <w:szCs w:val="1"/>
                <w:color w:val="auto"/>
              </w:rPr>
            </w:pPr>
          </w:p>
        </w:tc>
      </w:tr>
      <w:tr>
        <w:trPr>
          <w:trHeight w:val="152"/>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excellence in our core pawn business</w:t>
            </w:r>
          </w:p>
        </w:tc>
        <w:tc>
          <w:tcPr>
            <w:tcW w:w="0" w:type="dxa"/>
            <w:vAlign w:val="bottom"/>
          </w:tcPr>
          <w:p>
            <w:pPr>
              <w:spacing w:after="0"/>
              <w:rPr>
                <w:sz w:val="1"/>
                <w:szCs w:val="1"/>
                <w:color w:val="auto"/>
              </w:rPr>
            </w:pPr>
          </w:p>
        </w:tc>
      </w:tr>
      <w:tr>
        <w:trPr>
          <w:trHeight w:val="95"/>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3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Cost Efficiency and</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Shape a culture of cost efficiency through ongoing focus on</w:t>
            </w:r>
          </w:p>
        </w:tc>
        <w:tc>
          <w:tcPr>
            <w:tcW w:w="0" w:type="dxa"/>
            <w:vAlign w:val="bottom"/>
          </w:tcPr>
          <w:p>
            <w:pPr>
              <w:spacing w:after="0"/>
              <w:rPr>
                <w:sz w:val="1"/>
                <w:szCs w:val="1"/>
                <w:color w:val="auto"/>
              </w:rPr>
            </w:pPr>
          </w:p>
        </w:tc>
      </w:tr>
      <w:tr>
        <w:trPr>
          <w:trHeight w:val="247"/>
        </w:trPr>
        <w:tc>
          <w:tcPr>
            <w:tcW w:w="2080" w:type="dxa"/>
            <w:vAlign w:val="bottom"/>
            <w:shd w:val="clear" w:color="auto" w:fill="026DCE"/>
          </w:tcPr>
          <w:p>
            <w:pPr>
              <w:ind w:left="20"/>
              <w:spacing w:after="0"/>
              <w:rPr>
                <w:sz w:val="20"/>
                <w:szCs w:val="20"/>
                <w:color w:val="auto"/>
              </w:rPr>
            </w:pPr>
            <w:r>
              <w:rPr>
                <w:rFonts w:ascii="Arial" w:cs="Arial" w:eastAsia="Arial" w:hAnsi="Arial"/>
                <w:sz w:val="18"/>
                <w:szCs w:val="18"/>
                <w:b w:val="1"/>
                <w:bCs w:val="1"/>
                <w:color w:val="FFFFFF"/>
              </w:rPr>
              <w:t>Simplification</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simplification and optimization</w:t>
            </w:r>
          </w:p>
        </w:tc>
        <w:tc>
          <w:tcPr>
            <w:tcW w:w="0" w:type="dxa"/>
            <w:vAlign w:val="bottom"/>
          </w:tcPr>
          <w:p>
            <w:pPr>
              <w:spacing w:after="0"/>
              <w:rPr>
                <w:sz w:val="1"/>
                <w:szCs w:val="1"/>
                <w:color w:val="auto"/>
              </w:rPr>
            </w:pPr>
          </w:p>
        </w:tc>
      </w:tr>
      <w:tr>
        <w:trPr>
          <w:trHeight w:val="347"/>
        </w:trPr>
        <w:tc>
          <w:tcPr>
            <w:tcW w:w="2080" w:type="dxa"/>
            <w:vAlign w:val="bottom"/>
            <w:vMerge w:val="restart"/>
            <w:shd w:val="clear" w:color="auto" w:fill="026DCE"/>
          </w:tcPr>
          <w:p>
            <w:pPr>
              <w:ind w:left="20"/>
              <w:spacing w:after="0"/>
              <w:rPr>
                <w:sz w:val="20"/>
                <w:szCs w:val="20"/>
                <w:color w:val="auto"/>
              </w:rPr>
            </w:pPr>
            <w:r>
              <w:rPr>
                <w:rFonts w:ascii="Arial" w:cs="Arial" w:eastAsia="Arial" w:hAnsi="Arial"/>
                <w:sz w:val="18"/>
                <w:szCs w:val="18"/>
                <w:b w:val="1"/>
                <w:bCs w:val="1"/>
                <w:color w:val="FFFFFF"/>
              </w:rPr>
              <w:t>Innovate and Grow</w:t>
            </w:r>
          </w:p>
        </w:tc>
        <w:tc>
          <w:tcPr>
            <w:tcW w:w="5340" w:type="dxa"/>
            <w:vAlign w:val="bottom"/>
            <w:shd w:val="clear" w:color="auto" w:fill="80C9FF"/>
          </w:tcPr>
          <w:p>
            <w:pPr>
              <w:ind w:left="20"/>
              <w:spacing w:after="0"/>
              <w:rPr>
                <w:sz w:val="20"/>
                <w:szCs w:val="20"/>
                <w:color w:val="auto"/>
              </w:rPr>
            </w:pPr>
            <w:r>
              <w:rPr>
                <w:rFonts w:ascii="Arial" w:cs="Arial" w:eastAsia="Arial" w:hAnsi="Arial"/>
                <w:sz w:val="18"/>
                <w:szCs w:val="18"/>
                <w:b w:val="1"/>
                <w:bCs w:val="1"/>
                <w:color w:val="FFFFFF"/>
              </w:rPr>
              <w:t>Broaden customer engagement to service more customers</w:t>
            </w:r>
          </w:p>
        </w:tc>
        <w:tc>
          <w:tcPr>
            <w:tcW w:w="0" w:type="dxa"/>
            <w:vAlign w:val="bottom"/>
          </w:tcPr>
          <w:p>
            <w:pPr>
              <w:spacing w:after="0"/>
              <w:rPr>
                <w:sz w:val="1"/>
                <w:szCs w:val="1"/>
                <w:color w:val="auto"/>
              </w:rPr>
            </w:pPr>
          </w:p>
        </w:tc>
      </w:tr>
      <w:tr>
        <w:trPr>
          <w:trHeight w:val="152"/>
        </w:trPr>
        <w:tc>
          <w:tcPr>
            <w:tcW w:w="2080" w:type="dxa"/>
            <w:vAlign w:val="bottom"/>
            <w:vMerge w:val="continue"/>
            <w:shd w:val="clear" w:color="auto" w:fill="026DCE"/>
          </w:tcPr>
          <w:p>
            <w:pPr>
              <w:spacing w:after="0"/>
              <w:rPr>
                <w:sz w:val="13"/>
                <w:szCs w:val="13"/>
                <w:color w:val="auto"/>
              </w:rPr>
            </w:pPr>
          </w:p>
        </w:tc>
        <w:tc>
          <w:tcPr>
            <w:tcW w:w="5340" w:type="dxa"/>
            <w:vAlign w:val="bottom"/>
            <w:vMerge w:val="restart"/>
            <w:shd w:val="clear" w:color="auto" w:fill="80C9FF"/>
          </w:tcPr>
          <w:p>
            <w:pPr>
              <w:ind w:left="20"/>
              <w:spacing w:after="0"/>
              <w:rPr>
                <w:sz w:val="20"/>
                <w:szCs w:val="20"/>
                <w:color w:val="auto"/>
              </w:rPr>
            </w:pPr>
            <w:r>
              <w:rPr>
                <w:rFonts w:ascii="Arial" w:cs="Arial" w:eastAsia="Arial" w:hAnsi="Arial"/>
                <w:sz w:val="18"/>
                <w:szCs w:val="18"/>
                <w:b w:val="1"/>
                <w:bCs w:val="1"/>
                <w:color w:val="FFFFFF"/>
              </w:rPr>
              <w:t>more frequently in more locations</w:t>
            </w:r>
          </w:p>
        </w:tc>
        <w:tc>
          <w:tcPr>
            <w:tcW w:w="0" w:type="dxa"/>
            <w:vAlign w:val="bottom"/>
          </w:tcPr>
          <w:p>
            <w:pPr>
              <w:spacing w:after="0"/>
              <w:rPr>
                <w:sz w:val="1"/>
                <w:szCs w:val="1"/>
                <w:color w:val="auto"/>
              </w:rPr>
            </w:pPr>
          </w:p>
        </w:tc>
      </w:tr>
      <w:tr>
        <w:trPr>
          <w:trHeight w:val="94"/>
        </w:trPr>
        <w:tc>
          <w:tcPr>
            <w:tcW w:w="2080" w:type="dxa"/>
            <w:vAlign w:val="bottom"/>
            <w:shd w:val="clear" w:color="auto" w:fill="026DCE"/>
          </w:tcPr>
          <w:p>
            <w:pPr>
              <w:spacing w:after="0"/>
              <w:rPr>
                <w:sz w:val="8"/>
                <w:szCs w:val="8"/>
                <w:color w:val="auto"/>
              </w:rPr>
            </w:pPr>
          </w:p>
        </w:tc>
        <w:tc>
          <w:tcPr>
            <w:tcW w:w="534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80" w:type="dxa"/>
            <w:vAlign w:val="bottom"/>
            <w:shd w:val="clear" w:color="auto" w:fill="026DCE"/>
          </w:tcPr>
          <w:p>
            <w:pPr>
              <w:spacing w:after="0"/>
              <w:rPr>
                <w:sz w:val="6"/>
                <w:szCs w:val="6"/>
                <w:color w:val="auto"/>
              </w:rPr>
            </w:pPr>
          </w:p>
        </w:tc>
        <w:tc>
          <w:tcPr>
            <w:tcW w:w="5340" w:type="dxa"/>
            <w:vAlign w:val="bottom"/>
            <w:shd w:val="clear" w:color="auto" w:fill="80C9FF"/>
          </w:tcPr>
          <w:p>
            <w:pPr>
              <w:spacing w:after="0"/>
              <w:rPr>
                <w:sz w:val="6"/>
                <w:szCs w:val="6"/>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or musical instruments. If the customer chooses to redeem their pawn, they will repay the amount advanced plus any accrued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spacing w:after="0" w:line="1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ability to offer quality second-hand goods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As a significant portion of our inventory and sales involve gold and jewelry, our results can be influenced by the market price of gold and diamonds.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and investments in both Latin America, the United States and potential new markets. Our ability to open de novo stores, acquire new stores and make other related investments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United States, PSC is historically highest in our fourth fiscal quarter (July through September) due to a higher average loan balance during the summer lending season. PSC is historically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In Mexico, we saw similar downward pressure in loan balances during the third quarter of fiscal 2023 due to a change in law related to company profit sharing payments to employees. We believe this change will continue to impact pawn loan balances in May and June going forward. As a net effect of these and other factors and excluding discrete charges, our consolidated income before tax is generally highest in our first fiscal quarter (October through December) and lowest in our third fiscal quarter (April through June).</w:t>
      </w: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191"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PSC. The following chart presents sources of gross profit, including PSC, merchandise sales gross profit (“Merchandise sales GP”) and jewelry scrapping gross profit (“Jewelry Scrapping GP”) for the three and six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51435</wp:posOffset>
            </wp:positionV>
            <wp:extent cx="5743575" cy="2785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following chart presents sources of gross profit by geographic disbursement for the three and six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40640</wp:posOffset>
            </wp:positionV>
            <wp:extent cx="5743575" cy="2786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74357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and Same Store Financial Information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and “same store” basis. We use constant currency results to evaluate our Latin America Pawn operations, which are denominated primarily in Mexican pesos, Guatemalan quetzales and other Latin American currencies. We analyze results on a same 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 store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six months ended March 31, 2024 and 2023 were as follows: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460" w:type="dxa"/>
            <w:vAlign w:val="bottom"/>
            <w:gridSpan w:val="3"/>
            <w:vMerge w:val="restart"/>
          </w:tcPr>
          <w:p>
            <w:pPr>
              <w:ind w:left="700"/>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34"/>
        </w:trPr>
        <w:tc>
          <w:tcPr>
            <w:tcW w:w="4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17.0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7.6</w:t>
            </w: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Australian dollar</w:t>
            </w: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460" w:type="dxa"/>
            <w:vAlign w:val="bottom"/>
          </w:tcPr>
          <w:p>
            <w:pPr>
              <w:jc w:val="right"/>
              <w:ind w:right="419"/>
              <w:spacing w:after="0"/>
              <w:rPr>
                <w:sz w:val="20"/>
                <w:szCs w:val="20"/>
                <w:color w:val="auto"/>
              </w:rPr>
            </w:pPr>
            <w:r>
              <w:rPr>
                <w:rFonts w:ascii="Arial" w:cs="Arial" w:eastAsia="Arial" w:hAnsi="Arial"/>
                <w:sz w:val="16"/>
                <w:szCs w:val="16"/>
                <w:color w:val="auto"/>
              </w:rPr>
              <w:t>1.5</w:t>
            </w: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segments:</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Investments — Represents our equity interest in the net income of Cash Converters along with our investment in Rich Data Corporation (“RDC”) and our investment in and notes receivable from Founders.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Count by Segment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2024</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combined or closed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March 31, 2023</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2024</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combined or closed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March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bl>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Six Months Ended March 31, 2023</w:t>
            </w:r>
          </w:p>
        </w:tc>
        <w:tc>
          <w:tcPr>
            <w:tcW w:w="0" w:type="dxa"/>
            <w:vAlign w:val="bottom"/>
          </w:tcPr>
          <w:p>
            <w:pPr>
              <w:spacing w:after="0"/>
              <w:rPr>
                <w:sz w:val="1"/>
                <w:szCs w:val="1"/>
                <w:color w:val="auto"/>
              </w:rPr>
            </w:pPr>
          </w:p>
        </w:tc>
      </w:tr>
      <w:tr>
        <w:trPr>
          <w:trHeight w:val="155"/>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4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2022</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w:t>
            </w:r>
          </w:p>
        </w:tc>
        <w:tc>
          <w:tcPr>
            <w:tcW w:w="0" w:type="dxa"/>
            <w:vAlign w:val="bottom"/>
          </w:tcPr>
          <w:p>
            <w:pPr>
              <w:spacing w:after="0"/>
              <w:rPr>
                <w:sz w:val="1"/>
                <w:szCs w:val="1"/>
                <w:color w:val="auto"/>
              </w:rPr>
            </w:pPr>
          </w:p>
        </w:tc>
      </w:tr>
      <w:tr>
        <w:trPr>
          <w:trHeight w:val="215"/>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As of March 31,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2024 vs. Three Months Ended March 31, 2023</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80,010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69,945</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114,849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108,740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6%</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42,051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41,097</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12,686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9,814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29%</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50%</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200bps</w:t>
            </w:r>
          </w:p>
        </w:tc>
      </w:tr>
      <w:tr>
        <w:trPr>
          <w:trHeight w:val="21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(9)%</w:t>
            </w:r>
          </w:p>
        </w:tc>
      </w:tr>
      <w:tr>
        <w:trPr>
          <w:trHeight w:val="210"/>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123,982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112,338</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80,840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71,946</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12%</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137%</w:t>
            </w:r>
          </w:p>
        </w:tc>
      </w:tr>
      <w:tr>
        <w:trPr>
          <w:trHeight w:val="217"/>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40,656</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37,751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8%</w:t>
            </w:r>
          </w:p>
        </w:tc>
      </w:t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5"/>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7"/>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40,656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37,752</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8%</w:t>
            </w:r>
          </w:p>
        </w:tc>
      </w:tr>
      <w:tr>
        <w:trPr>
          <w:trHeight w:val="203"/>
        </w:trPr>
        <w:tc>
          <w:tcPr>
            <w:tcW w:w="6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295,607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269,190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11%</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merchandise as a % of PLO</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Jewelry as a % of PLO</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100bps</w:t>
            </w:r>
          </w:p>
        </w:tc>
      </w:tr>
    </w:tbl>
    <w:p>
      <w:pPr>
        <w:spacing w:after="0" w:line="127"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PLO ended the quarter at $173.7 million, up 11% (9% on a same store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and gross profit was up 10%, reflecting increased PSC and higher merchandise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14% as a result of higher average PLO.</w:t>
      </w:r>
    </w:p>
    <w:p>
      <w:pPr>
        <w:spacing w:after="0" w:line="17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Merchandise sales increased 6% and gross margin decreased to 37% from 38%. Aged general merchandise, which is inventory over one year old, increased to 3.0% of total general merchandise inventory, primarily driven by luxury handbags in our Max Pawn stores.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9%, as expected with the growth in PLO. Inventory turnover remained flat at 2.6x.</w:t>
      </w:r>
    </w:p>
    <w:p>
      <w:pPr>
        <w:spacing w:after="0" w:line="1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Store expenses increased 12%, primarily due to salaries and benefits as we continue to support our team members as a part of People, Pawn and Passion focus, higher store count and, to a lesser extent, expenses related to our loyalty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8% to $40.7 million, due to the changes noted above.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540"/>
        <w:spacing w:after="0" w:line="438" w:lineRule="auto"/>
        <w:rPr>
          <w:sz w:val="20"/>
          <w:szCs w:val="20"/>
          <w:color w:val="auto"/>
        </w:rPr>
      </w:pPr>
      <w:r>
        <w:rPr>
          <w:rFonts w:ascii="Arial" w:cs="Arial" w:eastAsia="Arial" w:hAnsi="Arial"/>
          <w:sz w:val="18"/>
          <w:szCs w:val="18"/>
          <w:color w:val="auto"/>
        </w:rPr>
        <w:t xml:space="preserve">During the quarter, net store count increased by five due to the acquisition of six stores and the consolidation of one store. </w:t>
      </w:r>
      <w:r>
        <w:rPr>
          <w:rFonts w:ascii="Arial" w:cs="Arial" w:eastAsia="Arial" w:hAnsi="Arial"/>
          <w:sz w:val="18"/>
          <w:szCs w:val="18"/>
          <w:b w:val="1"/>
          <w:bCs w:val="1"/>
          <w:color w:val="auto"/>
        </w:rPr>
        <w:t>Latin America Pawn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Constant Currency and Same Store Financial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ind w:left="720"/>
              <w:spacing w:after="0"/>
              <w:rPr>
                <w:sz w:val="20"/>
                <w:szCs w:val="20"/>
                <w:color w:val="auto"/>
              </w:rPr>
            </w:pPr>
            <w:r>
              <w:rPr>
                <w:rFonts w:ascii="Arial" w:cs="Arial" w:eastAsia="Arial" w:hAnsi="Arial"/>
                <w:sz w:val="16"/>
                <w:szCs w:val="16"/>
                <w:b w:val="1"/>
                <w:bCs w:val="1"/>
                <w:color w:val="auto"/>
              </w:rPr>
              <w:t>Three Months Ended 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2024 (GAAP)</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2023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2024 (Constant</w:t>
            </w:r>
          </w:p>
        </w:tc>
        <w:tc>
          <w:tcPr>
            <w:tcW w:w="12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85"/>
        </w:trPr>
        <w:tc>
          <w:tcPr>
            <w:tcW w:w="4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27,153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23,085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25,367</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49,838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43,767</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46,210</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16,377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14,071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15,168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1,028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3,011</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42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43,579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36,834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40,583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33,742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29,323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31,320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2,212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7,511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7,652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82%</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8,118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7,996</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7,745</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103,595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87,203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97,111</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2"/>
        </w:trPr>
        <w:tc>
          <w:tcPr>
            <w:tcW w:w="4240" w:type="dxa"/>
            <w:vAlign w:val="bottom"/>
          </w:tcPr>
          <w:p>
            <w:pPr>
              <w:ind w:left="220"/>
              <w:spacing w:after="0" w:line="162"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(b)</w:t>
            </w: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General merchandise as a % of PLO</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color w:val="auto"/>
              </w:rPr>
              <w:t>(600)bps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(700)bps</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as a % of PLO</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600bps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700bps</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2024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2024 Change</w:t>
            </w:r>
          </w:p>
        </w:tc>
      </w:tr>
      <w:tr>
        <w:trPr>
          <w:trHeight w:val="216"/>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3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w:t>
            </w: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PLO improved to $62.0 million, up 26% (19% on constant currency basis). On a same store basis, PLO increased 22% (15% on a constant currency basis) due to improved operational performance and continued strong pawn demand.</w:t>
      </w:r>
    </w:p>
    <w:p>
      <w:pPr>
        <w:spacing w:after="0" w:line="11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Total revenues was up 12% (4% on constant currency basis), and gross profit increased 18% (10% on a constant currency basis), reflecting increased PSC, higher merchandise sales and improved merchandise sales gross profit.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18% (10% on a constant currency basis)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to 33% from 32%. Aged general merchandise was 1.4% of total merchandise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inventory increased 9% (2% on a constant currency basis). Inventory turnover increased to 3.6x from 3.5x.</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Store expenses increased 15% (7% on a constant currency basis), primarily due to higher store count. Same-store expenses increased 10% (2% on a constant currency basis).</w:t>
      </w:r>
    </w:p>
    <w:p>
      <w:pPr>
        <w:spacing w:after="0" w:line="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Segment contribution increased 2% (decreased 3% on a constant currency basis) to $8.1 million, due to the changes noted above, in addition to the impact of the prior year reversal of contingent consideration liability in connection with a previously completed acquisition, which was recorded to “Other income.”</w:t>
      </w:r>
    </w:p>
    <w:p>
      <w:pPr>
        <w:spacing w:after="0" w:line="103" w:lineRule="exact"/>
        <w:rPr>
          <w:sz w:val="20"/>
          <w:szCs w:val="20"/>
          <w:color w:val="auto"/>
        </w:rPr>
      </w:pPr>
    </w:p>
    <w:p>
      <w:pPr>
        <w:ind w:right="840"/>
        <w:spacing w:after="0" w:line="438" w:lineRule="auto"/>
        <w:rPr>
          <w:sz w:val="20"/>
          <w:szCs w:val="20"/>
          <w:color w:val="auto"/>
        </w:rPr>
      </w:pPr>
      <w:r>
        <w:rPr>
          <w:rFonts w:ascii="Arial" w:cs="Arial" w:eastAsia="Arial" w:hAnsi="Arial"/>
          <w:sz w:val="18"/>
          <w:szCs w:val="18"/>
          <w:color w:val="auto"/>
        </w:rPr>
        <w:t xml:space="preserve">During the quarter, net store count increased by four due to the opening of nine de novo stores and the consolidation of five stores. </w:t>
      </w:r>
      <w:r>
        <w:rPr>
          <w:rFonts w:ascii="Arial" w:cs="Arial" w:eastAsia="Arial" w:hAnsi="Arial"/>
          <w:sz w:val="18"/>
          <w:szCs w:val="18"/>
          <w:b w:val="1"/>
          <w:bCs w:val="1"/>
          <w:color w:val="auto"/>
        </w:rPr>
        <w:t>Other Investments</w:t>
      </w:r>
    </w:p>
    <w:p>
      <w:pPr>
        <w:spacing w:after="0" w:line="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210%</w:t>
            </w: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210%</w:t>
            </w:r>
          </w:p>
        </w:tc>
      </w:tr>
      <w:tr>
        <w:trPr>
          <w:trHeight w:val="216"/>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loss of unconsolidated affiliates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32,501</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105%</w:t>
            </w:r>
          </w:p>
        </w:tc>
      </w:tr>
      <w:tr>
        <w:trPr>
          <w:trHeight w:val="209"/>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 (loss)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(32,491)</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107%</w:t>
            </w:r>
          </w:p>
        </w:tc>
      </w:tr>
      <w:tr>
        <w:trPr>
          <w:trHeight w:val="217"/>
        </w:trPr>
        <w:tc>
          <w:tcPr>
            <w:tcW w:w="6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loss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133%</w:t>
            </w:r>
          </w:p>
        </w:tc>
      </w:tr>
      <w:tr>
        <w:trPr>
          <w:trHeight w:val="217"/>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(32,497)</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107%</w:t>
            </w:r>
          </w:p>
        </w:tc>
      </w:tr>
    </w:tbl>
    <w:p>
      <w:pPr>
        <w:spacing w:after="0" w:line="112"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Segment contribution was $2.4 million, an increase of $34.9 million primarily due to our share of the net loss from Cash Converters related to their non-cash goodwill impairment charge taken during the prior year quarter.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1"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(loss) attributable to EZCORP, Inc., including items that affect our consolidated financial results but are not allocated among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286%</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17%</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sale or disposal of assets and other</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Other income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6D6D6D"/>
            </w:tcBorders>
            <w:shd w:val="clear" w:color="auto" w:fill="CCEEFF"/>
          </w:tcPr>
          <w:p>
            <w:pPr>
              <w:jc w:val="center"/>
              <w:spacing w:after="0"/>
              <w:rPr>
                <w:sz w:val="20"/>
                <w:szCs w:val="20"/>
                <w:color w:val="auto"/>
              </w:rPr>
            </w:pPr>
            <w:r>
              <w:rPr>
                <w:rFonts w:ascii="Arial" w:cs="Arial" w:eastAsia="Arial" w:hAnsi="Arial"/>
                <w:sz w:val="16"/>
                <w:szCs w:val="16"/>
                <w:color w:val="auto"/>
              </w:rPr>
              <w:t>250%</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(7,340)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w w:val="95"/>
              </w:rPr>
              <w:t>*</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7,172</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w:t>
            </w:r>
          </w:p>
        </w:tc>
      </w:tr>
      <w:tr>
        <w:trPr>
          <w:trHeight w:val="217"/>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r>
    </w:tbl>
    <w:p>
      <w:pPr>
        <w:spacing w:after="0" w:line="126" w:lineRule="exact"/>
        <w:rPr>
          <w:sz w:val="20"/>
          <w:szCs w:val="20"/>
          <w:color w:val="auto"/>
        </w:rPr>
      </w:pPr>
    </w:p>
    <w:p>
      <w:pPr>
        <w:ind w:left="360" w:hanging="334"/>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48"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Segment contribution increased $37.9 million over the prior year quarter. That increase was primarily attributable to the increase in our Other Investments segment due to our share of the net loss from Cash Converters during the prior year quarter and the improved operating results of the U.S. Pawn and Latin America Pawn segments above.</w:t>
      </w:r>
    </w:p>
    <w:p>
      <w:pPr>
        <w:spacing w:after="0" w:line="115"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General and administrative expense increased $2.7 million or 17%, primarily due to labor driven by incentive compensation related to an increase in share price and, to a lesser extent, costs related to the implementation of Workday.</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Income tax expense increased $7.7 million primarily due to an increase in income before income taxes of $36.0 million this quarter compared to the prior year quarter. That increase was primarily attributable to our share of the net loss from Cash Converters in the prior year quarter and the improved operating results this quarter within the U.S. Pawn segment and the Latin American Pawn segment.</w:t>
      </w:r>
    </w:p>
    <w:p>
      <w:pPr>
        <w:spacing w:after="0" w:line="128"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the foreign rate differential. See our Annual Report on Form 10-K for the year ended September 30, 2023, Note 11: Income Taxes of Notes to Consolidated Financial Statements included in “Part II, Item 8 — Financial Statements and Supplemental Data” for quantification of these items.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March 31, 2024 vs. Six Months Ended March 31, 2023</w:t>
      </w:r>
    </w:p>
    <w:p>
      <w:pPr>
        <w:spacing w:after="0" w:line="16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Six Months Ended March 31,</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159,083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139,255</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7"/>
        </w:trPr>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240,362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227,054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6%</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88,855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86,155</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(100)bps</w:t>
            </w:r>
          </w:p>
        </w:tc>
      </w:tr>
      <w:tr>
        <w:trPr>
          <w:trHeight w:val="217"/>
        </w:trPr>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25,501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16,990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50%</w:t>
            </w:r>
          </w:p>
        </w:tc>
      </w:tr>
      <w:tr>
        <w:trPr>
          <w:trHeight w:val="210"/>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54%</w:t>
            </w:r>
          </w:p>
        </w:tc>
      </w:tr>
      <w:tr>
        <w:trPr>
          <w:trHeight w:val="215"/>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r>
        <w:trPr>
          <w:trHeight w:val="217"/>
        </w:trPr>
        <w:tc>
          <w:tcPr>
            <w:tcW w:w="6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16%</w:t>
            </w:r>
          </w:p>
        </w:tc>
      </w:tr>
      <w:tr>
        <w:trPr>
          <w:trHeight w:val="210"/>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251,427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227,691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158,095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145,250</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9%</w:t>
            </w: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5,315</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5"/>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(Gain) loss on sale or disposal of assets and other</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7"/>
              </w:rPr>
              <w:t>105%</w:t>
            </w:r>
          </w:p>
        </w:tc>
      </w:tr>
      <w:tr>
        <w:trPr>
          <w:trHeight w:val="210"/>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88,196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77,042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w:t>
            </w: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(100)%</w:t>
            </w:r>
          </w:p>
        </w:tc>
      </w:tr>
      <w:tr>
        <w:trPr>
          <w:trHeight w:val="217"/>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88,196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77,043</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9"/>
              </w:rPr>
              <w:t>14%</w:t>
            </w:r>
          </w:p>
        </w:tc>
      </w:tr>
      <w:tr>
        <w:trPr>
          <w:trHeight w:val="203"/>
        </w:trPr>
        <w:tc>
          <w:tcPr>
            <w:tcW w:w="6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13%</w:t>
            </w:r>
          </w:p>
        </w:tc>
      </w:tr>
      <w:tr>
        <w:trPr>
          <w:trHeight w:val="215"/>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bl>
    <w:p>
      <w:pPr>
        <w:spacing w:after="0" w:line="195" w:lineRule="exact"/>
        <w:rPr>
          <w:sz w:val="20"/>
          <w:szCs w:val="20"/>
          <w:color w:val="auto"/>
        </w:rPr>
      </w:pPr>
    </w:p>
    <w:p>
      <w:pPr>
        <w:ind w:left="360" w:hanging="334"/>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7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six months ended March 31, 2024, net store count increased by six due to the acquisition of seven stores and the consolidation of one store.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Pawn service charges increased 14%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increased 6% and merchandise sale gross profit increased 3%, reflecting a 100bps decrease in gross margin.</w:t>
      </w:r>
    </w:p>
    <w:p>
      <w:pPr>
        <w:spacing w:after="0" w:line="17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Store expenses increased 9%, primarily due to primarily due to wage inflationary pressures, higher store count and, to a lesser extent, expenses related to our loyalty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Segment contribution increased $11.2 million, or 14%, primarily due to the changes described above.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Constant Currency and Same Store Financial Information” above.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Six Months Ended March 31,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2024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2023 (GAAP)</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2024 (Constant</w:t>
            </w:r>
          </w:p>
        </w:tc>
        <w:tc>
          <w:tcPr>
            <w:tcW w:w="12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85"/>
        </w:trPr>
        <w:tc>
          <w:tcPr>
            <w:tcW w:w="4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54,529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46,368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50,579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103,728</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89,240</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95,275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33,766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27,923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30,984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200bps</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3,719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2,142</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192%</w:t>
            </w:r>
          </w:p>
        </w:tc>
        <w:tc>
          <w:tcPr>
            <w:tcW w:w="0" w:type="dxa"/>
            <w:vAlign w:val="bottom"/>
          </w:tcPr>
          <w:p>
            <w:pPr>
              <w:spacing w:after="0"/>
              <w:rPr>
                <w:sz w:val="1"/>
                <w:szCs w:val="1"/>
                <w:color w:val="auto"/>
              </w:rPr>
            </w:pPr>
          </w:p>
        </w:tc>
      </w:tr>
      <w:tr>
        <w:trPr>
          <w:trHeight w:val="215"/>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88,703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73,956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81,933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67,042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56,822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61,683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4,547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4,340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(2,465)</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Gain on sale or disposal of assets and other</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17,192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15,079</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16,165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(1,170)</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162%</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18,267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15,525</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17,335</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12%</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20"/>
              <w:spacing w:after="0" w:line="162"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3"/>
              </w:rPr>
              <w:t>11%</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2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4240" w:type="dxa"/>
            <w:vAlign w:val="bottom"/>
          </w:tcPr>
          <w:p>
            <w:pPr>
              <w:ind w:left="220"/>
              <w:spacing w:after="0"/>
              <w:rPr>
                <w:sz w:val="20"/>
                <w:szCs w:val="20"/>
                <w:color w:val="auto"/>
              </w:rPr>
            </w:pPr>
            <w:r>
              <w:rPr>
                <w:rFonts w:ascii="Arial" w:cs="Arial" w:eastAsia="Arial" w:hAnsi="Arial"/>
                <w:sz w:val="16"/>
                <w:szCs w:val="16"/>
                <w:color w:val="auto"/>
              </w:rPr>
              <w:t>(a)</w:t>
            </w:r>
          </w:p>
        </w:tc>
        <w:tc>
          <w:tcPr>
            <w:tcW w:w="16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(100)bps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0" w:hanging="334"/>
        <w:spacing w:after="0"/>
        <w:tabs>
          <w:tab w:leader="none" w:pos="3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42" w:lineRule="exact"/>
        <w:rPr>
          <w:sz w:val="20"/>
          <w:szCs w:val="20"/>
          <w:color w:val="auto"/>
        </w:rPr>
      </w:pPr>
    </w:p>
    <w:p>
      <w:pPr>
        <w:ind w:left="360" w:hanging="334"/>
        <w:spacing w:after="0"/>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2024 Change</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2024 Change</w:t>
            </w:r>
          </w:p>
        </w:tc>
      </w:tr>
      <w:tr>
        <w:trPr>
          <w:trHeight w:val="216"/>
        </w:trPr>
        <w:tc>
          <w:tcPr>
            <w:tcW w:w="7100" w:type="dxa"/>
            <w:vAlign w:val="bottom"/>
          </w:tcPr>
          <w:p>
            <w:pPr>
              <w:spacing w:after="0"/>
              <w:rPr>
                <w:sz w:val="18"/>
                <w:szCs w:val="18"/>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(GAAP)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(Constant Currency)</w:t>
            </w:r>
          </w:p>
        </w:tc>
      </w:tr>
      <w:tr>
        <w:trPr>
          <w:trHeight w:val="19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Same Store data:</w:t>
            </w:r>
          </w:p>
        </w:tc>
        <w:tc>
          <w:tcPr>
            <w:tcW w:w="2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6"/>
                <w:szCs w:val="16"/>
                <w:color w:val="auto"/>
              </w:rPr>
              <w:t>PLO</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PSC</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r>
      <w:tr>
        <w:trPr>
          <w:trHeight w:val="230"/>
        </w:trPr>
        <w:tc>
          <w:tcPr>
            <w:tcW w:w="71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39"/>
        </w:trPr>
        <w:tc>
          <w:tcPr>
            <w:tcW w:w="71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16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4%</w:t>
            </w:r>
          </w:p>
        </w:tc>
      </w:tr>
    </w:tbl>
    <w:p>
      <w:pPr>
        <w:spacing w:after="0" w:line="21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During the six months ended March 31, 2024, net store count increased by nine due to the opening of fourteen de novo stores and the consolidation of five stores.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PSC increased 18% to $54.5 million (9% to $50.6 million on a constant currency basis) as a result of higher average PLO.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increased 16% (7% on a constant currency basis) and 12% on a same store basis (2% on a constant currency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Merchandise sales gross margin increased 200 bps to 33% from 31%.</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Store expenses increased by 18% (9% on a constant currency basis) primarily due to increases in minimum wage and headcount, higher store count and, to a lesser extent, rent. On a same-store basis, store expenses increased 13% (4% on a constant currency basis).</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Segment contribution increased $2.7 million, or 18% ($1.8 million, or 12%, on a constant currency basis), due to the changes noted above, in addition to the impact of the prior year reversal of contingent consideration liability in connection with a previously completed acquisition, which was recorded to “Other income.”</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Investments</w:t>
      </w:r>
    </w:p>
    <w:p>
      <w:pPr>
        <w:spacing w:after="0" w:line="16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selected financial data for our Other Investments segment after translation to U.S. dollars from its functional currency of primarily Australian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8"/>
                <w:szCs w:val="18"/>
                <w:color w:val="auto"/>
              </w:rPr>
            </w:pPr>
          </w:p>
        </w:tc>
        <w:tc>
          <w:tcPr>
            <w:tcW w:w="1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Equity in net (income) loss of unconsolidated affiliates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30,917</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9"/>
        </w:trPr>
        <w:tc>
          <w:tcPr>
            <w:tcW w:w="6700" w:type="dxa"/>
            <w:vAlign w:val="bottom"/>
          </w:tcPr>
          <w:p>
            <w:pPr>
              <w:ind w:left="460"/>
              <w:spacing w:after="0"/>
              <w:rPr>
                <w:sz w:val="20"/>
                <w:szCs w:val="20"/>
                <w:color w:val="auto"/>
              </w:rPr>
            </w:pPr>
            <w:r>
              <w:rPr>
                <w:rFonts w:ascii="Arial" w:cs="Arial" w:eastAsia="Arial" w:hAnsi="Arial"/>
                <w:sz w:val="16"/>
                <w:szCs w:val="16"/>
                <w:color w:val="auto"/>
              </w:rPr>
              <w:t>Segment operating contribution (loss)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(30,885)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7"/>
              </w:rPr>
              <w:t>113%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segment loss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217"/>
        </w:trPr>
        <w:tc>
          <w:tcPr>
            <w:tcW w:w="6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(30,895)</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113%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60" w:hanging="334"/>
        <w:spacing w:after="0"/>
        <w:tabs>
          <w:tab w:leader="none" w:pos="3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11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Segment income was $4.1 million, an increase of $35.0 million from the prior-year six months ended March 31, 2023, primarily due to our share of the prior year net loss from Cash Converters related to their non-cash goodwill impairment charge.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6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Six Months Ended March 31,</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61,673</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79%</w:t>
            </w:r>
          </w:p>
        </w:tc>
      </w:tr>
      <w:tr>
        <w:trPr>
          <w:trHeight w:val="215"/>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31,088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12%</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6,089</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14%</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7"/>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(29)%</w:t>
            </w:r>
          </w:p>
        </w:tc>
      </w:tr>
      <w:tr>
        <w:trPr>
          <w:trHeight w:val="215"/>
        </w:trPr>
        <w:tc>
          <w:tcPr>
            <w:tcW w:w="670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(2,094)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57%</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7"/>
              </w:rPr>
              <w:t>115%</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66,356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17,198</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286%</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16,407</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7,210</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128%</w:t>
            </w:r>
          </w:p>
        </w:tc>
      </w:tr>
      <w:tr>
        <w:trPr>
          <w:trHeight w:val="20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49,949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9,988</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5"/>
              </w:rPr>
              <w:t>*</w:t>
            </w:r>
          </w:p>
        </w:tc>
      </w:tr>
    </w:tbl>
    <w:p>
      <w:pPr>
        <w:spacing w:after="0" w:line="112" w:lineRule="exact"/>
        <w:rPr>
          <w:sz w:val="20"/>
          <w:szCs w:val="20"/>
          <w:color w:val="auto"/>
        </w:rPr>
      </w:pPr>
    </w:p>
    <w:p>
      <w:pPr>
        <w:ind w:left="360" w:hanging="334"/>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32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Segment contribution increased $48.9 million or 79% over the prior year six months ended March 31, 2023, primarily due to our share of the net loss from Cash Converters related to their non-cash goodwill impairment charge during the prior year and the improved operating results of the segments above.</w:t>
      </w:r>
    </w:p>
    <w:p>
      <w:pPr>
        <w:spacing w:after="0" w:line="11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General and administrative expenses increased $3.7 million or 12%, primarily due to labor driven by incentive compensation related to increase in share price and, to a lesser extent, costs related to the implementation of Workday.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Interest expense decreased $2.7 million, primarily due to the loss on extinguishment of debt in the prior year. In December 2022, the Company repurchased approximately $109.4 million aggregate principal amount of 2.875% Convertible Senior Notes Due 2024 for approximately $117.5 million plus accrued interest and approximately $69.1 million aggregate principal amount of 2.375% Convertible Senior Notes Due 2025 for approximately $62.9 million plus accrued interest and recorded a $3.5 million loss on extinguishment of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$1.2 million, due primarily to our treasury management with increased market interest rates.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Income tax expense increased $9.2 million, primarily due to an increase in income before income taxes of $49.2 million for the six months ended March 31, 2024 compared to the same prior year six month period due to our share of the net loss from Cash Converters in the prior year quarter and the non-deductible loss on the convertible debt refinancing during the first quarter of 2023.</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2023, Note 11: Income Taxes of Notes to Consolidated Financial Statements included in “Part II, Item 8 — Financial Statements and Supplemental Data” for quantification of these items.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6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cash and equivalents balance was $229.1 million at March 31, 2024 compared to $220.6 million at September 30, 2023. At March 31, 2024, our cash and equivalents were held in cash depository accounts with major banks or invested in high quality, short-term liquid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4"/>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36,548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46,827</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(22)%</w:t>
            </w:r>
          </w:p>
        </w:tc>
      </w:tr>
      <w:tr>
        <w:trPr>
          <w:trHeight w:val="215"/>
        </w:trPr>
        <w:tc>
          <w:tcPr>
            <w:tcW w:w="70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(18,242)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(40,649)</w:t>
            </w:r>
          </w:p>
        </w:tc>
        <w:tc>
          <w:tcPr>
            <w:tcW w:w="124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(55)%</w:t>
            </w:r>
          </w:p>
        </w:tc>
      </w:tr>
      <w:tr>
        <w:trPr>
          <w:trHeight w:val="217"/>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29,976</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(132)%</w:t>
            </w:r>
          </w:p>
        </w:tc>
      </w:tr>
      <w:tr>
        <w:trPr>
          <w:trHeight w:val="215"/>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5"/>
              </w:rPr>
              <w:t>*</w:t>
            </w:r>
          </w:p>
        </w:tc>
      </w:tr>
      <w:tr>
        <w:trPr>
          <w:trHeight w:val="217"/>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8,724</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37,210</w:t>
            </w:r>
          </w:p>
        </w:tc>
        <w:tc>
          <w:tcPr>
            <w:tcW w:w="12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(77)%</w:t>
            </w:r>
          </w:p>
        </w:tc>
      </w:tr>
    </w:tbl>
    <w:p>
      <w:pPr>
        <w:spacing w:after="0" w:line="29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decrease in cash flows provided by operating activities year-over-year was primarily due to changes in working capital primarily related to the timing of payments of accounts payable, income taxes and prepaid expenses, offset by an increase in net income (when considering adjustments for non-cash items affecting net income).</w:t>
      </w:r>
    </w:p>
    <w:p>
      <w:pPr>
        <w:spacing w:after="0" w:line="117"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$22.4 million decrease in cash flows used in investing activities year-over-year was primarily due to a $21.1 million decrease in cash flows used to fund acquisitions and strategic investments and a $16.8 million increase in cash inflows from the sale of forfeited collateral, offset by an increase of $22.1 million in net pawn lending outflows.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$39.5 million decrease in cash flows provided by financing activities was primarily related to the December 2022 financing of the 2029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in which we issued $230.0 million principal amount of 3.750% Convertible Senior Notes Due 2029 offset by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approximately $109.4 million aggregate principal amount of our 2024 Convertible Notes for approximately $117.5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accrued interest and approximately $69.1 million aggregate principal amount of our 2025 Convertible Notes for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$62.9 million plus accrued interest. In addition, we used approximately $5.0 million of the net proceeds from the 2029 Convertible 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to repurchase 578,703 shares of our Class A common stock from purchasers of the notes in privately negotiated transactions.</w:t>
      </w:r>
    </w:p>
    <w:p>
      <w:pPr>
        <w:spacing w:after="0" w:line="153"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The net effect of these changes was an $ 8.7 million increase in cash on hand during the current year to date period, resulting in a $237.7 million ending cash and restricted cash balance.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2022, we issued $230.0 million aggregate principal amount of 2029 Convertible Notes. In conjunction with the issuance of the 2029 Convertible Notes, we extinguished approximately $109.4 million aggregate principal amount of our 2024 Convertible Notes for approximately $117.5 million plus accrued interest and approximately $69.1 million aggregate principal amount of our 2025 Convertible Notes for approximately $62.9 million plus accrued interest. In addition, we used approximately $5.0 million of the net proceeds from the 2029 Convertible Notes offering to repurchase 578,703 shares of our Class A common stock from purchasers of the notes in privately negotiated transactions. See Note 7 of Notes to Condensed Consolidated Financial Statements included in “Part I, Item 1 — Financial Statements.” The shares repurchased in conjunction with the transactions discussed above were authorized separately from, and not considered part of, the publicly announced share repurchase program referred to below.</w:t>
      </w:r>
    </w:p>
    <w:p>
      <w:pPr>
        <w:spacing w:after="0" w:line="131"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On May 3, 2022, our Board authorized the repurchase of up to $50 million of our Class A Common Stock over three years. As of March 31, 2024, we have repurchased 2,287,402 shares of our Class A Common Stock under the program for $20.0 million. Execution of the program will be responsive to fluctuating market conditions and valuations, liquidity needs and the expected return on investment compared to other opportunities.</w:t>
      </w:r>
    </w:p>
    <w:p>
      <w:pPr>
        <w:spacing w:after="0" w:line="12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Under the stock repurchase program, we may purchase Class A Non-Voting common stock from time to time at management’s discretion in accordance with applicable securities laws, including through open market transactions, block or privately negotiated transactions, or any combination thereof. In addition, we may purchase shares pursuant to a trading plan meeting the requirements of Rule 10b5-1 under the Securities Exchange Act of 1934.</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 See Note 8 of Notes to Condensed Consolidated Financial Statements included in “Part I, Item 1 — Financial Statements.”</w:t>
      </w:r>
    </w:p>
    <w:p>
      <w:pPr>
        <w:spacing w:after="0" w:line="1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Depending</w:t>
      </w:r>
      <w:r>
        <w:rPr>
          <w:rFonts w:ascii="Arial" w:cs="Arial" w:eastAsia="Arial" w:hAnsi="Arial"/>
          <w:sz w:val="18"/>
          <w:szCs w:val="18"/>
          <w:color w:val="auto"/>
        </w:rPr>
        <w:t xml:space="preserve"> </w:t>
      </w:r>
      <w:r>
        <w:rPr>
          <w:rFonts w:ascii="Arial" w:cs="Arial" w:eastAsia="Arial" w:hAnsi="Arial"/>
          <w:sz w:val="18"/>
          <w:szCs w:val="18"/>
          <w:color w:val="212529"/>
        </w:rPr>
        <w:t>on the level of acquisition activity and other factors, our ability to repay our longer-term debt obligations, including the convertible debt maturing in 2025 and 2029, may require us to refinance these obligations through the issuance of new debt securities, equity securities, convertible securities or through new credit facilities.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of our Annual Report on Form 10-K for the year ended September 30, 2023, we reported that we had $ 736.6 million in total contractual obligations as of September 30, 2023. There have been no material changes to this total obligation since September 30, 2023.</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2023, these collectively amounted to $16.3 million.</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19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See Note 1 of the Notes to Condensed Consolidated Financial Statements included in “Part I, Item 1 — Financial Statements” of this Quarterly Report for recently issued accounting pronouncements including the expected dates of adoption and estimated effects, if any, on our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177" w:lineRule="exact"/>
        <w:rPr>
          <w:sz w:val="20"/>
          <w:szCs w:val="20"/>
          <w:color w:val="auto"/>
        </w:rPr>
      </w:pPr>
    </w:p>
    <w:p>
      <w:pPr>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 -looking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1">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1">
        <w:r>
          <w:rPr>
            <w:rFonts w:ascii="Arial" w:cs="Arial" w:eastAsia="Arial" w:hAnsi="Arial"/>
            <w:sz w:val="18"/>
            <w:szCs w:val="18"/>
            <w:color w:val="auto"/>
          </w:rPr>
          <w:t xml:space="preserve">Item 1A — Risk Factors” of our Annual Report on Form 10-K for the year ended September 30, 2023 and “Part II, Item 1A — Risk Factors” </w:t>
        </w:r>
      </w:hyperlink>
      <w:r>
        <w:rPr>
          <w:rFonts w:ascii="Arial" w:cs="Arial" w:eastAsia="Arial" w:hAnsi="Arial"/>
          <w:sz w:val="18"/>
          <w:szCs w:val="18"/>
          <w:color w:val="auto"/>
        </w:rPr>
        <w:t>of this Report.</w:t>
      </w:r>
    </w:p>
    <w:p>
      <w:pPr>
        <w:spacing w:after="0" w:line="1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2023. There have been no material changes in our reported market risks or risk management policies since the filing of our Annual Report on Form 10-K for the year ended September 30, 2023.</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March 31, 2024. Our principal executive officer and principal financial officer have concluded that as of March 31, 2024,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1" w:lineRule="exact"/>
        <w:rPr>
          <w:sz w:val="20"/>
          <w:szCs w:val="20"/>
          <w:color w:val="auto"/>
        </w:rPr>
      </w:pPr>
    </w:p>
    <w:p>
      <w:pPr>
        <w:ind w:right="3560" w:firstLine="3627"/>
        <w:spacing w:after="0" w:line="391"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rPr>
          <w:sz w:val="20"/>
          <w:szCs w:val="20"/>
          <w:color w:val="auto"/>
        </w:rPr>
      </w:pPr>
      <w:r>
        <w:rPr>
          <w:rFonts w:ascii="Arial" w:cs="Arial" w:eastAsia="Arial" w:hAnsi="Arial"/>
          <w:sz w:val="18"/>
          <w:szCs w:val="18"/>
          <w:color w:val="auto"/>
        </w:rPr>
        <w:t>See Note 9: Contingencies of Notes to Condensed Consolidated Financial Statements included in “Part I, Item 1 —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2023, as supplemented by the information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recently passed the Pawnbroker Regulation Act of 2023, which went into effect on March 22, 2024.</w:t>
      </w:r>
    </w:p>
    <w:p>
      <w:pPr>
        <w:spacing w:after="0" w:line="234" w:lineRule="auto"/>
        <w:rPr>
          <w:sz w:val="20"/>
          <w:szCs w:val="20"/>
          <w:color w:val="auto"/>
        </w:rPr>
      </w:pPr>
      <w:r>
        <w:rPr>
          <w:rFonts w:ascii="Arial" w:cs="Arial" w:eastAsia="Arial" w:hAnsi="Arial"/>
          <w:sz w:val="18"/>
          <w:szCs w:val="18"/>
          <w:color w:val="auto"/>
        </w:rPr>
        <w:t>The new law clarifies that pawn transactions are exempt from the Illinois Predatory Loan Prevention Act. It also reduces the monthly finance</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charge on certain pawn transactions, which is not expected to have a material adverse impact on our business in Illinois (20 stores) or the Company as a whole.</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2. Unregistered Sale of Equity Security and Use of Proceeds</w:t>
      </w:r>
    </w:p>
    <w:p>
      <w:pPr>
        <w:spacing w:after="0" w:line="19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provides certain information about our repurchase of shares of Class A Non-voting Common Stock during the quarter ended March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2"/>
          </w:tcPr>
          <w:p>
            <w:pPr>
              <w:jc w:val="right"/>
              <w:ind w:right="995"/>
              <w:spacing w:after="0"/>
              <w:rPr>
                <w:sz w:val="20"/>
                <w:szCs w:val="20"/>
                <w:color w:val="auto"/>
              </w:rPr>
            </w:pPr>
            <w:r>
              <w:rPr>
                <w:rFonts w:ascii="Arial" w:cs="Arial" w:eastAsia="Arial" w:hAnsi="Arial"/>
                <w:sz w:val="16"/>
                <w:szCs w:val="16"/>
                <w:b w:val="1"/>
                <w:bCs w:val="1"/>
                <w:color w:val="auto"/>
              </w:rPr>
              <w:t>Share Repurchases</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3"/>
                <w:szCs w:val="13"/>
                <w:color w:val="auto"/>
              </w:rPr>
            </w:pPr>
          </w:p>
        </w:tc>
        <w:tc>
          <w:tcPr>
            <w:tcW w:w="1640" w:type="dxa"/>
            <w:vAlign w:val="bottom"/>
          </w:tcPr>
          <w:p>
            <w:pPr>
              <w:jc w:val="right"/>
              <w:ind w:right="52"/>
              <w:spacing w:after="0" w:line="155" w:lineRule="exact"/>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66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4"/>
                <w:szCs w:val="14"/>
                <w:color w:val="auto"/>
              </w:rPr>
            </w:pPr>
          </w:p>
        </w:tc>
        <w:tc>
          <w:tcPr>
            <w:tcW w:w="164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Average Price Paid</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800" w:type="dxa"/>
            <w:vAlign w:val="bottom"/>
            <w:gridSpan w:val="2"/>
          </w:tcPr>
          <w:p>
            <w:pPr>
              <w:ind w:left="120"/>
              <w:spacing w:after="0" w:line="162" w:lineRule="exact"/>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w:t>
            </w:r>
          </w:p>
        </w:tc>
        <w:tc>
          <w:tcPr>
            <w:tcW w:w="1800" w:type="dxa"/>
            <w:vAlign w:val="bottom"/>
            <w:gridSpan w:val="2"/>
          </w:tcPr>
          <w:p>
            <w:pPr>
              <w:ind w:left="60"/>
              <w:spacing w:after="0" w:line="162"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Per Share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Announced Programs</w:t>
            </w:r>
          </w:p>
        </w:tc>
        <w:tc>
          <w:tcPr>
            <w:tcW w:w="1800" w:type="dxa"/>
            <w:vAlign w:val="bottom"/>
            <w:tcBorders>
              <w:bottom w:val="single" w:sz="8" w:color="auto"/>
            </w:tcBorders>
            <w:gridSpan w:val="2"/>
          </w:tcPr>
          <w:p>
            <w:pPr>
              <w:ind w:left="60"/>
              <w:spacing w:after="0" w:line="216" w:lineRule="exact"/>
              <w:rPr>
                <w:sz w:val="20"/>
                <w:szCs w:val="20"/>
                <w:color w:val="auto"/>
              </w:rPr>
            </w:pPr>
            <w:r>
              <w:rPr>
                <w:rFonts w:ascii="Arial" w:cs="Arial" w:eastAsia="Arial" w:hAnsi="Arial"/>
                <w:sz w:val="16"/>
                <w:szCs w:val="16"/>
                <w:b w:val="1"/>
                <w:bCs w:val="1"/>
                <w:color w:val="auto"/>
                <w:w w:val="98"/>
              </w:rPr>
              <w:t xml:space="preserve">Under the Programs </w:t>
            </w:r>
            <w:r>
              <w:rPr>
                <w:rFonts w:ascii="Arial" w:cs="Arial" w:eastAsia="Arial" w:hAnsi="Arial"/>
                <w:sz w:val="21"/>
                <w:szCs w:val="21"/>
                <w:b w:val="1"/>
                <w:bCs w:val="1"/>
                <w:color w:val="auto"/>
                <w:w w:val="98"/>
                <w:vertAlign w:val="superscript"/>
              </w:rPr>
              <w:t>(1)</w:t>
            </w:r>
          </w:p>
        </w:tc>
        <w:tc>
          <w:tcPr>
            <w:tcW w:w="0" w:type="dxa"/>
            <w:vAlign w:val="bottom"/>
          </w:tcPr>
          <w:p>
            <w:pPr>
              <w:spacing w:after="0"/>
              <w:rPr>
                <w:sz w:val="1"/>
                <w:szCs w:val="1"/>
                <w:color w:val="auto"/>
              </w:rPr>
            </w:pPr>
          </w:p>
        </w:tc>
      </w:tr>
      <w:tr>
        <w:trPr>
          <w:trHeight w:val="164"/>
        </w:trPr>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980" w:type="dxa"/>
            <w:vAlign w:val="bottom"/>
            <w:gridSpan w:val="4"/>
          </w:tcPr>
          <w:p>
            <w:pPr>
              <w:spacing w:after="0"/>
              <w:rPr>
                <w:sz w:val="20"/>
                <w:szCs w:val="20"/>
                <w:color w:val="auto"/>
              </w:rPr>
            </w:pPr>
            <w:r>
              <w:rPr>
                <w:rFonts w:ascii="Arial" w:cs="Arial" w:eastAsia="Arial" w:hAnsi="Arial"/>
                <w:sz w:val="13"/>
                <w:szCs w:val="13"/>
                <w:color w:val="auto"/>
                <w:w w:val="96"/>
              </w:rPr>
              <w:t>(in thousands, except number of shares and average price information)</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2024 through January 31, 2024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8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116,124</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February 1, 2024 through February 29, 2024</w:t>
            </w:r>
          </w:p>
        </w:tc>
        <w:tc>
          <w:tcPr>
            <w:tcW w:w="1660" w:type="dxa"/>
            <w:vAlign w:val="bottom"/>
          </w:tcPr>
          <w:p>
            <w:pPr>
              <w:jc w:val="right"/>
              <w:spacing w:after="0"/>
              <w:rPr>
                <w:sz w:val="20"/>
                <w:szCs w:val="20"/>
                <w:color w:val="auto"/>
              </w:rPr>
            </w:pPr>
            <w:r>
              <w:rPr>
                <w:rFonts w:ascii="Arial" w:cs="Arial" w:eastAsia="Arial" w:hAnsi="Arial"/>
                <w:sz w:val="18"/>
                <w:szCs w:val="18"/>
                <w:color w:val="auto"/>
              </w:rPr>
              <w:t>96,900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10.50</w:t>
            </w:r>
          </w:p>
        </w:tc>
        <w:tc>
          <w:tcPr>
            <w:tcW w:w="1880" w:type="dxa"/>
            <w:vAlign w:val="bottom"/>
          </w:tcPr>
          <w:p>
            <w:pPr>
              <w:jc w:val="right"/>
              <w:ind w:right="55"/>
              <w:spacing w:after="0"/>
              <w:rPr>
                <w:sz w:val="20"/>
                <w:szCs w:val="20"/>
                <w:color w:val="auto"/>
              </w:rPr>
            </w:pPr>
            <w:r>
              <w:rPr>
                <w:rFonts w:ascii="Arial" w:cs="Arial" w:eastAsia="Arial" w:hAnsi="Arial"/>
                <w:sz w:val="18"/>
                <w:szCs w:val="18"/>
                <w:color w:val="auto"/>
              </w:rPr>
              <w:t>96,900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30,986</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 2024 through March 31,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8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92,451</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30,008</w:t>
            </w:r>
          </w:p>
        </w:tc>
        <w:tc>
          <w:tcPr>
            <w:tcW w:w="0" w:type="dxa"/>
            <w:vAlign w:val="bottom"/>
          </w:tcPr>
          <w:p>
            <w:pPr>
              <w:spacing w:after="0"/>
              <w:rPr>
                <w:sz w:val="1"/>
                <w:szCs w:val="1"/>
                <w:color w:val="auto"/>
              </w:rPr>
            </w:pPr>
          </w:p>
        </w:tc>
      </w:tr>
      <w:tr>
        <w:trPr>
          <w:trHeight w:val="232"/>
        </w:trPr>
        <w:tc>
          <w:tcPr>
            <w:tcW w:w="3900" w:type="dxa"/>
            <w:vAlign w:val="bottom"/>
          </w:tcPr>
          <w:p>
            <w:pPr>
              <w:ind w:left="20"/>
              <w:spacing w:after="0"/>
              <w:rPr>
                <w:sz w:val="20"/>
                <w:szCs w:val="20"/>
                <w:color w:val="auto"/>
              </w:rPr>
            </w:pPr>
            <w:r>
              <w:rPr>
                <w:rFonts w:ascii="Arial" w:cs="Arial" w:eastAsia="Arial" w:hAnsi="Arial"/>
                <w:sz w:val="18"/>
                <w:szCs w:val="18"/>
                <w:color w:val="auto"/>
              </w:rPr>
              <w:t>Quarter ended March 31, 2024</w:t>
            </w:r>
          </w:p>
        </w:tc>
        <w:tc>
          <w:tcPr>
            <w:tcW w:w="1660" w:type="dxa"/>
            <w:vAlign w:val="bottom"/>
          </w:tcPr>
          <w:p>
            <w:pPr>
              <w:jc w:val="right"/>
              <w:spacing w:after="0"/>
              <w:rPr>
                <w:sz w:val="20"/>
                <w:szCs w:val="20"/>
                <w:color w:val="auto"/>
              </w:rPr>
            </w:pPr>
            <w:r>
              <w:rPr>
                <w:rFonts w:ascii="Arial" w:cs="Arial" w:eastAsia="Arial" w:hAnsi="Arial"/>
                <w:sz w:val="18"/>
                <w:szCs w:val="18"/>
                <w:color w:val="auto"/>
              </w:rPr>
              <w:t>305,475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9.81</w:t>
            </w:r>
          </w:p>
        </w:tc>
        <w:tc>
          <w:tcPr>
            <w:tcW w:w="1880" w:type="dxa"/>
            <w:vAlign w:val="bottom"/>
          </w:tcPr>
          <w:p>
            <w:pPr>
              <w:jc w:val="right"/>
              <w:spacing w:after="0"/>
              <w:rPr>
                <w:sz w:val="20"/>
                <w:szCs w:val="20"/>
                <w:color w:val="auto"/>
              </w:rPr>
            </w:pPr>
            <w:r>
              <w:rPr>
                <w:rFonts w:ascii="Arial" w:cs="Arial" w:eastAsia="Arial" w:hAnsi="Arial"/>
                <w:sz w:val="18"/>
                <w:szCs w:val="18"/>
                <w:color w:val="auto"/>
              </w:rPr>
              <w:t>305,475</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30,008</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40" w:hanging="230"/>
        <w:spacing w:after="0" w:line="231" w:lineRule="auto"/>
        <w:tabs>
          <w:tab w:leader="none" w:pos="4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May 3, 2022, the Board of Directors approved a share repurchase program, under which we are authorized to repurchase up to $50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5.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February 7, 2024, Matthew Appel, Director, entered into a prearranged trading plan to sell up to 26,490 shares of the Company’s Class A Non-Voting Common Stock between May 15, 2024 and May 12, 2025 pursuant to the terms of the plan. The plan is designed to satisfy the affirmative defense conditions of Rule 10b5-1(c) under the Exchange Act and comply with the Company’s policies regarding stock transactions.</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Other than as described above, no Director or Executive Officer adopted, modified or terminated any contract, instruction, written plan or other trading arrangement relating to the purchase or sale of Company securities during the fiscal quarter ended March 31, 2024.</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center"/>
              <w:ind w:right="639"/>
              <w:spacing w:after="0"/>
              <w:rPr>
                <w:sz w:val="20"/>
                <w:szCs w:val="20"/>
                <w:color w:val="auto"/>
              </w:rPr>
            </w:pPr>
            <w:r>
              <w:rPr>
                <w:rFonts w:ascii="Arial" w:cs="Arial" w:eastAsia="Arial" w:hAnsi="Arial"/>
                <w:sz w:val="16"/>
                <w:szCs w:val="16"/>
                <w:b w:val="1"/>
                <w:bCs w:val="1"/>
                <w:color w:val="auto"/>
              </w:rPr>
              <w:t>Incorporated by Reference</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09"/>
        </w:trPr>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Exhibit</w:t>
            </w:r>
          </w:p>
        </w:tc>
        <w:tc>
          <w:tcPr>
            <w:tcW w:w="5100" w:type="dxa"/>
            <w:vAlign w:val="bottom"/>
            <w:gridSpan w:val="8"/>
          </w:tcPr>
          <w:p>
            <w:pPr>
              <w:spacing w:after="0"/>
              <w:rPr>
                <w:sz w:val="20"/>
                <w:szCs w:val="20"/>
                <w:color w:val="auto"/>
              </w:rPr>
            </w:pPr>
            <w:r>
              <w:rPr>
                <w:rFonts w:ascii="Arial" w:cs="Arial" w:eastAsia="Arial" w:hAnsi="Arial"/>
                <w:sz w:val="16"/>
                <w:szCs w:val="16"/>
                <w:b w:val="1"/>
                <w:bCs w:val="1"/>
                <w:color w:val="auto"/>
              </w:rPr>
              <w:t>Description of Exhibit</w:t>
            </w:r>
          </w:p>
        </w:tc>
        <w:tc>
          <w:tcPr>
            <w:tcW w:w="720" w:type="dxa"/>
            <w:vAlign w:val="bottom"/>
          </w:tcPr>
          <w:p>
            <w:pPr>
              <w:ind w:left="120"/>
              <w:spacing w:after="0"/>
              <w:rPr>
                <w:sz w:val="20"/>
                <w:szCs w:val="20"/>
                <w:color w:val="auto"/>
              </w:rPr>
            </w:pPr>
            <w:r>
              <w:rPr>
                <w:rFonts w:ascii="Arial" w:cs="Arial" w:eastAsia="Arial" w:hAnsi="Arial"/>
                <w:sz w:val="16"/>
                <w:szCs w:val="16"/>
                <w:b w:val="1"/>
                <w:bCs w:val="1"/>
                <w:color w:val="auto"/>
              </w:rPr>
              <w:t>Form</w:t>
            </w: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File No.</w:t>
            </w: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rPr>
              <w:t>Exhibit</w:t>
            </w:r>
          </w:p>
        </w:tc>
        <w:tc>
          <w:tcPr>
            <w:tcW w:w="1560" w:type="dxa"/>
            <w:vAlign w:val="bottom"/>
          </w:tcPr>
          <w:p>
            <w:pPr>
              <w:ind w:left="280"/>
              <w:spacing w:after="0"/>
              <w:rPr>
                <w:sz w:val="20"/>
                <w:szCs w:val="20"/>
                <w:color w:val="auto"/>
              </w:rPr>
            </w:pPr>
            <w:r>
              <w:rPr>
                <w:rFonts w:ascii="Arial" w:cs="Arial" w:eastAsia="Arial" w:hAnsi="Arial"/>
                <w:sz w:val="16"/>
                <w:szCs w:val="16"/>
                <w:b w:val="1"/>
                <w:bCs w:val="1"/>
                <w:color w:val="auto"/>
              </w:rPr>
              <w:t>Filing Date</w:t>
            </w: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34"/>
        </w:trPr>
        <w:tc>
          <w:tcPr>
            <w:tcW w:w="800" w:type="dxa"/>
            <w:vAlign w:val="bottom"/>
            <w:tcBorders>
              <w:top w:val="single" w:sz="8" w:color="auto"/>
            </w:tcBorders>
          </w:tcPr>
          <w:p>
            <w:pPr>
              <w:spacing w:after="0"/>
              <w:rPr>
                <w:sz w:val="2"/>
                <w:szCs w:val="2"/>
                <w:color w:val="auto"/>
              </w:rPr>
            </w:pPr>
          </w:p>
        </w:tc>
        <w:tc>
          <w:tcPr>
            <w:tcW w:w="30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rPr>
              <w:t>31.1</w:t>
            </w:r>
          </w:p>
        </w:tc>
        <w:tc>
          <w:tcPr>
            <w:tcW w:w="510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color w:val="0000FF"/>
              </w:rPr>
              <w:t>Certification of Principal Executive Officer, pursuant to Rule 13a-</w:t>
            </w: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x</w:t>
            </w:r>
          </w:p>
        </w:tc>
      </w:tr>
      <w:tr>
        <w:trPr>
          <w:trHeight w:val="142"/>
        </w:trPr>
        <w:tc>
          <w:tcPr>
            <w:tcW w:w="800" w:type="dxa"/>
            <w:vAlign w:val="bottom"/>
            <w:tcBorders>
              <w:top w:val="single" w:sz="8" w:color="CCEEFF"/>
            </w:tcBorders>
            <w:shd w:val="clear" w:color="auto" w:fill="CCEEFF"/>
          </w:tcPr>
          <w:p>
            <w:pPr>
              <w:spacing w:after="0"/>
              <w:rPr>
                <w:sz w:val="12"/>
                <w:szCs w:val="12"/>
                <w:color w:val="auto"/>
              </w:rPr>
            </w:pPr>
          </w:p>
        </w:tc>
        <w:tc>
          <w:tcPr>
            <w:tcW w:w="4600" w:type="dxa"/>
            <w:vAlign w:val="bottom"/>
            <w:tcBorders>
              <w:top w:val="single" w:sz="8" w:color="0000FF"/>
            </w:tcBorders>
            <w:gridSpan w:val="4"/>
            <w:shd w:val="clear" w:color="auto" w:fill="CCEEFF"/>
          </w:tcPr>
          <w:p>
            <w:pPr>
              <w:spacing w:after="0" w:line="142" w:lineRule="exact"/>
              <w:rPr>
                <w:sz w:val="20"/>
                <w:szCs w:val="20"/>
                <w:color w:val="auto"/>
              </w:rPr>
            </w:pPr>
            <w:r>
              <w:rPr>
                <w:rFonts w:ascii="Arial" w:cs="Arial" w:eastAsia="Arial" w:hAnsi="Arial"/>
                <w:sz w:val="16"/>
                <w:szCs w:val="16"/>
                <w:color w:val="0000FF"/>
              </w:rPr>
              <w:t>14(a) under the Securities Exchange Act of 1934</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00" w:type="dxa"/>
            <w:vAlign w:val="bottom"/>
          </w:tcPr>
          <w:p>
            <w:pPr>
              <w:jc w:val="center"/>
              <w:spacing w:after="0" w:line="175" w:lineRule="exact"/>
              <w:rPr>
                <w:sz w:val="20"/>
                <w:szCs w:val="20"/>
                <w:color w:val="auto"/>
              </w:rPr>
            </w:pPr>
            <w:r>
              <w:rPr>
                <w:rFonts w:ascii="Arial" w:cs="Arial" w:eastAsia="Arial" w:hAnsi="Arial"/>
                <w:sz w:val="16"/>
                <w:szCs w:val="16"/>
                <w:color w:val="auto"/>
              </w:rPr>
              <w:t>31.2</w:t>
            </w:r>
          </w:p>
        </w:tc>
        <w:tc>
          <w:tcPr>
            <w:tcW w:w="5100" w:type="dxa"/>
            <w:vAlign w:val="bottom"/>
            <w:gridSpan w:val="8"/>
          </w:tcPr>
          <w:p>
            <w:pPr>
              <w:spacing w:after="0" w:line="175" w:lineRule="exact"/>
              <w:rPr>
                <w:sz w:val="20"/>
                <w:szCs w:val="20"/>
                <w:color w:val="auto"/>
              </w:rPr>
            </w:pPr>
            <w:r>
              <w:rPr>
                <w:rFonts w:ascii="Arial" w:cs="Arial" w:eastAsia="Arial" w:hAnsi="Arial"/>
                <w:sz w:val="16"/>
                <w:szCs w:val="16"/>
                <w:color w:val="0000FF"/>
              </w:rPr>
              <w:t>Certification of Principal Financial Officer, pursuant to Rule 13a-14(a)</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75" w:lineRule="exact"/>
              <w:rPr>
                <w:sz w:val="20"/>
                <w:szCs w:val="20"/>
                <w:color w:val="auto"/>
              </w:rPr>
            </w:pPr>
            <w:r>
              <w:rPr>
                <w:rFonts w:ascii="Arial" w:cs="Arial" w:eastAsia="Arial" w:hAnsi="Arial"/>
                <w:sz w:val="16"/>
                <w:szCs w:val="16"/>
                <w:color w:val="auto"/>
                <w:w w:val="99"/>
              </w:rPr>
              <w:t>x</w:t>
            </w:r>
          </w:p>
        </w:tc>
      </w:tr>
      <w:tr>
        <w:trPr>
          <w:trHeight w:val="142"/>
        </w:trPr>
        <w:tc>
          <w:tcPr>
            <w:tcW w:w="800" w:type="dxa"/>
            <w:vAlign w:val="bottom"/>
          </w:tcPr>
          <w:p>
            <w:pPr>
              <w:spacing w:after="0"/>
              <w:rPr>
                <w:sz w:val="12"/>
                <w:szCs w:val="12"/>
                <w:color w:val="auto"/>
              </w:rPr>
            </w:pPr>
          </w:p>
        </w:tc>
        <w:tc>
          <w:tcPr>
            <w:tcW w:w="492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under the Securities Exchange Act of 1934</w:t>
            </w:r>
          </w:p>
        </w:tc>
        <w:tc>
          <w:tcPr>
            <w:tcW w:w="1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
        </w:trPr>
        <w:tc>
          <w:tcPr>
            <w:tcW w:w="800" w:type="dxa"/>
            <w:vAlign w:val="bottom"/>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8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32.1†</w:t>
            </w:r>
          </w:p>
        </w:tc>
        <w:tc>
          <w:tcPr>
            <w:tcW w:w="5100" w:type="dxa"/>
            <w:vAlign w:val="bottom"/>
            <w:gridSpan w:val="8"/>
            <w:shd w:val="clear" w:color="auto" w:fill="CCEEFF"/>
          </w:tcPr>
          <w:p>
            <w:pPr>
              <w:spacing w:after="0" w:line="175" w:lineRule="exact"/>
              <w:rPr>
                <w:sz w:val="20"/>
                <w:szCs w:val="20"/>
                <w:color w:val="auto"/>
              </w:rPr>
            </w:pPr>
            <w:r>
              <w:rPr>
                <w:rFonts w:ascii="Arial" w:cs="Arial" w:eastAsia="Arial" w:hAnsi="Arial"/>
                <w:sz w:val="16"/>
                <w:szCs w:val="16"/>
                <w:color w:val="0000FF"/>
              </w:rPr>
              <w:t>Certifications of Principal Executive Officer and Principal Financial</w:t>
            </w: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x</w:t>
            </w:r>
          </w:p>
        </w:tc>
      </w:tr>
      <w:tr>
        <w:trPr>
          <w:trHeight w:val="163"/>
        </w:trPr>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3100" w:type="dxa"/>
            <w:vAlign w:val="bottom"/>
            <w:tcBorders>
              <w:top w:val="single" w:sz="8" w:color="0000FF"/>
              <w:bottom w:val="single" w:sz="8" w:color="0000FF"/>
            </w:tcBorders>
            <w:gridSpan w:val="2"/>
            <w:shd w:val="clear" w:color="auto" w:fill="CCEEFF"/>
          </w:tcPr>
          <w:p>
            <w:pPr>
              <w:spacing w:after="0" w:line="142" w:lineRule="exact"/>
              <w:rPr>
                <w:sz w:val="20"/>
                <w:szCs w:val="20"/>
                <w:color w:val="auto"/>
              </w:rPr>
            </w:pPr>
            <w:r>
              <w:rPr>
                <w:rFonts w:ascii="Arial" w:cs="Arial" w:eastAsia="Arial" w:hAnsi="Arial"/>
                <w:sz w:val="16"/>
                <w:szCs w:val="16"/>
                <w:color w:val="0000FF"/>
              </w:rPr>
              <w:t>Officer, pursuant to 18 U.S.C. Section 1350</w:t>
            </w:r>
          </w:p>
        </w:tc>
        <w:tc>
          <w:tcPr>
            <w:tcW w:w="16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38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7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5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2"/>
        </w:trPr>
        <w:tc>
          <w:tcPr>
            <w:tcW w:w="800" w:type="dxa"/>
            <w:vAlign w:val="bottom"/>
          </w:tcPr>
          <w:p>
            <w:pPr>
              <w:jc w:val="center"/>
              <w:spacing w:after="0" w:line="162" w:lineRule="exact"/>
              <w:rPr>
                <w:sz w:val="20"/>
                <w:szCs w:val="20"/>
                <w:color w:val="auto"/>
              </w:rPr>
            </w:pPr>
            <w:r>
              <w:rPr>
                <w:rFonts w:ascii="Arial" w:cs="Arial" w:eastAsia="Arial" w:hAnsi="Arial"/>
                <w:sz w:val="16"/>
                <w:szCs w:val="16"/>
                <w:color w:val="auto"/>
              </w:rPr>
              <w:t>101.INS</w:t>
            </w:r>
          </w:p>
        </w:tc>
        <w:tc>
          <w:tcPr>
            <w:tcW w:w="5100" w:type="dxa"/>
            <w:vAlign w:val="bottom"/>
            <w:gridSpan w:val="8"/>
          </w:tcPr>
          <w:p>
            <w:pPr>
              <w:spacing w:after="0" w:line="162" w:lineRule="exact"/>
              <w:rPr>
                <w:sz w:val="20"/>
                <w:szCs w:val="20"/>
                <w:color w:val="auto"/>
              </w:rPr>
            </w:pPr>
            <w:r>
              <w:rPr>
                <w:rFonts w:ascii="Arial" w:cs="Arial" w:eastAsia="Arial" w:hAnsi="Arial"/>
                <w:sz w:val="16"/>
                <w:szCs w:val="16"/>
                <w:color w:val="auto"/>
              </w:rPr>
              <w:t>Inline XBRL Instance Document (the instance document does not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5100" w:type="dxa"/>
            <w:vAlign w:val="bottom"/>
            <w:gridSpan w:val="8"/>
          </w:tcPr>
          <w:p>
            <w:pPr>
              <w:spacing w:after="0" w:line="162" w:lineRule="exact"/>
              <w:rPr>
                <w:sz w:val="20"/>
                <w:szCs w:val="20"/>
                <w:color w:val="auto"/>
              </w:rPr>
            </w:pPr>
            <w:r>
              <w:rPr>
                <w:rFonts w:ascii="Arial" w:cs="Arial" w:eastAsia="Arial" w:hAnsi="Arial"/>
                <w:sz w:val="16"/>
                <w:szCs w:val="16"/>
                <w:color w:val="auto"/>
              </w:rPr>
              <w:t>appear in the interactive data files because the XBRL tags are</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5"/>
        </w:trPr>
        <w:tc>
          <w:tcPr>
            <w:tcW w:w="800" w:type="dxa"/>
            <w:vAlign w:val="bottom"/>
          </w:tcPr>
          <w:p>
            <w:pPr>
              <w:spacing w:after="0"/>
              <w:rPr>
                <w:sz w:val="18"/>
                <w:szCs w:val="18"/>
                <w:color w:val="auto"/>
              </w:rPr>
            </w:pPr>
          </w:p>
        </w:tc>
        <w:tc>
          <w:tcPr>
            <w:tcW w:w="5100" w:type="dxa"/>
            <w:vAlign w:val="bottom"/>
            <w:gridSpan w:val="8"/>
          </w:tcPr>
          <w:p>
            <w:pPr>
              <w:spacing w:after="0"/>
              <w:rPr>
                <w:sz w:val="20"/>
                <w:szCs w:val="20"/>
                <w:color w:val="auto"/>
              </w:rPr>
            </w:pPr>
            <w:r>
              <w:rPr>
                <w:rFonts w:ascii="Arial" w:cs="Arial" w:eastAsia="Arial" w:hAnsi="Arial"/>
                <w:sz w:val="16"/>
                <w:szCs w:val="16"/>
                <w:color w:val="auto"/>
              </w:rPr>
              <w:t>embedded within the Inline XBRL document)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5900" w:type="dxa"/>
            <w:vAlign w:val="bottom"/>
            <w:gridSpan w:val="9"/>
            <w:shd w:val="clear" w:color="auto" w:fill="CCEEFF"/>
          </w:tcPr>
          <w:p>
            <w:pPr>
              <w:ind w:left="60"/>
              <w:spacing w:after="0"/>
              <w:rPr>
                <w:sz w:val="20"/>
                <w:szCs w:val="20"/>
                <w:color w:val="auto"/>
              </w:rPr>
            </w:pPr>
            <w:r>
              <w:rPr>
                <w:rFonts w:ascii="Arial" w:cs="Arial" w:eastAsia="Arial" w:hAnsi="Arial"/>
                <w:sz w:val="16"/>
                <w:szCs w:val="16"/>
                <w:color w:val="auto"/>
              </w:rPr>
              <w:t>101.SCH Inline XBRL Taxonomy Extension Schema Document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r>
      <w:tr>
        <w:trPr>
          <w:trHeight w:val="215"/>
        </w:trPr>
        <w:tc>
          <w:tcPr>
            <w:tcW w:w="80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5100" w:type="dxa"/>
            <w:vAlign w:val="bottom"/>
            <w:gridSpan w:val="8"/>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217"/>
        </w:trPr>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101.DEF</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r>
      <w:tr>
        <w:trPr>
          <w:trHeight w:val="215"/>
        </w:trPr>
        <w:tc>
          <w:tcPr>
            <w:tcW w:w="800" w:type="dxa"/>
            <w:vAlign w:val="bottom"/>
          </w:tcPr>
          <w:p>
            <w:pPr>
              <w:jc w:val="center"/>
              <w:spacing w:after="0"/>
              <w:rPr>
                <w:sz w:val="20"/>
                <w:szCs w:val="20"/>
                <w:color w:val="auto"/>
              </w:rPr>
            </w:pPr>
            <w:r>
              <w:rPr>
                <w:rFonts w:ascii="Arial" w:cs="Arial" w:eastAsia="Arial" w:hAnsi="Arial"/>
                <w:sz w:val="16"/>
                <w:szCs w:val="16"/>
                <w:color w:val="auto"/>
              </w:rPr>
              <w:t>101.LAB</w:t>
            </w:r>
          </w:p>
        </w:tc>
        <w:tc>
          <w:tcPr>
            <w:tcW w:w="5100" w:type="dxa"/>
            <w:vAlign w:val="bottom"/>
            <w:gridSpan w:val="8"/>
          </w:tcPr>
          <w:p>
            <w:pPr>
              <w:spacing w:after="0"/>
              <w:rPr>
                <w:sz w:val="20"/>
                <w:szCs w:val="20"/>
                <w:color w:val="auto"/>
              </w:rPr>
            </w:pPr>
            <w:r>
              <w:rPr>
                <w:rFonts w:ascii="Arial" w:cs="Arial" w:eastAsia="Arial" w:hAnsi="Arial"/>
                <w:sz w:val="16"/>
                <w:szCs w:val="16"/>
                <w:color w:val="auto"/>
              </w:rPr>
              <w:t>Inline XBRL Taxonomy Extension Labels Linkbase Document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x</w:t>
            </w:r>
          </w:p>
        </w:tc>
      </w:tr>
      <w:tr>
        <w:trPr>
          <w:trHeight w:val="217"/>
        </w:trPr>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101.PRE</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x</w:t>
            </w:r>
          </w:p>
        </w:tc>
      </w:tr>
    </w:tbl>
    <w:p>
      <w:pPr>
        <w:ind w:left="800" w:right="5560" w:hanging="542"/>
        <w:spacing w:after="0" w:line="250" w:lineRule="auto"/>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3" w:lineRule="exact"/>
        <w:rPr>
          <w:sz w:val="20"/>
          <w:szCs w:val="20"/>
          <w:color w:val="auto"/>
        </w:rPr>
      </w:pPr>
    </w:p>
    <w:p>
      <w:pPr>
        <w:ind w:left="800" w:right="360" w:hanging="774"/>
        <w:spacing w:after="0" w:line="264" w:lineRule="auto"/>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May 1, 2024</w:t>
      </w:r>
      <w:r>
        <w:rPr>
          <w:sz w:val="20"/>
          <w:szCs w:val="20"/>
          <w:color w:val="auto"/>
        </w:rPr>
        <w:tab/>
      </w:r>
      <w:r>
        <w:rPr>
          <w:rFonts w:ascii="Arial" w:cs="Arial" w:eastAsia="Arial" w:hAnsi="Arial"/>
          <w:sz w:val="17"/>
          <w:szCs w:val="17"/>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17780</wp:posOffset>
            </wp:positionV>
            <wp:extent cx="33343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Timothy K. Jugmans,</w:t>
      </w:r>
    </w:p>
    <w:p>
      <w:pPr>
        <w:ind w:left="5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130" w:right="4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Lachlan P. Given, certify that:</w:t>
      </w:r>
    </w:p>
    <w:p>
      <w:pPr>
        <w:spacing w:after="0" w:line="6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17145</wp:posOffset>
            </wp:positionV>
            <wp:extent cx="3600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Lachlan P. Given</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EZCORP,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0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2024</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17145</wp:posOffset>
            </wp:positionV>
            <wp:extent cx="3625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Timothy K. Jugmans</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Lachlan P. Given, Chief Executive Officer, and Timothy K. Jugmans, Chief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undersigned officers of EZCORP, Inc. hereby certify that (a) EZCORP’s Quarterly Report on Form 10-Q for the quarter ended March 31, 2024,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May 1, 2024</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Lachlan P. Given</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Lachlan P. Given</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69"/>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 May 1, 2024</w:t>
            </w:r>
          </w:p>
        </w:tc>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K. Jugmans</w:t>
            </w:r>
          </w:p>
        </w:tc>
      </w:tr>
      <w:tr>
        <w:trPr>
          <w:trHeight w:val="218"/>
        </w:trPr>
        <w:tc>
          <w:tcPr>
            <w:tcW w:w="55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K. Jugmans</w:t>
            </w:r>
          </w:p>
        </w:tc>
      </w:tr>
      <w:tr>
        <w:trPr>
          <w:trHeight w:val="234"/>
        </w:trPr>
        <w:tc>
          <w:tcPr>
            <w:tcW w:w="550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21" Type="http://schemas.openxmlformats.org/officeDocument/2006/relationships/hyperlink" Target="https://www.sec.gov/ix?doc=/Archives/edgar/data/876523/000087652323000045/ezpw-2023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2024-05-01T15:23:40Z</dcterms:created>
  <dcterms:modified xsi:type="dcterms:W3CDTF">2024-05-01T15:23:40Z</dcterms:modified>
</cp:coreProperties>
</file>