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26, 2021 (February 22, 2021)</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660" w:right="20" w:hanging="652"/>
        <w:spacing w:after="0" w:line="254" w:lineRule="auto"/>
        <w:tabs>
          <w:tab w:leader="none" w:pos="382"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disclosed in our Annual Report on Form 10-K for the fiscal year ended September 30, 2020 (the “FY20 Form 10-K”), at the time of the filing of that report, the People and Compensation Committee of our Board of Directors (the “Committee”) was continuing to consider the design frameworks for the fiscal 2021 short-term incentive (STI) bonus plan and the long-term incentive (LTI) equity awards. On February 22, 2021, the Committee approved the design and structure of the fiscal 2021 LTI awards and authorized the issuance of awards to our executive officers (other than our Executive Chairman, who is subject to a separate incentive program and is not eligible for LTI awards) and other key employees. Further, on February 26, 2021, the Committee approved the design and structure of the fiscal 2021 STI plan, which will provide a cash bonus opportunity for our executive officers and other key employees based on fiscal 2021 performance. The following is a summary of the terms of the approved fiscal 2021 STI and LTI awards.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Short-Term Incentive </w:t>
      </w:r>
      <w:r>
        <w:rPr>
          <w:rFonts w:ascii="Arial" w:cs="Arial" w:eastAsia="Arial" w:hAnsi="Arial"/>
          <w:sz w:val="17"/>
          <w:szCs w:val="17"/>
          <w:color w:val="auto"/>
        </w:rPr>
        <w:t>— The fiscal 2021 STI plan provides cash bonus opportunities based on achievement of specified levels of EBITDA.</w:t>
      </w:r>
    </w:p>
    <w:p>
      <w:pPr>
        <w:spacing w:after="0" w:line="183" w:lineRule="exact"/>
        <w:rPr>
          <w:sz w:val="20"/>
          <w:szCs w:val="20"/>
          <w:color w:val="auto"/>
        </w:rPr>
      </w:pPr>
    </w:p>
    <w:p>
      <w:pPr>
        <w:ind w:left="1300" w:right="100" w:hanging="320"/>
        <w:spacing w:after="0" w:line="301" w:lineRule="auto"/>
        <w:tabs>
          <w:tab w:leader="none" w:pos="1295" w:val="left"/>
        </w:tabs>
        <w:numPr>
          <w:ilvl w:val="0"/>
          <w:numId w:val="3"/>
        </w:numPr>
        <w:rPr>
          <w:rFonts w:ascii="Arial" w:cs="Arial" w:eastAsia="Arial" w:hAnsi="Arial"/>
          <w:sz w:val="16"/>
          <w:szCs w:val="16"/>
          <w:color w:val="0000FF"/>
        </w:rPr>
      </w:pPr>
      <w:r>
        <w:rPr>
          <w:rFonts w:ascii="Arial" w:cs="Arial" w:eastAsia="Arial" w:hAnsi="Arial"/>
          <w:sz w:val="16"/>
          <w:szCs w:val="16"/>
          <w:color w:val="auto"/>
        </w:rPr>
        <w:t xml:space="preserve">The bonus opportunity for each participant is a function of a designated target amount (stated as a percentage of base salary) and a business performance modifier based on the achievement of specified EBITDA-based performance goals. The target amount percentage </w:t>
      </w:r>
      <w:hyperlink r:id="rId9">
        <w:r>
          <w:rPr>
            <w:rFonts w:ascii="Arial" w:cs="Arial" w:eastAsia="Arial" w:hAnsi="Arial"/>
            <w:sz w:val="16"/>
            <w:szCs w:val="16"/>
            <w:u w:val="single" w:color="auto"/>
            <w:color w:val="auto"/>
          </w:rPr>
          <w:t>for each of the Named Executive Officers is set forth in the “</w:t>
        </w:r>
        <w:r>
          <w:rPr>
            <w:rFonts w:ascii="Arial" w:cs="Arial" w:eastAsia="Arial" w:hAnsi="Arial"/>
            <w:sz w:val="16"/>
            <w:szCs w:val="16"/>
            <w:u w:val="single" w:color="auto"/>
            <w:color w:val="0000FF"/>
          </w:rPr>
          <w:t>Compensation Discussion and Analysis” section of the FY20 Form 10-K</w:t>
        </w:r>
      </w:hyperlink>
      <w:r>
        <w:rPr>
          <w:rFonts w:ascii="Arial" w:cs="Arial" w:eastAsia="Arial" w:hAnsi="Arial"/>
          <w:sz w:val="16"/>
          <w:szCs w:val="16"/>
          <w:u w:val="single" w:color="auto"/>
          <w:color w:val="auto"/>
        </w:rPr>
        <w:t xml:space="preserve"> </w:t>
      </w:r>
      <w:hyperlink r:id="rId9">
        <w:r>
          <w:rPr>
            <w:rFonts w:ascii="Arial" w:cs="Arial" w:eastAsia="Arial" w:hAnsi="Arial"/>
            <w:sz w:val="16"/>
            <w:szCs w:val="16"/>
            <w:u w:val="single" w:color="auto"/>
            <w:color w:val="0000FF"/>
          </w:rPr>
          <w:t>under the heading “Components of Compensation and Fiscal 2020 Executive Compensation Actions — Annual Short-Term Incentives</w:t>
        </w:r>
      </w:hyperlink>
      <w:r>
        <w:rPr>
          <w:rFonts w:ascii="Arial" w:cs="Arial" w:eastAsia="Arial" w:hAnsi="Arial"/>
          <w:sz w:val="16"/>
          <w:szCs w:val="16"/>
          <w:color w:val="000000"/>
        </w:rPr>
        <w:t>.”</w:t>
      </w:r>
    </w:p>
    <w:p>
      <w:pPr>
        <w:spacing w:after="0" w:line="103" w:lineRule="exact"/>
        <w:rPr>
          <w:rFonts w:ascii="Arial" w:cs="Arial" w:eastAsia="Arial" w:hAnsi="Arial"/>
          <w:sz w:val="16"/>
          <w:szCs w:val="16"/>
          <w:color w:val="0000FF"/>
        </w:rPr>
      </w:pPr>
    </w:p>
    <w:p>
      <w:pPr>
        <w:ind w:left="1300" w:right="38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participants in a specific business unit, the performance goal is based on that business unit’s achievement of specified levels of EBITDA. For other corporate-level participants, the performance goal is based on the Company’s achievement of specified levels of consolidated EBITDA.</w:t>
      </w:r>
    </w:p>
    <w:p>
      <w:pPr>
        <w:spacing w:after="0" w:line="129" w:lineRule="exact"/>
        <w:rPr>
          <w:rFonts w:ascii="Arial" w:cs="Arial" w:eastAsia="Arial" w:hAnsi="Arial"/>
          <w:sz w:val="18"/>
          <w:szCs w:val="18"/>
          <w:color w:val="auto"/>
        </w:rPr>
      </w:pPr>
    </w:p>
    <w:p>
      <w:pPr>
        <w:ind w:left="1300" w:right="22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plan is subject to a “Company Performance Gate,” such that no participant will receive a payout if the Company does not achieve the minimum level of EBITDA required for a corporate-level payout, regardless of the EBITDA achieved by specific business units.</w:t>
      </w:r>
    </w:p>
    <w:p>
      <w:pPr>
        <w:spacing w:after="0" w:line="129" w:lineRule="exact"/>
        <w:rPr>
          <w:rFonts w:ascii="Arial" w:cs="Arial" w:eastAsia="Arial" w:hAnsi="Arial"/>
          <w:sz w:val="18"/>
          <w:szCs w:val="18"/>
          <w:color w:val="auto"/>
        </w:rPr>
      </w:pPr>
    </w:p>
    <w:p>
      <w:pPr>
        <w:ind w:left="1300" w:hanging="320"/>
        <w:spacing w:after="0" w:line="259"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Company Performance Gate is achieved, participants have the opportunity to earn an incentive bonus equal to 50% of their target amount. Performance at target levels will yield a bonus opportunity equal to 100% of the target amount. Any payout in excess of 100% of target amounts is at the discretion of the Committee. The final payout amount for each participant is subject to an evaluation of the participant’s individual performance.</w:t>
      </w:r>
    </w:p>
    <w:p>
      <w:pPr>
        <w:spacing w:after="0" w:line="132" w:lineRule="exact"/>
        <w:rPr>
          <w:rFonts w:ascii="Arial" w:cs="Arial" w:eastAsia="Arial" w:hAnsi="Arial"/>
          <w:sz w:val="18"/>
          <w:szCs w:val="18"/>
          <w:color w:val="auto"/>
        </w:rPr>
      </w:pPr>
    </w:p>
    <w:p>
      <w:pPr>
        <w:ind w:left="1300" w:right="20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Committee will retain discretionary authority to make such adjustments to the reported EBITDA as it, in its sole discretion, determines to be necessary, appropriate or desirable to take into consideration special events or other circumstances reasonably beyond management’s control.</w:t>
      </w:r>
    </w:p>
    <w:p>
      <w:pPr>
        <w:spacing w:after="0" w:line="130" w:lineRule="exact"/>
        <w:rPr>
          <w:rFonts w:ascii="Arial" w:cs="Arial" w:eastAsia="Arial" w:hAnsi="Arial"/>
          <w:sz w:val="16"/>
          <w:szCs w:val="16"/>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Long-Term Incentive </w:t>
      </w:r>
      <w:r>
        <w:rPr>
          <w:rFonts w:ascii="Arial" w:cs="Arial" w:eastAsia="Arial" w:hAnsi="Arial"/>
          <w:sz w:val="18"/>
          <w:szCs w:val="18"/>
          <w:color w:val="auto"/>
        </w:rPr>
        <w:t>— The fiscal 2021 LTI program provides equity awards based on the achievement of specified levels of net income.</w:t>
      </w:r>
    </w:p>
    <w:p>
      <w:pPr>
        <w:spacing w:after="0" w:line="171" w:lineRule="exact"/>
        <w:rPr>
          <w:rFonts w:ascii="Arial" w:cs="Arial" w:eastAsia="Arial" w:hAnsi="Arial"/>
          <w:sz w:val="16"/>
          <w:szCs w:val="16"/>
          <w:color w:val="auto"/>
        </w:rPr>
      </w:pPr>
    </w:p>
    <w:p>
      <w:pPr>
        <w:ind w:left="1300" w:right="60" w:hanging="320"/>
        <w:spacing w:after="0" w:line="257" w:lineRule="auto"/>
        <w:tabs>
          <w:tab w:leader="none" w:pos="1295" w:val="left"/>
        </w:tabs>
        <w:numPr>
          <w:ilvl w:val="0"/>
          <w:numId w:val="4"/>
        </w:numPr>
        <w:rPr>
          <w:rFonts w:ascii="Arial" w:cs="Arial" w:eastAsia="Arial" w:hAnsi="Arial"/>
          <w:sz w:val="18"/>
          <w:szCs w:val="18"/>
          <w:color w:val="0000FF"/>
        </w:rPr>
      </w:pPr>
      <w:r>
        <w:rPr>
          <w:rFonts w:ascii="Arial" w:cs="Arial" w:eastAsia="Arial" w:hAnsi="Arial"/>
          <w:sz w:val="18"/>
          <w:szCs w:val="18"/>
          <w:color w:val="auto"/>
        </w:rPr>
        <w:t xml:space="preserve">The number of units awarded to each participant is determined by dividing the participant’s LTI target amount (based on a percentage of base salary) by $5.03, the trading price of our Class A Non-Voting Common Stock on September 30, 2020. The LTI target, as well as the </w:t>
      </w:r>
      <w:hyperlink r:id="rId9">
        <w:r>
          <w:rPr>
            <w:rFonts w:ascii="Arial" w:cs="Arial" w:eastAsia="Arial" w:hAnsi="Arial"/>
            <w:sz w:val="18"/>
            <w:szCs w:val="18"/>
            <w:color w:val="auto"/>
          </w:rPr>
          <w:t>number of units to be awarded to each of the Named Executive Officers is set forth in the “</w:t>
        </w:r>
        <w:r>
          <w:rPr>
            <w:rFonts w:ascii="Arial" w:cs="Arial" w:eastAsia="Arial" w:hAnsi="Arial"/>
            <w:sz w:val="18"/>
            <w:szCs w:val="18"/>
            <w:u w:val="single" w:color="auto"/>
            <w:color w:val="0000FF"/>
          </w:rPr>
          <w:t>Compensation Discussion and Analysis”</w:t>
        </w:r>
      </w:hyperlink>
      <w:r>
        <w:rPr>
          <w:rFonts w:ascii="Arial" w:cs="Arial" w:eastAsia="Arial" w:hAnsi="Arial"/>
          <w:sz w:val="18"/>
          <w:szCs w:val="18"/>
          <w:color w:val="auto"/>
        </w:rPr>
        <w:t xml:space="preserve"> </w:t>
      </w:r>
      <w:hyperlink r:id="rId9">
        <w:r>
          <w:rPr>
            <w:rFonts w:ascii="Arial" w:cs="Arial" w:eastAsia="Arial" w:hAnsi="Arial"/>
            <w:sz w:val="18"/>
            <w:szCs w:val="18"/>
            <w:u w:val="single" w:color="auto"/>
            <w:color w:val="0000FF"/>
          </w:rPr>
          <w:t>section of the FY20 Form 10-K under the heading “Components of Compensation and Fiscal 2020 Executive Compensation Actions —</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Long-Term Incentives — Fiscal 2021 LTI Awards</w:t>
        </w:r>
        <w:r>
          <w:rPr>
            <w:rFonts w:ascii="Arial" w:cs="Arial" w:eastAsia="Arial" w:hAnsi="Arial"/>
            <w:sz w:val="18"/>
            <w:szCs w:val="18"/>
            <w:color w:val="000000"/>
          </w:rPr>
          <w:t>.”</w:t>
        </w:r>
      </w:hyperlink>
    </w:p>
    <w:p>
      <w:pPr>
        <w:spacing w:after="0" w:line="133" w:lineRule="exact"/>
        <w:rPr>
          <w:rFonts w:ascii="Arial" w:cs="Arial" w:eastAsia="Arial" w:hAnsi="Arial"/>
          <w:sz w:val="18"/>
          <w:szCs w:val="18"/>
          <w:color w:val="0000FF"/>
        </w:rPr>
      </w:pPr>
    </w:p>
    <w:p>
      <w:pPr>
        <w:ind w:left="1300" w:right="240" w:hanging="320"/>
        <w:spacing w:after="0" w:line="308"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color w:val="auto"/>
        </w:rPr>
        <w:t>Vesting is subject to performance measured against specified net income targets. As discussed in the FY20 Form 10-K, the Committee considers net income to be the long-term shareholder value metric against which management should be measured.</w:t>
      </w:r>
    </w:p>
    <w:p>
      <w:pPr>
        <w:spacing w:after="0" w:line="92" w:lineRule="exact"/>
        <w:rPr>
          <w:rFonts w:ascii="Arial" w:cs="Arial" w:eastAsia="Arial" w:hAnsi="Arial"/>
          <w:sz w:val="17"/>
          <w:szCs w:val="17"/>
          <w:color w:val="auto"/>
        </w:rPr>
      </w:pPr>
    </w:p>
    <w:p>
      <w:pPr>
        <w:ind w:left="1300" w:right="140" w:hanging="320"/>
        <w:spacing w:after="0" w:line="275"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Performance will be measured over a three-year performance period (fiscal 2021, fiscal 2022 and fiscal 2023). The number of units awarded are allocated equally among the three years, with each year measured separately. The number of units that will be available for vesting each year will be between 50% (assuming minimum threshold performance is achieved) and 150%, depending on the level of performance target achievement. If the minimum threshold performance for any year is not achieved, then none of the units allocated to that year will be available to vest at the end of the performance period. Each year will stand 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 w:name="page3"/>
    <w:bookmarkEnd w:id="2"/>
    <w:p>
      <w:pPr>
        <w:ind w:left="1300"/>
        <w:spacing w:after="0"/>
        <w:rPr>
          <w:sz w:val="20"/>
          <w:szCs w:val="20"/>
          <w:color w:val="auto"/>
        </w:rPr>
      </w:pPr>
      <w:r>
        <w:rPr>
          <w:rFonts w:ascii="Arial" w:cs="Arial" w:eastAsia="Arial" w:hAnsi="Arial"/>
          <w:sz w:val="18"/>
          <w:szCs w:val="18"/>
          <w:color w:val="auto"/>
        </w:rPr>
        <w:t>its own, and any units allocated to a year that are not available to vest at the end of the performance period will be forfeited.</w:t>
      </w:r>
    </w:p>
    <w:p>
      <w:pPr>
        <w:spacing w:after="0" w:line="171" w:lineRule="exact"/>
        <w:rPr>
          <w:sz w:val="20"/>
          <w:szCs w:val="20"/>
          <w:color w:val="auto"/>
        </w:rPr>
      </w:pPr>
    </w:p>
    <w:p>
      <w:pPr>
        <w:ind w:left="1300" w:right="200" w:hanging="320"/>
        <w:spacing w:after="0" w:line="342" w:lineRule="auto"/>
        <w:tabs>
          <w:tab w:leader="none" w:pos="1295"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end of the performance period (i.e., the end of fiscal 2023), the aggregate number of units that are available to vest from each of the three years will vest for those participants who remain in continuous, active employment with the Company through that time.</w:t>
      </w:r>
    </w:p>
    <w:p>
      <w:pPr>
        <w:spacing w:after="0" w:line="69" w:lineRule="exact"/>
        <w:rPr>
          <w:rFonts w:ascii="Arial" w:cs="Arial" w:eastAsia="Arial" w:hAnsi="Arial"/>
          <w:sz w:val="16"/>
          <w:szCs w:val="16"/>
          <w:color w:val="auto"/>
        </w:rPr>
      </w:pPr>
    </w:p>
    <w:p>
      <w:pPr>
        <w:ind w:left="1300" w:right="180" w:hanging="320"/>
        <w:spacing w:after="0" w:line="263"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Committee will retain discretionary authority to make such adjustments to the reported net income as it, in its sole discretion, determines to be necessary, appropriate or desirable to take into consideration special events or other circumstances reasonably beyond management’s control.</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7160" w:type="dxa"/>
            <w:vAlign w:val="bottom"/>
            <w:gridSpan w:val="2"/>
          </w:tcPr>
          <w:p>
            <w:pPr>
              <w:ind w:left="2020"/>
              <w:spacing w:after="0"/>
              <w:rPr>
                <w:sz w:val="20"/>
                <w:szCs w:val="20"/>
                <w:color w:val="auto"/>
              </w:rPr>
            </w:pPr>
            <w:r>
              <w:rPr>
                <w:rFonts w:ascii="Arial" w:cs="Arial" w:eastAsia="Arial" w:hAnsi="Arial"/>
                <w:sz w:val="18"/>
                <w:szCs w:val="18"/>
                <w:color w:val="auto"/>
              </w:rPr>
              <w:t>EZCORP, INC.</w:t>
            </w:r>
          </w:p>
        </w:tc>
      </w:tr>
      <w:tr>
        <w:trPr>
          <w:trHeight w:val="283"/>
        </w:trPr>
        <w:tc>
          <w:tcPr>
            <w:tcW w:w="4000" w:type="dxa"/>
            <w:vAlign w:val="bottom"/>
          </w:tcPr>
          <w:p>
            <w:pPr>
              <w:spacing w:after="0"/>
              <w:rPr>
                <w:sz w:val="20"/>
                <w:szCs w:val="20"/>
                <w:color w:val="auto"/>
              </w:rPr>
            </w:pPr>
            <w:r>
              <w:rPr>
                <w:rFonts w:ascii="Arial" w:cs="Arial" w:eastAsia="Arial" w:hAnsi="Arial"/>
                <w:sz w:val="18"/>
                <w:szCs w:val="18"/>
                <w:color w:val="auto"/>
              </w:rPr>
              <w:t>Date:   February 26, 2021</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/s/Thomas H. Welch, Jr.</w:t>
            </w:r>
          </w:p>
        </w:tc>
      </w:tr>
      <w:tr>
        <w:trPr>
          <w:trHeight w:val="222"/>
        </w:trPr>
        <w:tc>
          <w:tcPr>
            <w:tcW w:w="40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30"/>
        </w:trPr>
        <w:tc>
          <w:tcPr>
            <w:tcW w:w="4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1200"/>
      </w:cols>
      <w:pgMar w:left="320" w:top="105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9" Type="http://schemas.openxmlformats.org/officeDocument/2006/relationships/hyperlink" Target="http://www.sec.gov/ix?doc=/Archives/edgar/data/876523/000087652320000059/ezpw-2020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2021-02-26T16:08:40Z</dcterms:created>
  <dcterms:modified xsi:type="dcterms:W3CDTF">2021-02-26T16:08:40Z</dcterms:modified>
</cp:coreProperties>
</file>