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May 9, 2016</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On May 9, 2016, EZCORP, Inc. will issue a press release announcing its results of operations and financial condition for the second fiscal quarter of the fiscal year ended September 30, 2016. A copy of that press release is attached as Exhibit 99.1.</w:t>
      </w:r>
    </w:p>
    <w:p>
      <w:pPr>
        <w:sectPr>
          <w:pgSz w:w="11900" w:h="16838" w:orient="portrait"/>
          <w:cols w:equalWidth="0" w:num="1">
            <w:col w:w="11380"/>
          </w:cols>
          <w:pgMar w:left="240" w:top="1440" w:right="279" w:bottom="1440" w:gutter="0" w:footer="0" w:header="0"/>
        </w:sectPr>
      </w:pPr>
    </w:p>
    <w:bookmarkStart w:id="1" w:name="page2"/>
    <w:bookmarkEnd w:id="1"/>
    <w:p>
      <w:pPr>
        <w:spacing w:after="0" w:line="289"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such as constant currency results ("constant currency"). Management believes that presentation of non-GAAP financial information is meaningful and useful in understanding the activities and business metrics of our Mexico Pawn and Grupo Finmart operations, which are denominated in Mexican pesos. Management believes that these non-GAAP financial measures reflect an additional way of viewing aspects of our business that, when viewed with our GAAP results, provides a more complete understanding of factors and trends affecting our business. Management provides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its financial statements prepared in accordance with GAAP. This non-GAAP financial information may be determined or calculated differently by other companies, limiting the usefulness of those measures for comparative purposes.</w:t>
      </w:r>
    </w:p>
    <w:p>
      <w:pPr>
        <w:spacing w:after="0" w:line="11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second quarter of fiscal 2016 earnings conference call (to be held on May 10, 2016) will be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(d)Exhibits.</w:t>
      </w:r>
    </w:p>
    <w:p>
      <w:pPr>
        <w:spacing w:after="0" w:line="171" w:lineRule="exact"/>
        <w:rPr>
          <w:sz w:val="20"/>
          <w:szCs w:val="20"/>
          <w:color w:val="auto"/>
        </w:rPr>
      </w:pPr>
    </w:p>
    <w:p>
      <w:pPr>
        <w:ind w:left="1120" w:right="480" w:hanging="562"/>
        <w:spacing w:after="0" w:line="277" w:lineRule="auto"/>
        <w:tabs>
          <w:tab w:leader="none" w:pos="1100" w:val="left"/>
        </w:tabs>
        <w:rPr>
          <w:sz w:val="20"/>
          <w:szCs w:val="20"/>
          <w:color w:val="auto"/>
        </w:rPr>
      </w:pPr>
      <w:r>
        <w:rPr>
          <w:rFonts w:ascii="Arial" w:cs="Arial" w:eastAsia="Arial" w:hAnsi="Arial"/>
          <w:sz w:val="18"/>
          <w:szCs w:val="18"/>
          <w:color w:val="auto"/>
        </w:rPr>
        <w:t>99.1</w:t>
        <w:tab/>
        <w:t>Press Release, dated May 9, 2016, announcing EZCORP, Inc.’s results of operations and financial condition for the second fiscal quarter of the fiscal year ended September 30, 2016.</w:t>
      </w:r>
    </w:p>
    <w:p>
      <w:pPr>
        <w:sectPr>
          <w:pgSz w:w="11900" w:h="16838" w:orient="portrait"/>
          <w:cols w:equalWidth="0" w:num="1">
            <w:col w:w="11420"/>
          </w:cols>
          <w:pgMar w:left="240" w:top="746"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620" w:right="2900" w:hanging="6941"/>
        <w:spacing w:after="0" w:line="290" w:lineRule="auto"/>
        <w:tabs>
          <w:tab w:leader="none" w:pos="600" w:val="left"/>
        </w:tabs>
        <w:rPr>
          <w:sz w:val="20"/>
          <w:szCs w:val="20"/>
          <w:color w:val="auto"/>
        </w:rPr>
      </w:pPr>
      <w:r>
        <w:rPr>
          <w:rFonts w:ascii="Arial" w:cs="Arial" w:eastAsia="Arial" w:hAnsi="Arial"/>
          <w:sz w:val="18"/>
          <w:szCs w:val="18"/>
          <w:color w:val="auto"/>
        </w:rPr>
        <w:t>Date:</w:t>
        <w:tab/>
        <w:t>May 9, 2016 By: /s/ David McGuire David McGuire</w:t>
      </w:r>
    </w:p>
    <w:p>
      <w:pPr>
        <w:spacing w:after="0" w:line="29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Deputy Chief Financial Officer and Chief Accounting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20"/>
          </w:cols>
          <w:pgMar w:left="240" w:top="742"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2"/>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0"/>
              </w:rPr>
              <w:t>Press Release, dated May 9, 2016, announcing EZCORP, Inc.’s results of operations and financial condition for the second fiscal quarter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of the fiscal year ended September 30, 2016.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 w:name="page5"/>
    <w:bookmarkEnd w:id="4"/>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EZCORP Announces Second Quarter Fiscal 2016 Results</w:t>
      </w:r>
    </w:p>
    <w:p>
      <w:pPr>
        <w:spacing w:after="0" w:line="271" w:lineRule="exact"/>
        <w:rPr>
          <w:sz w:val="20"/>
          <w:szCs w:val="20"/>
          <w:color w:val="auto"/>
        </w:rPr>
      </w:pPr>
    </w:p>
    <w:p>
      <w:pPr>
        <w:ind w:left="340" w:right="1060" w:hanging="332"/>
        <w:spacing w:after="0" w:line="260"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U.S. and Mexico Pawn profit before tax up 23% on 8% net revenue growth as a result of continued strong momentum in pawn fundamentals:</w:t>
      </w:r>
    </w:p>
    <w:p>
      <w:pPr>
        <w:spacing w:after="0" w:line="68" w:lineRule="exact"/>
        <w:rPr>
          <w:rFonts w:ascii="Arial" w:cs="Arial" w:eastAsia="Arial" w:hAnsi="Arial"/>
          <w:sz w:val="20"/>
          <w:szCs w:val="20"/>
          <w:color w:val="auto"/>
        </w:rPr>
      </w:pPr>
    </w:p>
    <w:p>
      <w:pPr>
        <w:ind w:left="980" w:hanging="324"/>
        <w:spacing w:after="0"/>
        <w:tabs>
          <w:tab w:leader="none" w:pos="980" w:val="left"/>
        </w:tabs>
        <w:numPr>
          <w:ilvl w:val="1"/>
          <w:numId w:val="2"/>
        </w:numPr>
        <w:rPr>
          <w:rFonts w:ascii="Arial" w:cs="Arial" w:eastAsia="Arial" w:hAnsi="Arial"/>
          <w:sz w:val="20"/>
          <w:szCs w:val="20"/>
          <w:color w:val="auto"/>
        </w:rPr>
      </w:pPr>
      <w:r>
        <w:rPr>
          <w:rFonts w:ascii="Arial" w:cs="Arial" w:eastAsia="Arial" w:hAnsi="Arial"/>
          <w:sz w:val="20"/>
          <w:szCs w:val="20"/>
          <w:color w:val="auto"/>
        </w:rPr>
        <w:t>Pawn loans outstanding (PLO) up 10%; same store PLO up 8%.</w:t>
      </w:r>
    </w:p>
    <w:p>
      <w:pPr>
        <w:spacing w:after="0" w:line="108" w:lineRule="exact"/>
        <w:rPr>
          <w:sz w:val="20"/>
          <w:szCs w:val="20"/>
          <w:color w:val="auto"/>
        </w:rPr>
      </w:pPr>
    </w:p>
    <w:p>
      <w:pPr>
        <w:ind w:left="980" w:hanging="324"/>
        <w:spacing w:after="0"/>
        <w:tabs>
          <w:tab w:leader="none" w:pos="980" w:val="left"/>
        </w:tabs>
        <w:numPr>
          <w:ilvl w:val="1"/>
          <w:numId w:val="3"/>
        </w:numPr>
        <w:rPr>
          <w:rFonts w:ascii="Arial" w:cs="Arial" w:eastAsia="Arial" w:hAnsi="Arial"/>
          <w:sz w:val="20"/>
          <w:szCs w:val="20"/>
          <w:color w:val="auto"/>
        </w:rPr>
      </w:pPr>
      <w:r>
        <w:rPr>
          <w:rFonts w:ascii="Arial" w:cs="Arial" w:eastAsia="Arial" w:hAnsi="Arial"/>
          <w:sz w:val="20"/>
          <w:szCs w:val="20"/>
          <w:color w:val="auto"/>
        </w:rPr>
        <w:t>Pawn service charges (PSC) up 8%.</w:t>
      </w:r>
    </w:p>
    <w:p>
      <w:pPr>
        <w:spacing w:after="0" w:line="107" w:lineRule="exact"/>
        <w:rPr>
          <w:rFonts w:ascii="Arial" w:cs="Arial" w:eastAsia="Arial" w:hAnsi="Arial"/>
          <w:sz w:val="20"/>
          <w:szCs w:val="20"/>
          <w:color w:val="auto"/>
        </w:rPr>
      </w:pPr>
    </w:p>
    <w:p>
      <w:pPr>
        <w:ind w:left="980" w:hanging="324"/>
        <w:spacing w:after="0"/>
        <w:tabs>
          <w:tab w:leader="none" w:pos="980" w:val="left"/>
        </w:tabs>
        <w:numPr>
          <w:ilvl w:val="1"/>
          <w:numId w:val="3"/>
        </w:numPr>
        <w:rPr>
          <w:rFonts w:ascii="Arial" w:cs="Arial" w:eastAsia="Arial" w:hAnsi="Arial"/>
          <w:sz w:val="20"/>
          <w:szCs w:val="20"/>
          <w:color w:val="auto"/>
        </w:rPr>
      </w:pPr>
      <w:r>
        <w:rPr>
          <w:rFonts w:ascii="Arial" w:cs="Arial" w:eastAsia="Arial" w:hAnsi="Arial"/>
          <w:sz w:val="20"/>
          <w:szCs w:val="20"/>
          <w:color w:val="auto"/>
        </w:rPr>
        <w:t>Merchandise sales gross margin increased to 38% from 33%.</w:t>
      </w:r>
    </w:p>
    <w:p>
      <w:pPr>
        <w:spacing w:after="0" w:line="107" w:lineRule="exact"/>
        <w:rPr>
          <w:rFonts w:ascii="Arial" w:cs="Arial" w:eastAsia="Arial" w:hAnsi="Arial"/>
          <w:sz w:val="20"/>
          <w:szCs w:val="20"/>
          <w:color w:val="auto"/>
        </w:rPr>
      </w:pPr>
    </w:p>
    <w:p>
      <w:pPr>
        <w:ind w:left="980" w:hanging="324"/>
        <w:spacing w:after="0"/>
        <w:tabs>
          <w:tab w:leader="none" w:pos="980" w:val="left"/>
        </w:tabs>
        <w:numPr>
          <w:ilvl w:val="1"/>
          <w:numId w:val="3"/>
        </w:numPr>
        <w:rPr>
          <w:rFonts w:ascii="Arial" w:cs="Arial" w:eastAsia="Arial" w:hAnsi="Arial"/>
          <w:sz w:val="20"/>
          <w:szCs w:val="20"/>
          <w:color w:val="auto"/>
        </w:rPr>
      </w:pPr>
      <w:r>
        <w:rPr>
          <w:rFonts w:ascii="Arial" w:cs="Arial" w:eastAsia="Arial" w:hAnsi="Arial"/>
          <w:sz w:val="20"/>
          <w:szCs w:val="20"/>
          <w:color w:val="auto"/>
        </w:rPr>
        <w:t>Annualized return on pawn earning assets increased to 152% from 150%.</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Grupo Finmart strategic review completed in April; company pursuing sale of this business.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Grupo Finmart non-cash goodwill impairment charge of $73.9 million led to $73.0 million loss from continuing operations for the quarter.</w:t>
      </w:r>
    </w:p>
    <w:p>
      <w:pPr>
        <w:spacing w:after="0" w:line="29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Austin, Texas (May 9, 2016) — </w:t>
      </w:r>
      <w:r>
        <w:rPr>
          <w:rFonts w:ascii="Arial" w:cs="Arial" w:eastAsia="Arial" w:hAnsi="Arial"/>
          <w:sz w:val="18"/>
          <w:szCs w:val="18"/>
          <w:color w:val="auto"/>
        </w:rPr>
        <w:t>EZCORP, Inc. (NASDAQ: EZPW), a leading provider of pawn loans in the United States and Mexico and consumer loans in</w:t>
      </w:r>
      <w:r>
        <w:rPr>
          <w:rFonts w:ascii="Arial" w:cs="Arial" w:eastAsia="Arial" w:hAnsi="Arial"/>
          <w:sz w:val="18"/>
          <w:szCs w:val="18"/>
          <w:b w:val="1"/>
          <w:bCs w:val="1"/>
          <w:color w:val="auto"/>
        </w:rPr>
        <w:t xml:space="preserve"> </w:t>
      </w:r>
      <w:r>
        <w:rPr>
          <w:rFonts w:ascii="Arial" w:cs="Arial" w:eastAsia="Arial" w:hAnsi="Arial"/>
          <w:sz w:val="18"/>
          <w:szCs w:val="18"/>
          <w:color w:val="auto"/>
        </w:rPr>
        <w:t>Mexico, today announced results for its second quarter ended March 31, 2016.</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5"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Stuart Grimshaw, EZCORP’s Chief Executive Officer, said: “In July 2015 we announced significant strategic changes in our company’s direction which included a refocus on our pawn operations in the United States and Mexico, aimed at serving and satisfying our customers’ desire for access to cash. This quarter’s results demonstrate continued momentum with further improvements to key pawn metrics, including return on pawn earnings assets.</w:t>
      </w:r>
    </w:p>
    <w:p>
      <w:pPr>
        <w:spacing w:after="0" w:line="93"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have completed the strategic review of Grupo Finmart announced in February 2016. We have concluded that a sale of this business is the preferred alternative and have commenced a process to solicit proposals from interested buyers. UBS Investment Bank, which has been assisting us in the strategic review, is running the sale process. Separately, we determined during the quarter that the goodwill associated with Grupo Finmart should be written-off and recorded an impairment charge of $73.9 million; goodwill related to Grupo Finmart is now zero. This impairment, along with the quarterly operating results from Grupo Finmart, offset the positive performance in our U.S. and Mexico pawn businesses and resulted in a consolidated net loss for the quarter.</w:t>
      </w:r>
    </w:p>
    <w:p>
      <w:pPr>
        <w:spacing w:after="0" w:line="10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focus on the customer experience and the fundamentals of the pawn business will continue in the months ahead, including further investment in talent, training and development, and customer-facing systems. We are confident these initiatives, along with the quality pawn fundamentals we have demonstrated in recent quarters, will help us continue to build our platform for profitable growth."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comparisons shown in this release are to the same period in the prior year unless otherwise noted)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Three-Months Ended March 31, 2016</w:t>
      </w:r>
    </w:p>
    <w:p>
      <w:pPr>
        <w:spacing w:after="0" w:line="171" w:lineRule="exact"/>
        <w:rPr>
          <w:sz w:val="20"/>
          <w:szCs w:val="20"/>
          <w:color w:val="auto"/>
        </w:rPr>
      </w:pPr>
    </w:p>
    <w:p>
      <w:pPr>
        <w:ind w:left="660" w:right="2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quarter ended March 31, 2016, net loss from continuing operations attributable to EZCORP was $73.0 million ($1.33 per share), compared to a net loss of $3.4 million ($0.06 per share). This year-over-year difference reflects ongoing challenges in Grupo Finmart, including a non-cash goodwill impairment charge of $73.9 million ($1.26 per share impact). The U.S. and Mexico pawn businesses continue to deliver improved performance.</w:t>
      </w:r>
    </w:p>
    <w:p>
      <w:pPr>
        <w:sectPr>
          <w:pgSz w:w="11900" w:h="16838" w:orient="portrait"/>
          <w:cols w:equalWidth="0" w:num="1">
            <w:col w:w="11420"/>
          </w:cols>
          <w:pgMar w:left="240" w:top="1440" w:right="239" w:bottom="1440" w:gutter="0" w:footer="0" w:header="0"/>
        </w:sectPr>
      </w:pPr>
    </w:p>
    <w:bookmarkStart w:id="5" w:name="page6"/>
    <w:bookmarkEnd w:id="5"/>
    <w:p>
      <w:pPr>
        <w:ind w:left="660" w:right="180" w:hanging="328"/>
        <w:spacing w:after="0" w:line="26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Total revenue for the current quarter was $201.9 million, down 2%, and net revenue was flat at $113.8 million. On a constant currency basis</w:t>
      </w:r>
      <w:r>
        <w:rPr>
          <w:rFonts w:ascii="Arial" w:cs="Arial" w:eastAsia="Arial" w:hAnsi="Arial"/>
          <w:sz w:val="22"/>
          <w:szCs w:val="22"/>
          <w:color w:val="auto"/>
          <w:vertAlign w:val="superscript"/>
        </w:rPr>
        <w:t>1</w:t>
      </w:r>
      <w:r>
        <w:rPr>
          <w:rFonts w:ascii="Arial" w:cs="Arial" w:eastAsia="Arial" w:hAnsi="Arial"/>
          <w:sz w:val="16"/>
          <w:szCs w:val="16"/>
          <w:color w:val="auto"/>
        </w:rPr>
        <w:t>, total revenue was $209.6 million, up 2%, with net revenue of $117.5 million, up 3%. The increase in both total revenue and net revenue (stated in constant currency) is primarily due to higher pawn service charges and merchandise margin, offset by higher bad debt levels in Grupo Finmart.</w:t>
      </w:r>
    </w:p>
    <w:p>
      <w:pPr>
        <w:spacing w:after="0" w:line="132" w:lineRule="exact"/>
        <w:rPr>
          <w:rFonts w:ascii="Arial" w:cs="Arial" w:eastAsia="Arial" w:hAnsi="Arial"/>
          <w:sz w:val="16"/>
          <w:szCs w:val="16"/>
          <w:color w:val="auto"/>
        </w:rPr>
      </w:pPr>
    </w:p>
    <w:p>
      <w:pPr>
        <w:ind w:left="660" w:right="3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expenses for the current quarter increased 3% (6% on a constant currency basis), primarily due to continued investment in store labor costs to improve employee and customer satisfaction and costs from new stores.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Annualized return on pawn earning assets</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increased to 152% in the current quarter versus 150%.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Six-Months Ended March 31, 2016</w:t>
      </w:r>
    </w:p>
    <w:p>
      <w:pPr>
        <w:spacing w:after="0" w:line="171" w:lineRule="exact"/>
        <w:rPr>
          <w:sz w:val="20"/>
          <w:szCs w:val="20"/>
          <w:color w:val="auto"/>
        </w:rPr>
      </w:pPr>
    </w:p>
    <w:p>
      <w:pPr>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six months ended March 31, 2016, net loss from continuing operations attributable to EZCORP was $80.3 million ($1.46 per share), compared to net income of $1.3 million ($0.02 per share). This year-over-year difference reflects continued improvement in our U.S. and Mexico pawn businesses (as discussed below) that was more than offset by losses attributable to Grupo Finmart, including the non-cash goodwill impairment charge of $73.9 million in the current quarter.</w:t>
      </w:r>
    </w:p>
    <w:p>
      <w:pPr>
        <w:spacing w:after="0" w:line="132"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for the six months ended March 31, 2016 was $400.4 million, 4% lower, with net revenue of $225.3 million, a 2% decrease. On a constant currency basis, total revenue was $415.5 million, 1% lower, and net revenue was flat at $231.7 million.</w:t>
      </w:r>
    </w:p>
    <w:p>
      <w:pPr>
        <w:spacing w:after="0" w:line="116" w:lineRule="exact"/>
        <w:rPr>
          <w:rFonts w:ascii="Arial" w:cs="Arial" w:eastAsia="Arial" w:hAnsi="Arial"/>
          <w:sz w:val="18"/>
          <w:szCs w:val="18"/>
          <w:color w:val="auto"/>
        </w:rPr>
      </w:pPr>
    </w:p>
    <w:p>
      <w:pPr>
        <w:ind w:left="660" w:right="32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Operating expenses for the six months ended March 31, 2016 increased 8% (13% on a constant currency basis), primarily due to continued investment in store labor costs to improve employee and customer satisfaction, as well as costs from new stores, restatement expenses, increased accrued incentive compensation and investment in strengthening the Grupo Finmart management team.</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Annualized return on pawn earning assets</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increased to 152% from 147%.</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Three-Months Ended March 31, 2016</w:t>
      </w:r>
    </w:p>
    <w:p>
      <w:pPr>
        <w:spacing w:after="0" w:line="171" w:lineRule="exact"/>
        <w:rPr>
          <w:sz w:val="20"/>
          <w:szCs w:val="20"/>
          <w:color w:val="auto"/>
        </w:rPr>
      </w:pPr>
    </w:p>
    <w:p>
      <w:pPr>
        <w:ind w:left="660" w:right="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Focus on the customer experience drove pawn lending momentum, resulting in an increase in PLO of 9% in total and 7% on a same store basis. The pawn loan redemption rate for the quarter was 85%, unchanged from the prior-year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PSC increased 8% in total, 6% on a same store basis, as a result of strong PLO growth. Annualized yield on PLO decreased to 168% from 169%.</w:t>
      </w:r>
    </w:p>
    <w:p>
      <w:pPr>
        <w:spacing w:after="0" w:line="194" w:lineRule="exact"/>
        <w:rPr>
          <w:rFonts w:ascii="Arial" w:cs="Arial" w:eastAsia="Arial" w:hAnsi="Arial"/>
          <w:sz w:val="16"/>
          <w:szCs w:val="16"/>
          <w:color w:val="auto"/>
        </w:rPr>
      </w:pPr>
    </w:p>
    <w:p>
      <w:pPr>
        <w:ind w:left="660" w:right="5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Merchandise sales gross margin improved to 39% from 34% attributable to discipline in pricing cadences and healthy loan valuations, driving merchandise sales gross profit growth.</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 growth of 8% led to a 15% improvement in segment contribution. Operations expenses increased 6% as we continue to invest in labor costs to improve employee and customer satisfaction.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Aged inventory reduced to 10% of total inventory from 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Six-Months Ended March 31, 2016</w:t>
      </w:r>
    </w:p>
    <w:p>
      <w:pPr>
        <w:spacing w:after="0" w:line="171" w:lineRule="exact"/>
        <w:rPr>
          <w:sz w:val="20"/>
          <w:szCs w:val="20"/>
          <w:color w:val="auto"/>
        </w:rPr>
      </w:pPr>
    </w:p>
    <w:p>
      <w:pPr>
        <w:ind w:left="660" w:right="14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Same store PLO growth has continued to strengthen from a 6% decline in the September 2015 quarter, to a 0.5% increase as of the December 2015 quarter, to a 7% increase in the March 2016 quarter, generating same store PSC growth of 3% in the six-month period ended March 31, 2016.</w:t>
      </w:r>
    </w:p>
    <w:p>
      <w:pPr>
        <w:spacing w:after="0" w:line="313" w:lineRule="exact"/>
        <w:rPr>
          <w:sz w:val="20"/>
          <w:szCs w:val="20"/>
          <w:color w:val="auto"/>
        </w:rPr>
      </w:pPr>
    </w:p>
    <w:p>
      <w:pPr>
        <w:jc w:val="both"/>
        <w:ind w:right="100" w:firstLine="8"/>
        <w:spacing w:after="0" w:line="250" w:lineRule="auto"/>
        <w:tabs>
          <w:tab w:leader="none" w:pos="94" w:val="left"/>
        </w:tabs>
        <w:numPr>
          <w:ilvl w:val="0"/>
          <w:numId w:val="9"/>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In addition to the financial information prepared in conformity with U.S. generally accepted accounting principles (“GAAP”), we provide certain financial information on a “constant currency” basis, which excludes the impact of foreign currency exchange rate fluctuations. For additional information about the constant currency calculations, as well as a reconciliation of the constant currency financial measures to the comparable GAAP financial measures, see “Non-GAAP Financial Information” at the end of this release.</w:t>
      </w:r>
    </w:p>
    <w:p>
      <w:pPr>
        <w:spacing w:after="0" w:line="140" w:lineRule="exact"/>
        <w:rPr>
          <w:sz w:val="20"/>
          <w:szCs w:val="20"/>
          <w:color w:val="auto"/>
        </w:rPr>
      </w:pPr>
    </w:p>
    <w:p>
      <w:pPr>
        <w:ind w:right="40"/>
        <w:spacing w:after="0" w:line="216" w:lineRule="auto"/>
        <w:rPr>
          <w:sz w:val="20"/>
          <w:szCs w:val="20"/>
          <w:color w:val="auto"/>
        </w:rPr>
      </w:pPr>
      <w:r>
        <w:rPr>
          <w:rFonts w:ascii="Arial" w:cs="Arial" w:eastAsia="Arial" w:hAnsi="Arial"/>
          <w:sz w:val="25"/>
          <w:szCs w:val="25"/>
          <w:i w:val="1"/>
          <w:iCs w:val="1"/>
          <w:color w:val="auto"/>
          <w:vertAlign w:val="superscript"/>
        </w:rPr>
        <w:t>2</w:t>
      </w:r>
      <w:r>
        <w:rPr>
          <w:rFonts w:ascii="Arial" w:cs="Arial" w:eastAsia="Arial" w:hAnsi="Arial"/>
          <w:sz w:val="18"/>
          <w:szCs w:val="18"/>
          <w:i w:val="1"/>
          <w:iCs w:val="1"/>
          <w:color w:val="auto"/>
        </w:rPr>
        <w:t>Annualized return on pawn earning assets is equal to the annualized merchandise and scrap sales gross profit and pawn service charges, divided by average pawn loans and inventory balances outstanding.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2</w:t>
      </w:r>
    </w:p>
    <w:p>
      <w:pPr>
        <w:sectPr>
          <w:pgSz w:w="11900" w:h="16838" w:orient="portrait"/>
          <w:cols w:equalWidth="0" w:num="1">
            <w:col w:w="11400"/>
          </w:cols>
          <w:pgMar w:left="240" w:top="746" w:right="259" w:bottom="1440" w:gutter="0" w:footer="0" w:header="0"/>
        </w:sectPr>
      </w:pPr>
    </w:p>
    <w:bookmarkStart w:id="6" w:name="page7"/>
    <w:bookmarkEnd w:id="6"/>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Annualized PLO yield and pawn loan redemption rate are both unchanged from the prior-year period at 166% and 84%, respectively.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Merchandise sales gross margin increased to 39% from 34%, resulting in an 18% increase in merchandise sales gross profit.</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revenue was up 7%, driving a 7% increase in segment contribution. Store operations expenses increased 6%, primarily due to higher labor costs to drive customer and employee satisfaction, including store team member incentive programs.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 Pawn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Three-Months Ended March 31, 2016</w:t>
      </w:r>
    </w:p>
    <w:p>
      <w:pPr>
        <w:spacing w:after="0" w:line="171" w:lineRule="exact"/>
        <w:rPr>
          <w:sz w:val="20"/>
          <w:szCs w:val="20"/>
          <w:color w:val="auto"/>
        </w:rPr>
      </w:pPr>
    </w:p>
    <w:p>
      <w:pPr>
        <w:ind w:left="660" w:right="1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Focus on improving the customer experience along with operational execution refinements led to a 26% increase in total and a 28% increase in same-store PLO on a constant currency basis (up 11% in total and 13% in same-stores on a GAAP basis). This represents the seventh consecutive quarter with double-digit same store PLO growth on a constant currency basis. The redemption rate on pawn loans decreased slightly to 78% from 79%.</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Same store PSC grew 27% on a constant currency basis (up 5% on a GAAP basis). Annualized PLO yield was a strong 197% compared to 203%.</w:t>
      </w:r>
    </w:p>
    <w:p>
      <w:pPr>
        <w:spacing w:after="0" w:line="194" w:lineRule="exact"/>
        <w:rPr>
          <w:rFonts w:ascii="Arial" w:cs="Arial" w:eastAsia="Arial" w:hAnsi="Arial"/>
          <w:sz w:val="16"/>
          <w:szCs w:val="16"/>
          <w:color w:val="auto"/>
        </w:rPr>
      </w:pPr>
    </w:p>
    <w:p>
      <w:pPr>
        <w:ind w:left="660" w:right="50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Merchandise sales gross margin increased to 31% from 28% as the result of continued improvement in pawn loan valuations and discipline in pricing cadences. Merchandise sales gross profit increased 30% on a constant currency basis (up 7% on a GAAP basis).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revenue increased 25% on a constant currency basis (up 4% on a GAAP basis).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expenses increased 5% on a constant currency basis (decreased 13% on a GAAP basis), driven primarily by investments in labor to drive employee and customer satisfaction and increased advertising expense.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in segment contribution of $2.5 million on a constant currency basis (increase of $2.1 million from nominal loss in the prior-year quarter on a GAAP basis).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Aged inventory ended the quarter at 3% of total inventory compared to 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Six-Months Ended March 31, 2016</w:t>
      </w:r>
    </w:p>
    <w:p>
      <w:pPr>
        <w:spacing w:after="0" w:line="171" w:lineRule="exact"/>
        <w:rPr>
          <w:sz w:val="20"/>
          <w:szCs w:val="20"/>
          <w:color w:val="auto"/>
        </w:rPr>
      </w:pPr>
    </w:p>
    <w:p>
      <w:pPr>
        <w:ind w:left="660" w:right="2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Same store PSC increased 25% on a constant currency basis (up 4% on a GAAP basis). Annualized yield on pawn loans decreased to 195% from 199%. The redemption rate on pawn loans in the first half was unchanged at 78%.</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Merchandise sales gross margin increased to 33% from 30%, driving a merchandise sales gross profit increase of 21% on a constant currency basis (flat on a GAAP basis).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revenue was up 21% on a constant currency basis (flat on a GAAP basis).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Operations expense increased 17% on a constant currency basis (decreased 3% on a GAAP basis) driven primarily by investments in labor to drive employee and customer satisfaction and increased advertising expense.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segment contribution of $2.4 million on a constant currency basis ($1.6 million on a GAAP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Grupo Finmart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w:t>
      </w:r>
    </w:p>
    <w:p>
      <w:pPr>
        <w:spacing w:after="0" w:line="171" w:lineRule="exact"/>
        <w:rPr>
          <w:sz w:val="20"/>
          <w:szCs w:val="20"/>
          <w:color w:val="auto"/>
        </w:rPr>
      </w:pPr>
    </w:p>
    <w:p>
      <w:pPr>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Segment loss of $82.9 million on a constant currency basis ($81.2 million on a GAAP basis) compared to a segment loss of $2.6 million on a GAAP basis. The increase in the segment loss was due primarily to a non-cash goodwill impairment charge of $73.9 million, in addition to increased bad debt expenses driven predominately by delays in payment timing. A valuation of Grupo Finmart of $46.5 million was determined as part of the goodwill valuation process.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3</w:t>
      </w:r>
    </w:p>
    <w:p>
      <w:pPr>
        <w:sectPr>
          <w:pgSz w:w="11900" w:h="16838" w:orient="portrait"/>
          <w:cols w:equalWidth="0" w:num="1">
            <w:col w:w="11360"/>
          </w:cols>
          <w:pgMar w:left="240" w:top="746" w:right="299" w:bottom="1440" w:gutter="0" w:footer="0" w:header="0"/>
        </w:sectPr>
      </w:pPr>
    </w:p>
    <w:bookmarkStart w:id="7" w:name="page8"/>
    <w:bookmarkEnd w:id="7"/>
    <w:p>
      <w:pPr>
        <w:ind w:left="660" w:right="4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quarter, operational initiatives yielded performance improvements. Comparison of current quarter to immediately preceding quarter showed:</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Loan collections up 33%, including accelerated receipts on previously reserved loans more than doubling.</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Cost reduction program delivering cash SG&amp;A savings.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Originations focused on higher quality, better performing government agencies.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Operations expenses increased 36% on a constant currency basis (13% increase on a GAAP basis) primarily attributed to investment in strengthening the management team and an increase in deferred commissions.</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EZCORP provided $6 million of funding to Grupo Finmart in the quarter, including $2 million for working capital requirements and $4 million to repay Grupo Finmart maturing debt.</w:t>
      </w:r>
    </w:p>
    <w:p>
      <w:pPr>
        <w:spacing w:after="0" w:line="116"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light of the changing industry dynamics and business environment, a strategic review of Grupo Finmart was announced in February 2016 with a view toward maximizing long-term shareholder value. That strategic review was completed in April 2016, with sale of the business identified as the preferred alternative.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March 31, 2016</w:t>
      </w:r>
    </w:p>
    <w:p>
      <w:pPr>
        <w:spacing w:after="0" w:line="171" w:lineRule="exact"/>
        <w:rPr>
          <w:sz w:val="20"/>
          <w:szCs w:val="20"/>
          <w:color w:val="auto"/>
        </w:rPr>
      </w:pPr>
    </w:p>
    <w:p>
      <w:pPr>
        <w:ind w:left="660" w:right="42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Segment loss of $102.4 million on a constant currency basis ($98.1 million on a GAAP basis) compared to a segment loss of $10.8 million on a GAAP basis in the prior year. The increase in the segment loss was primarily attributable to the goodwill impairment charge in addition to an increase in bad debt expense.</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bad debt expense was offset by $10.2 million received in collections in the current six months on loans that were fully reserved.</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Operations expense increased 38% on a constant currency basis (14% increase on a GAAP basis) primarily attributed to investment in strengthening management team and increase in deferred commissions.</w:t>
      </w:r>
    </w:p>
    <w:p>
      <w:pPr>
        <w:spacing w:after="0" w:line="6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EZCORP provided $17 million of funding to Grupo Finmart in the current six-month period, including $5 million for working capital requirements and $12 million to repay Grupo Finmart maturing debt.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EZCORP will host a conference call on Tuesday, May 10, 2016, at 7:30am Central Time to discuss second quarter results. Analysts and institutional investors may participate on the conference call by dialing (888) 734-0328, Conference ID: 8428284, International dialing (678) 894-3054. The conference call will be webcast simultaneously to the public through this link: http://investors.ezcorp.com/. A replay of the conference call will be available online at </w:t>
      </w:r>
      <w:r>
        <w:rPr>
          <w:rFonts w:ascii="Arial" w:cs="Arial" w:eastAsia="Arial" w:hAnsi="Arial"/>
          <w:sz w:val="18"/>
          <w:szCs w:val="18"/>
          <w:u w:val="single" w:color="auto"/>
          <w:color w:val="0000FF"/>
        </w:rPr>
        <w:t>http://investors.ezcorp.com/</w:t>
      </w:r>
      <w:r>
        <w:rPr>
          <w:rFonts w:ascii="Arial" w:cs="Arial" w:eastAsia="Arial" w:hAnsi="Arial"/>
          <w:sz w:val="18"/>
          <w:szCs w:val="18"/>
          <w:color w:val="0000FF"/>
        </w:rPr>
        <w:t xml:space="preserve"> </w:t>
      </w:r>
      <w:r>
        <w:rPr>
          <w:rFonts w:ascii="Arial" w:cs="Arial" w:eastAsia="Arial" w:hAnsi="Arial"/>
          <w:sz w:val="18"/>
          <w:szCs w:val="18"/>
          <w:color w:val="000000"/>
        </w:rPr>
        <w:t>shortly after the call.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EZCORP is a leading provider of pawn loans in the United States and Mexico and consumer loans in Mexico. At our pawn stores, we also sell merchandise, primarily collateral forfeited from pawn lending operations and used merchandise purchased from customers.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4</w:t>
      </w:r>
    </w:p>
    <w:p>
      <w:pPr>
        <w:sectPr>
          <w:pgSz w:w="11900" w:h="16838" w:orient="portrait"/>
          <w:cols w:equalWidth="0" w:num="1">
            <w:col w:w="11420"/>
          </w:cols>
          <w:pgMar w:left="240" w:top="368" w:right="23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Commission. The company undertakes no obligation to update or revise forward-looking statements to reflect changed assumptions, the occurrence of unanticipated events or changes to future operating results over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Christensen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jeff_christensen@ezcorp.com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437-3545</w:t>
      </w:r>
    </w:p>
    <w:p>
      <w:pPr>
        <w:spacing w:after="0" w:line="200" w:lineRule="exact"/>
        <w:rPr>
          <w:sz w:val="20"/>
          <w:szCs w:val="20"/>
          <w:color w:val="auto"/>
        </w:rPr>
      </w:pP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5</w:t>
      </w:r>
    </w:p>
    <w:p>
      <w:pPr>
        <w:sectPr>
          <w:pgSz w:w="11900" w:h="16838" w:orient="portrait"/>
          <w:cols w:equalWidth="0" w:num="1">
            <w:col w:w="10840"/>
          </w:cols>
          <w:pgMar w:left="240" w:top="746" w:right="81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c>
          <w:tcPr>
            <w:tcW w:w="226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w w:val="97"/>
              </w:rPr>
              <w:t>Six Months Ended March 31,</w:t>
            </w:r>
          </w:p>
        </w:tc>
      </w:tr>
      <w:tr>
        <w:trPr>
          <w:trHeight w:val="264"/>
        </w:trPr>
        <w:tc>
          <w:tcPr>
            <w:tcW w:w="59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r>
      <w:tr>
        <w:trPr>
          <w:trHeight w:val="379"/>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109,343</w:t>
            </w:r>
          </w:p>
        </w:tc>
        <w:tc>
          <w:tcPr>
            <w:tcW w:w="12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107,852</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217,927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217,491</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36,933</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64,130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59,470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130,724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124,397</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37,515</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1,565</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201,899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205,175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400,353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417,901</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68,332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72,492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134,591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144,970</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29,029</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8,683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21,286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13,276</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113,799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113,568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225,315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230,626</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80,282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165,888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157,277</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15,621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14,800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35,604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27,352</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16,103</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Loss on sale or disposal of assets</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643</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r>
      <w:tr>
        <w:trPr>
          <w:trHeight w:val="217"/>
        </w:trPr>
        <w:tc>
          <w:tcPr>
            <w:tcW w:w="596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103,852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101,176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219,225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202,101</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9,947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28,525</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8,449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11,296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17,641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23,330</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Equity in net (income) loss of unconsolidated affiliate</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1,484</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of goodwill</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73,921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2,621</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continuing operations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(70,508)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(82,232)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2,133</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6,189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3,626</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net of tax</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(76,697)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(84,725)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(1,493)</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(Loss) income from discontinued operations, net of tax</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11,608</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(77,791)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10,115</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Net loss from continuing operations attributable to noncontrolling interest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(2,840)</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EZCORP,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12,955</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5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(loss) earnings per share attributable to EZCORP, Inc.:</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0.02</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r>
      <w:tr>
        <w:trPr>
          <w:trHeight w:val="284"/>
        </w:trPr>
        <w:tc>
          <w:tcPr>
            <w:tcW w:w="59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 (loss) earnings per share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0.24</w:t>
            </w:r>
          </w:p>
        </w:tc>
      </w:tr>
      <w:tr>
        <w:trPr>
          <w:trHeight w:val="109"/>
        </w:trPr>
        <w:tc>
          <w:tcPr>
            <w:tcW w:w="59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Diluted (loss) earnings per share attributable to EZCORP, Inc.:</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Continuing operations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Discontinued operations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0.22</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 (loss) earnings per share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5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54,843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54,184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54,869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53,915</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53,972</w:t>
            </w:r>
          </w:p>
        </w:tc>
      </w:tr>
      <w:tr>
        <w:trPr>
          <w:trHeight w:val="122"/>
        </w:trPr>
        <w:tc>
          <w:tcPr>
            <w:tcW w:w="5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from continuing operations attributable to EZCORP, Inc.</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1,347</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Net (loss) income from discontinued operations attributable to EZCORP, Inc.</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11,608</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income attributable to EZCORP,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12,955</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74" w:right="239" w:bottom="665"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6</w:t>
      </w:r>
    </w:p>
    <w:p>
      <w:pPr>
        <w:sectPr>
          <w:pgSz w:w="11900" w:h="16838" w:orient="portrait"/>
          <w:cols w:equalWidth="0" w:num="1">
            <w:col w:w="11420"/>
          </w:cols>
          <w:pgMar w:left="240" w:top="774" w:right="239" w:bottom="665"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00" w:type="dxa"/>
            <w:vAlign w:val="bottom"/>
          </w:tcPr>
          <w:p>
            <w:pPr>
              <w:jc w:val="right"/>
              <w:ind w:right="119"/>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7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r>
      <w:tr>
        <w:trPr>
          <w:trHeight w:val="385"/>
        </w:trPr>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5"/>
          </w:tcPr>
          <w:p>
            <w:pPr>
              <w:ind w:left="66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75,336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138,173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59,124</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13,817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47,909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15,137</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loans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127,929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159,964</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Consumer loans, net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26,362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55,529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36,533</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service charges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30,852</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Consumer loan fees and interest receivable, net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13,226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13,063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19,802</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126,446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116,144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124,084</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52,234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45,175</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32,505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21,076</w:t>
            </w: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456,070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608,273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511,747</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56,677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94,510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56,182</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64,962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102,252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75,594</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cash,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2,883</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254,782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344,931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327,460</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40,197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41,263</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Non-current consumer loans, net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62,673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79,860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75,824</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tax asset,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69,121</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Other assets, net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19,655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60,041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42,985</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1,034,449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1,377,634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1,203,059</w:t>
            </w: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temporary equity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82,174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74,345</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Current capital lease obligations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other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85,836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89,711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107,871</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6,230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15,384</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Customer layaway deposits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10,470</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6,632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188,607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177,989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208,070</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Long-term debt, less current maturities, net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252,808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344,960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297,166</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gains and 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6,157</w:t>
            </w: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444,166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530,622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511,393</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Temporary equity:</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7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1"/>
              </w:rPr>
              <w:t>Class A Non-voting Common Stock, subject to possible redemption at $10.06 per share; none as of March 31,</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3"/>
        </w:trPr>
        <w:tc>
          <w:tcPr>
            <w:tcW w:w="7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1"/>
              </w:rPr>
              <w:t>2016 and 1,168,456 shares issued and outstanding at redemption value as of March 31, 2015 and September</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30, 2015</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11,696</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Redeemable noncontrolling interest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16,827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3,235</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temporary equity</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14,931</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7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2"/>
              </w:rPr>
              <w:t>Class A Non-voting Common Stock, par value $.01 per share; shares authorized: 100 million as of March 31,</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3"/>
        </w:trPr>
        <w:tc>
          <w:tcPr>
            <w:tcW w:w="76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2016 and 2015 and September 30, 2015; issued and outstanding: 50,989,430 as of March 31, 2016;</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50,681,477 as of March 31, 2015; and 50,726,289 as of September 30, 2015</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w:t>
            </w:r>
          </w:p>
        </w:tc>
      </w:tr>
      <w:tr>
        <w:trPr>
          <w:trHeight w:val="220"/>
        </w:trPr>
        <w:tc>
          <w:tcPr>
            <w:tcW w:w="7660" w:type="dxa"/>
            <w:vAlign w:val="bottom"/>
          </w:tcPr>
          <w:p>
            <w:pPr>
              <w:ind w:left="500"/>
              <w:spacing w:after="0"/>
              <w:rPr>
                <w:sz w:val="20"/>
                <w:szCs w:val="20"/>
                <w:color w:val="auto"/>
              </w:rPr>
            </w:pPr>
            <w:r>
              <w:rPr>
                <w:rFonts w:ascii="Arial" w:cs="Arial" w:eastAsia="Arial" w:hAnsi="Arial"/>
                <w:sz w:val="16"/>
                <w:szCs w:val="16"/>
                <w:color w:val="auto"/>
                <w:w w:val="92"/>
              </w:rPr>
              <w:t>Class B Voting Common Stock, convertible, par value $.01 per share; 3 million shares authorized; issued and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7660" w:type="dxa"/>
            <w:vAlign w:val="bottom"/>
          </w:tcPr>
          <w:p>
            <w:pPr>
              <w:ind w:left="500"/>
              <w:spacing w:after="0"/>
              <w:rPr>
                <w:sz w:val="20"/>
                <w:szCs w:val="20"/>
                <w:color w:val="auto"/>
              </w:rPr>
            </w:pPr>
            <w:r>
              <w:rPr>
                <w:rFonts w:ascii="Arial" w:cs="Arial" w:eastAsia="Arial" w:hAnsi="Arial"/>
                <w:sz w:val="16"/>
                <w:szCs w:val="16"/>
                <w:color w:val="auto"/>
              </w:rPr>
              <w:t>outstanding: 2,970,171</w:t>
            </w:r>
          </w:p>
        </w:tc>
        <w:tc>
          <w:tcPr>
            <w:tcW w:w="18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312,569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329,973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307,080</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341,538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522,541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423,137</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(54,019)</w:t>
            </w: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EZCORP, Inc. stockholders’ equity</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591,842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818,489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676,735</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equity</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591,512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818,489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676,735</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temporary equity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1,034,449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1,377,634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1,203,059</w:t>
            </w: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74" w:right="239" w:bottom="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i w:val="1"/>
          <w:iCs w:val="1"/>
          <w:color w:val="auto"/>
        </w:rPr>
        <w:t>7</w:t>
      </w:r>
    </w:p>
    <w:p>
      <w:pPr>
        <w:sectPr>
          <w:pgSz w:w="11900" w:h="16838" w:orient="portrait"/>
          <w:cols w:equalWidth="0" w:num="1">
            <w:col w:w="9019"/>
          </w:cols>
          <w:pgMar w:left="1440" w:top="368"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239"/>
              <w:spacing w:after="0"/>
              <w:rPr>
                <w:sz w:val="20"/>
                <w:szCs w:val="20"/>
                <w:color w:val="auto"/>
              </w:rPr>
            </w:pPr>
            <w:r>
              <w:rPr>
                <w:rFonts w:ascii="Arial" w:cs="Arial" w:eastAsia="Arial" w:hAnsi="Arial"/>
                <w:sz w:val="14"/>
                <w:szCs w:val="14"/>
                <w:b w:val="1"/>
                <w:bCs w:val="1"/>
                <w:color w:val="auto"/>
                <w:w w:val="94"/>
              </w:rPr>
              <w:t>Six Months Ended March 31,</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r>
      <w:tr>
        <w:trPr>
          <w:trHeight w:val="379"/>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center"/>
              <w:ind w:left="520"/>
              <w:spacing w:after="0"/>
              <w:rPr>
                <w:sz w:val="20"/>
                <w:szCs w:val="20"/>
                <w:color w:val="auto"/>
              </w:rPr>
            </w:pPr>
            <w:r>
              <w:rPr>
                <w:rFonts w:ascii="Arial" w:cs="Arial" w:eastAsia="Arial" w:hAnsi="Arial"/>
                <w:sz w:val="14"/>
                <w:szCs w:val="14"/>
                <w:b w:val="1"/>
                <w:bCs w:val="1"/>
                <w:color w:val="auto"/>
                <w:w w:val="95"/>
              </w:rPr>
              <w:t>(Unaudited)</w:t>
            </w:r>
          </w:p>
        </w:tc>
        <w:tc>
          <w:tcPr>
            <w:tcW w:w="900" w:type="dxa"/>
            <w:vAlign w:val="bottom"/>
          </w:tcPr>
          <w:p>
            <w:pPr>
              <w:spacing w:after="0"/>
              <w:rPr>
                <w:sz w:val="24"/>
                <w:szCs w:val="24"/>
                <w:color w:val="auto"/>
              </w:rPr>
            </w:pPr>
          </w:p>
        </w:tc>
      </w:tr>
      <w:tr>
        <w:trPr>
          <w:trHeight w:val="209"/>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center"/>
              <w:ind w:left="520"/>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8"/>
                <w:szCs w:val="18"/>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(loss)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(86,057)</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10,115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15,141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18,097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discount and consumer loan premium,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4,229</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Consumer loan loss provision</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18,662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14,023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(5,536)</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Impairment of goodwill</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73,921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2,625</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Amortization of prepaid commissions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7,754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6,200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Loss on sale or disposal of assets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950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compensation expense (benefit)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(Income) loss from investment in unconsolidated affiliate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(3,932)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1,484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10,140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2,542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2,499</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(5,935)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(16,949)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other accrued expenses, deferred gains and other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(5,925)</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1,947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(835)</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51,250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4,427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(2,962)</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Dividends from unconsolidated affiliate</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2,407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55,739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37,790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made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(323,980)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(417,014)</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Loans repaid</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225,138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334,888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121,830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138,885</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Additions to property and equipment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(2,976)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(15,934)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(12,140)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assets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Net cash provided by investing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14,038</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23,935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Payout of deferred consideration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 of redeemable common stock issued due to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settlement of forward currency contracts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3,557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2,313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11,476</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bank borrowings, net of debt issuance costs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14,302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69,384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bank borrowings and capital lease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(47,698)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(51,677)</w:t>
            </w: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(49,945)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25,496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(4,373)</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16,212</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82,848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59,124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55,325</w:t>
            </w:r>
          </w:p>
        </w:tc>
      </w:tr>
      <w:tr>
        <w:trPr>
          <w:trHeight w:val="28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75,336</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138,173</w:t>
            </w:r>
          </w:p>
        </w:tc>
      </w:tr>
      <w:tr>
        <w:trPr>
          <w:trHeight w:val="149"/>
        </w:trPr>
        <w:tc>
          <w:tcPr>
            <w:tcW w:w="8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Non-cash investing and financing activities:</w:t>
      </w:r>
    </w:p>
    <w:p>
      <w:pPr>
        <w:sectPr>
          <w:pgSz w:w="11900" w:h="16838" w:orient="portrait"/>
          <w:cols w:equalWidth="0" w:num="1">
            <w:col w:w="11420"/>
          </w:cols>
          <w:pgMar w:left="240" w:top="936" w:right="239" w:bottom="476"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8</w:t>
      </w:r>
    </w:p>
    <w:p>
      <w:pPr>
        <w:sectPr>
          <w:pgSz w:w="11900" w:h="16838" w:orient="portrait"/>
          <w:cols w:equalWidth="0" w:num="1">
            <w:col w:w="11420"/>
          </w:cols>
          <w:pgMar w:left="240" w:top="936" w:right="239" w:bottom="476"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50"/>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Pawn loans forfeited and transferred to inventory</w:t>
            </w:r>
          </w:p>
        </w:tc>
        <w:tc>
          <w:tcPr>
            <w:tcW w:w="20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122,709</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119,028</w:t>
            </w:r>
          </w:p>
        </w:tc>
      </w:tr>
      <w:tr>
        <w:trPr>
          <w:trHeight w:val="237"/>
        </w:trPr>
        <w:tc>
          <w:tcPr>
            <w:tcW w:w="6940" w:type="dxa"/>
            <w:vAlign w:val="bottom"/>
          </w:tcPr>
          <w:p>
            <w:pPr>
              <w:ind w:left="280"/>
              <w:spacing w:after="0"/>
              <w:rPr>
                <w:sz w:val="20"/>
                <w:szCs w:val="20"/>
                <w:color w:val="auto"/>
              </w:rPr>
            </w:pPr>
            <w:r>
              <w:rPr>
                <w:rFonts w:ascii="Arial" w:cs="Arial" w:eastAsia="Arial" w:hAnsi="Arial"/>
                <w:sz w:val="16"/>
                <w:szCs w:val="16"/>
                <w:color w:val="auto"/>
              </w:rPr>
              <w:t>Issuance of common stock, subject to possible redemption, due to acquisition</w:t>
            </w:r>
          </w:p>
        </w:tc>
        <w:tc>
          <w:tcPr>
            <w:tcW w:w="20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11,696</w:t>
            </w:r>
          </w:p>
        </w:tc>
      </w:tr>
      <w:tr>
        <w:trPr>
          <w:trHeight w:val="33"/>
        </w:trPr>
        <w:tc>
          <w:tcPr>
            <w:tcW w:w="6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consideration</w:t>
            </w:r>
          </w:p>
        </w:tc>
        <w:tc>
          <w:tcPr>
            <w:tcW w:w="20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r>
      <w:tr>
        <w:trPr>
          <w:trHeight w:val="33"/>
        </w:trPr>
        <w:tc>
          <w:tcPr>
            <w:tcW w:w="69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9</w:t>
      </w:r>
    </w:p>
    <w:p>
      <w:pPr>
        <w:sectPr>
          <w:pgSz w:w="11900" w:h="16838" w:orient="portrait"/>
          <w:cols w:equalWidth="0" w:num="1">
            <w:col w:w="11420"/>
          </w:cols>
          <w:pgMar w:left="240" w:top="119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OPERATING SEGMENT RESULTS (UNAUDITED)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1600" w:type="dxa"/>
            <w:vAlign w:val="bottom"/>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Percentage Change</w:t>
            </w:r>
          </w:p>
        </w:tc>
      </w:tr>
      <w:tr>
        <w:trPr>
          <w:trHeight w:val="385"/>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56,614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52,317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94,740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92,472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36,499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30,982</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324"/>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11,599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17,391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Jewelry scrapping sales gross profit</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3,928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94,633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87,451</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18"/>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Segment operating expenses: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61,240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57,920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3,042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operating contribution</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30,351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25,924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318"/>
        </w:trPr>
        <w:tc>
          <w:tcPr>
            <w:tcW w:w="6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segment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Segment contribution</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29,675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25,917</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r>
      <w:tr>
        <w:trPr>
          <w:trHeight w:val="67"/>
        </w:trPr>
        <w:tc>
          <w:tcPr>
            <w:tcW w:w="65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305"/>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data:</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231,956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210,728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Inventory turnover — general merchandise (b)</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 — jewelry (b)</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 store (a)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annual yield on pawn loans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-100bps</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Pawn loan redemption rate (c)</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0bps</w:t>
            </w:r>
          </w:p>
        </w:tc>
      </w:tr>
    </w:tbl>
    <w:p>
      <w:pPr>
        <w:spacing w:after="0" w:line="170" w:lineRule="exact"/>
        <w:rPr>
          <w:sz w:val="20"/>
          <w:szCs w:val="20"/>
          <w:color w:val="auto"/>
        </w:rPr>
      </w:pPr>
    </w:p>
    <w:p>
      <w:pPr>
        <w:ind w:left="620" w:hanging="585"/>
        <w:spacing w:after="0"/>
        <w:tabs>
          <w:tab w:leader="none" w:pos="6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620" w:hanging="585"/>
        <w:spacing w:after="0"/>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620" w:hanging="585"/>
        <w:spacing w:after="0"/>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Calculation of inventory turnover excludes the effects of scrapping.</w:t>
      </w:r>
    </w:p>
    <w:p>
      <w:pPr>
        <w:spacing w:after="0" w:line="41" w:lineRule="exact"/>
        <w:rPr>
          <w:rFonts w:ascii="Arial" w:cs="Arial" w:eastAsia="Arial" w:hAnsi="Arial"/>
          <w:sz w:val="14"/>
          <w:szCs w:val="14"/>
          <w:color w:val="auto"/>
        </w:rPr>
      </w:pPr>
    </w:p>
    <w:p>
      <w:pPr>
        <w:ind w:left="620" w:hanging="585"/>
        <w:spacing w:after="0"/>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10</w:t>
      </w:r>
    </w:p>
    <w:p>
      <w:pPr>
        <w:sectPr>
          <w:pgSz w:w="11900" w:h="16838" w:orient="portrait"/>
          <w:cols w:equalWidth="0" w:num="1">
            <w:col w:w="11420"/>
          </w:cols>
          <w:pgMar w:left="240" w:top="58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table presents selected summary financial data from continuing operations for the Mexico Pawn segment, including constant currency results, after translation to U.S. dollars from its functional currency of the Mexican peso. See “Non-GAAP Financial Information”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center"/>
              <w:ind w:left="532"/>
              <w:spacing w:after="0"/>
              <w:rPr>
                <w:sz w:val="20"/>
                <w:szCs w:val="20"/>
                <w:color w:val="auto"/>
              </w:rPr>
            </w:pPr>
            <w:r>
              <w:rPr>
                <w:rFonts w:ascii="Arial" w:cs="Arial" w:eastAsia="Arial" w:hAnsi="Arial"/>
                <w:sz w:val="14"/>
                <w:szCs w:val="14"/>
                <w:b w:val="1"/>
                <w:bCs w:val="1"/>
                <w:color w:val="auto"/>
                <w:w w:val="95"/>
              </w:rPr>
              <w:t>Three Months Ended March 31,</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2016 Constant</w:t>
            </w:r>
          </w:p>
        </w:tc>
        <w:tc>
          <w:tcPr>
            <w:tcW w:w="300" w:type="dxa"/>
            <w:vAlign w:val="bottom"/>
          </w:tcPr>
          <w:p>
            <w:pPr>
              <w:spacing w:after="0"/>
              <w:rPr>
                <w:sz w:val="13"/>
                <w:szCs w:val="13"/>
                <w:color w:val="auto"/>
              </w:rPr>
            </w:pPr>
          </w:p>
        </w:tc>
        <w:tc>
          <w:tcPr>
            <w:tcW w:w="8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 Change GAAP</w:t>
            </w:r>
          </w:p>
        </w:tc>
        <w:tc>
          <w:tcPr>
            <w:tcW w:w="120" w:type="dxa"/>
            <w:vAlign w:val="bottom"/>
            <w:vMerge w:val="restart"/>
          </w:tcPr>
          <w:p>
            <w:pPr>
              <w:spacing w:after="0"/>
              <w:rPr>
                <w:sz w:val="13"/>
                <w:szCs w:val="13"/>
                <w:color w:val="auto"/>
              </w:rPr>
            </w:pPr>
          </w:p>
        </w:tc>
        <w:tc>
          <w:tcPr>
            <w:tcW w:w="176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Currency (a)</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3"/>
              </w:rPr>
              <w:t>(in USD thousands)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7,516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9,080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7,153</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14,603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17,641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14,883</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4,203</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7"/>
        </w:trPr>
        <w:tc>
          <w:tcPr>
            <w:tcW w:w="35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80" w:type="dxa"/>
            <w:vAlign w:val="bottom"/>
          </w:tcPr>
          <w:p>
            <w:pPr>
              <w:ind w:left="500"/>
              <w:spacing w:after="0"/>
              <w:rPr>
                <w:sz w:val="20"/>
                <w:szCs w:val="20"/>
                <w:color w:val="auto"/>
              </w:rPr>
            </w:pPr>
            <w:r>
              <w:rPr>
                <w:rFonts w:ascii="Arial" w:cs="Arial" w:eastAsia="Arial" w:hAnsi="Arial"/>
                <w:sz w:val="18"/>
                <w:szCs w:val="18"/>
                <w:color w:val="auto"/>
                <w:w w:val="94"/>
              </w:rPr>
              <w:t>Gross margin on jewelry scrapping sales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17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12,136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14,662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11,722</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91"/>
        </w:trPr>
        <w:tc>
          <w:tcPr>
            <w:tcW w:w="35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9,024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10,901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10,406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35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Other segment expenses (b)</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w w:val="93"/>
              </w:rPr>
              <w:t>Net earning assets —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34,793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39,600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33,032</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 (e)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3580" w:type="dxa"/>
            <w:vAlign w:val="bottom"/>
          </w:tcPr>
          <w:p>
            <w:pPr>
              <w:ind w:left="280"/>
              <w:spacing w:after="0"/>
              <w:rPr>
                <w:sz w:val="20"/>
                <w:szCs w:val="20"/>
                <w:color w:val="auto"/>
              </w:rPr>
            </w:pPr>
            <w:r>
              <w:rPr>
                <w:rFonts w:ascii="Arial" w:cs="Arial" w:eastAsia="Arial" w:hAnsi="Arial"/>
                <w:sz w:val="18"/>
                <w:szCs w:val="18"/>
                <w:color w:val="auto"/>
                <w:w w:val="93"/>
              </w:rPr>
              <w:t>Average monthly ending pawn loan balance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80"/>
              <w:spacing w:after="0"/>
              <w:rPr>
                <w:sz w:val="20"/>
                <w:szCs w:val="20"/>
                <w:color w:val="auto"/>
              </w:rPr>
            </w:pPr>
            <w:r>
              <w:rPr>
                <w:rFonts w:ascii="Arial" w:cs="Arial" w:eastAsia="Arial" w:hAnsi="Arial"/>
                <w:sz w:val="18"/>
                <w:szCs w:val="18"/>
                <w:color w:val="auto"/>
              </w:rPr>
              <w:t>per store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annual yield on pawn loans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-600bps</w:t>
            </w: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-100bps</w:t>
            </w: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Pawn loan redemption rate (d)</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8"/>
                <w:szCs w:val="18"/>
                <w:color w:val="auto"/>
              </w:rPr>
              <w:t>-100bps</w:t>
            </w: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right="200" w:hanging="345"/>
        <w:spacing w:after="0" w:line="253"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income statement items, the average closing daily exchange rate for the applicable period was used. For balance sheet items, the end of the period rate for the applicable period end was used.</w:t>
      </w:r>
    </w:p>
    <w:p>
      <w:pPr>
        <w:spacing w:after="0" w:line="11" w:lineRule="exact"/>
        <w:rPr>
          <w:rFonts w:ascii="Arial" w:cs="Arial" w:eastAsia="Arial" w:hAnsi="Arial"/>
          <w:sz w:val="14"/>
          <w:szCs w:val="14"/>
          <w:color w:val="auto"/>
        </w:rPr>
      </w:pPr>
    </w:p>
    <w:p>
      <w:pPr>
        <w:ind w:left="380" w:right="460" w:hanging="345"/>
        <w:spacing w:after="0" w:line="253"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three-months ended March 31, 2016 constant currency balance excludes $0.1 million of net foreign currency transaction gains resulting from movement in exchange rates. The net foreign currency transaction losses for the three-months ended March 31, 2015 were $0.3 million and are not excluded from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Calculation of inventory turnover excludes the effects of scrapping.</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11</w:t>
      </w:r>
    </w:p>
    <w:p>
      <w:pPr>
        <w:sectPr>
          <w:pgSz w:w="11900" w:h="16838" w:orient="portrait"/>
          <w:cols w:equalWidth="0" w:num="1">
            <w:col w:w="11420"/>
          </w:cols>
          <w:pgMar w:left="240" w:top="74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Grupo Finmart</w:t>
      </w:r>
    </w:p>
    <w:p>
      <w:pPr>
        <w:spacing w:after="0" w:line="17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table below presents selected summary financial data from continuing operations for the Grupo Finmart segment, including constant currency results, after translation to U.S. dollars from its functional currency of the Mexican peso. See “Non-GAAP Financial Information”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5"/>
              </w:rPr>
              <w:t>Three Months Ended March 31,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2016 Constant</w:t>
            </w:r>
          </w:p>
        </w:tc>
        <w:tc>
          <w:tcPr>
            <w:tcW w:w="300" w:type="dxa"/>
            <w:vAlign w:val="bottom"/>
          </w:tcPr>
          <w:p>
            <w:pPr>
              <w:spacing w:after="0"/>
              <w:rPr>
                <w:sz w:val="13"/>
                <w:szCs w:val="13"/>
                <w:color w:val="auto"/>
              </w:rPr>
            </w:pPr>
          </w:p>
        </w:tc>
        <w:tc>
          <w:tcPr>
            <w:tcW w:w="9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 Change GAAP</w:t>
            </w:r>
          </w:p>
        </w:tc>
        <w:tc>
          <w:tcPr>
            <w:tcW w:w="120" w:type="dxa"/>
            <w:vAlign w:val="bottom"/>
            <w:vMerge w:val="restart"/>
          </w:tcPr>
          <w:p>
            <w:pPr>
              <w:spacing w:after="0"/>
              <w:rPr>
                <w:sz w:val="13"/>
                <w:szCs w:val="13"/>
                <w:color w:val="auto"/>
              </w:rPr>
            </w:pPr>
          </w:p>
        </w:tc>
        <w:tc>
          <w:tcPr>
            <w:tcW w:w="176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Currency (a)</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13,589</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16,416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16,391</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13,687</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16,534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16,440</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9,969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4,110</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5,435</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6,565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12,330</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9,696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7,109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 (e)</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73,921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5,434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6,376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Other (income) expense (b)</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1"/>
                <w:szCs w:val="21"/>
                <w:color w:val="auto"/>
              </w:rPr>
            </w:pPr>
          </w:p>
        </w:tc>
        <w:tc>
          <w:tcPr>
            <w:tcW w:w="17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Segment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(81,242)</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(82,916)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(2,630)</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w w:val="93"/>
              </w:rPr>
              <w:t>Net earning assets —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86,771</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98,759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116,857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originations (c)</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6,462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20,061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3560" w:type="dxa"/>
            <w:vAlign w:val="bottom"/>
          </w:tcPr>
          <w:p>
            <w:pPr>
              <w:ind w:left="280"/>
              <w:spacing w:after="0"/>
              <w:rPr>
                <w:sz w:val="20"/>
                <w:szCs w:val="20"/>
                <w:color w:val="auto"/>
              </w:rPr>
            </w:pPr>
            <w:r>
              <w:rPr>
                <w:rFonts w:ascii="Arial" w:cs="Arial" w:eastAsia="Arial" w:hAnsi="Arial"/>
                <w:sz w:val="18"/>
                <w:szCs w:val="18"/>
                <w:color w:val="auto"/>
                <w:w w:val="92"/>
              </w:rPr>
              <w:t>Consumer loan bad debt as a percentage of</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80"/>
              <w:spacing w:after="0"/>
              <w:rPr>
                <w:sz w:val="20"/>
                <w:szCs w:val="20"/>
                <w:color w:val="auto"/>
              </w:rPr>
            </w:pPr>
            <w:r>
              <w:rPr>
                <w:rFonts w:ascii="Arial" w:cs="Arial" w:eastAsia="Arial" w:hAnsi="Arial"/>
                <w:sz w:val="18"/>
                <w:szCs w:val="18"/>
                <w:color w:val="auto"/>
                <w:w w:val="98"/>
              </w:rPr>
              <w:t>gross average consumer loan balance (d)</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7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465"/>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96" w:lineRule="exact"/>
        <w:rPr>
          <w:sz w:val="20"/>
          <w:szCs w:val="20"/>
          <w:color w:val="auto"/>
        </w:rPr>
      </w:pPr>
    </w:p>
    <w:p>
      <w:pPr>
        <w:ind w:left="500" w:right="100" w:hanging="465"/>
        <w:spacing w:after="0" w:line="181" w:lineRule="auto"/>
        <w:tabs>
          <w:tab w:leader="none" w:pos="500" w:val="left"/>
        </w:tabs>
        <w:numPr>
          <w:ilvl w:val="0"/>
          <w:numId w:val="21"/>
        </w:numPr>
        <w:rPr>
          <w:rFonts w:ascii="Arial" w:cs="Arial" w:eastAsia="Arial" w:hAnsi="Arial"/>
          <w:sz w:val="25"/>
          <w:szCs w:val="25"/>
          <w:color w:val="auto"/>
          <w:vertAlign w:val="superscript"/>
        </w:rPr>
      </w:pPr>
      <w:r>
        <w:rPr>
          <w:rFonts w:ascii="Arial" w:cs="Arial" w:eastAsia="Arial" w:hAnsi="Arial"/>
          <w:sz w:val="13"/>
          <w:szCs w:val="13"/>
          <w:color w:val="auto"/>
        </w:rPr>
        <w:t>For income statement items, the average closing daily exchange rate for the applicable period was used. For balance sheet items, the end of the period rate for the applicable period end was used.</w:t>
      </w:r>
    </w:p>
    <w:p>
      <w:pPr>
        <w:spacing w:after="0" w:line="21" w:lineRule="exact"/>
        <w:rPr>
          <w:rFonts w:ascii="Arial" w:cs="Arial" w:eastAsia="Arial" w:hAnsi="Arial"/>
          <w:sz w:val="25"/>
          <w:szCs w:val="25"/>
          <w:color w:val="auto"/>
          <w:vertAlign w:val="superscript"/>
        </w:rPr>
      </w:pPr>
    </w:p>
    <w:p>
      <w:pPr>
        <w:ind w:left="500" w:right="260" w:hanging="465"/>
        <w:spacing w:after="0" w:line="253" w:lineRule="auto"/>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three-months ended March 31, 2016 constant currency balance excludes a $0.1 million of net foreign currency transaction gains resulting from movement in exchange rates. The net foreign currency transaction losses for the three-months ended March 31, 2015 were $1.3 million and are not excluded from the above results.</w:t>
      </w:r>
    </w:p>
    <w:p>
      <w:pPr>
        <w:ind w:left="500" w:hanging="465"/>
        <w:spacing w:after="0" w:line="184" w:lineRule="auto"/>
        <w:tabs>
          <w:tab w:leader="none" w:pos="500" w:val="left"/>
        </w:tabs>
        <w:numPr>
          <w:ilvl w:val="0"/>
          <w:numId w:val="21"/>
        </w:numPr>
        <w:rPr>
          <w:rFonts w:ascii="Arial" w:cs="Arial" w:eastAsia="Arial" w:hAnsi="Arial"/>
          <w:sz w:val="29"/>
          <w:szCs w:val="29"/>
          <w:color w:val="auto"/>
          <w:vertAlign w:val="superscript"/>
        </w:rPr>
      </w:pPr>
      <w:r>
        <w:rPr>
          <w:rFonts w:ascii="Arial" w:cs="Arial" w:eastAsia="Arial" w:hAnsi="Arial"/>
          <w:sz w:val="14"/>
          <w:szCs w:val="14"/>
          <w:color w:val="auto"/>
        </w:rPr>
        <w:t>Constant currency result is calculated as the average monthly consumer loan origination balance translated at the average closing daily exchange rate for the applicable period.</w:t>
      </w:r>
    </w:p>
    <w:p>
      <w:pPr>
        <w:spacing w:after="0" w:line="87" w:lineRule="exact"/>
        <w:rPr>
          <w:rFonts w:ascii="Arial" w:cs="Arial" w:eastAsia="Arial" w:hAnsi="Arial"/>
          <w:sz w:val="29"/>
          <w:szCs w:val="29"/>
          <w:color w:val="auto"/>
          <w:vertAlign w:val="superscript"/>
        </w:rPr>
      </w:pPr>
    </w:p>
    <w:p>
      <w:pPr>
        <w:ind w:left="500" w:right="320" w:hanging="465"/>
        <w:spacing w:after="0" w:line="190" w:lineRule="auto"/>
        <w:tabs>
          <w:tab w:leader="none" w:pos="500" w:val="left"/>
        </w:tabs>
        <w:numPr>
          <w:ilvl w:val="0"/>
          <w:numId w:val="21"/>
        </w:numPr>
        <w:rPr>
          <w:rFonts w:ascii="Arial" w:cs="Arial" w:eastAsia="Arial" w:hAnsi="Arial"/>
          <w:sz w:val="23"/>
          <w:szCs w:val="23"/>
          <w:color w:val="auto"/>
          <w:vertAlign w:val="superscript"/>
        </w:rPr>
      </w:pPr>
      <w:r>
        <w:rPr>
          <w:rFonts w:ascii="Arial" w:cs="Arial" w:eastAsia="Arial" w:hAnsi="Arial"/>
          <w:sz w:val="12"/>
          <w:szCs w:val="12"/>
          <w:color w:val="auto"/>
        </w:rPr>
        <w:t>Represents consumer loan bad debt expense during the applicable period as a percentage of the average monthly consumer loan balance during the applicable period. Constant currency consumer loan balance is calculated using the end of period rate for each month.</w:t>
      </w:r>
    </w:p>
    <w:p>
      <w:pPr>
        <w:ind w:left="500" w:hanging="465"/>
        <w:spacing w:after="0" w:line="184" w:lineRule="auto"/>
        <w:tabs>
          <w:tab w:leader="none" w:pos="500" w:val="left"/>
        </w:tabs>
        <w:numPr>
          <w:ilvl w:val="0"/>
          <w:numId w:val="21"/>
        </w:numPr>
        <w:rPr>
          <w:rFonts w:ascii="Arial" w:cs="Arial" w:eastAsia="Arial" w:hAnsi="Arial"/>
          <w:sz w:val="29"/>
          <w:szCs w:val="29"/>
          <w:color w:val="auto"/>
          <w:vertAlign w:val="superscript"/>
        </w:rPr>
      </w:pPr>
      <w:r>
        <w:rPr>
          <w:rFonts w:ascii="Arial" w:cs="Arial" w:eastAsia="Arial" w:hAnsi="Arial"/>
          <w:sz w:val="14"/>
          <w:szCs w:val="14"/>
          <w:color w:val="auto"/>
        </w:rPr>
        <w:t>Amount not adjusted on a constant currency basis as charge occurred at a single point in time.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12</w:t>
      </w:r>
    </w:p>
    <w:p>
      <w:pPr>
        <w:sectPr>
          <w:pgSz w:w="11900" w:h="16838" w:orient="portrait"/>
          <w:cols w:equalWidth="0" w:num="1">
            <w:col w:w="11420"/>
          </w:cols>
          <w:pgMar w:left="240" w:top="74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March 31,</w:t>
            </w:r>
          </w:p>
        </w:tc>
        <w:tc>
          <w:tcPr>
            <w:tcW w:w="12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728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vMerge w:val="restart"/>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115,235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109,352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186,734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181,914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73,032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61,807</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7"/>
        </w:trPr>
        <w:tc>
          <w:tcPr>
            <w:tcW w:w="72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21,199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34,398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7,602</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72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191,520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179,169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324"/>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124,785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117,427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6,602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7,059</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72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60,133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54,683</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Other segment expenses (income)</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58,474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54,684</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 store (a)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annual yield on pawn loans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0bps</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loan redemption rate (b)</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hanging="345"/>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13</w:t>
      </w:r>
    </w:p>
    <w:p>
      <w:pPr>
        <w:sectPr>
          <w:pgSz w:w="11900" w:h="16838" w:orient="portrait"/>
          <w:cols w:equalWidth="0" w:num="1">
            <w:col w:w="11420"/>
          </w:cols>
          <w:pgMar w:left="240" w:top="96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table presents selected summary financial data from continuing operations for the Mexico Pawn segment, including constant currency results, after translation to U.S. dollars from its functional currency of the Mexican peso. See “Non-GAAP Financial Information”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4"/>
              </w:rPr>
              <w:t>Six Months Ended March 31,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2016 Constant</w:t>
            </w:r>
          </w:p>
        </w:tc>
        <w:tc>
          <w:tcPr>
            <w:tcW w:w="280" w:type="dxa"/>
            <w:vAlign w:val="bottom"/>
          </w:tcPr>
          <w:p>
            <w:pPr>
              <w:spacing w:after="0"/>
              <w:rPr>
                <w:sz w:val="13"/>
                <w:szCs w:val="13"/>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6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Percentage Change</w:t>
            </w:r>
          </w:p>
        </w:tc>
        <w:tc>
          <w:tcPr>
            <w:tcW w:w="166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Currency (a)</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3"/>
              </w:rPr>
              <w:t>(in USD thousands)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15,489</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18,716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15,045</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31,189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37,687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34,463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10,301</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12,447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10,299</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 %</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7"/>
        </w:trPr>
        <w:tc>
          <w:tcPr>
            <w:tcW w:w="390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1,181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224</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7"/>
        </w:trPr>
        <w:tc>
          <w:tcPr>
            <w:tcW w:w="390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26,088</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31,523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26,096</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 %</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91"/>
        </w:trPr>
        <w:tc>
          <w:tcPr>
            <w:tcW w:w="39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20,217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24,429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20,926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1,565</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2,345</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390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4,306</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2,825</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segment expenses (b)</w:t>
            </w: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3,507</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4,297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80"/>
              <w:spacing w:after="0"/>
              <w:rPr>
                <w:sz w:val="20"/>
                <w:szCs w:val="20"/>
                <w:color w:val="auto"/>
              </w:rPr>
            </w:pPr>
            <w:r>
              <w:rPr>
                <w:rFonts w:ascii="Arial" w:cs="Arial" w:eastAsia="Arial" w:hAnsi="Arial"/>
                <w:sz w:val="18"/>
                <w:szCs w:val="18"/>
                <w:color w:val="auto"/>
                <w:w w:val="94"/>
              </w:rPr>
              <w:t>Average monthly ending pawn loan balance per</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80"/>
              <w:spacing w:after="0"/>
              <w:rPr>
                <w:sz w:val="20"/>
                <w:szCs w:val="20"/>
                <w:color w:val="auto"/>
              </w:rPr>
            </w:pPr>
            <w:r>
              <w:rPr>
                <w:rFonts w:ascii="Arial" w:cs="Arial" w:eastAsia="Arial" w:hAnsi="Arial"/>
                <w:sz w:val="18"/>
                <w:szCs w:val="18"/>
                <w:color w:val="auto"/>
              </w:rPr>
              <w:t>store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67</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Average annual yield on pawn loans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-400bps</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-300bps</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Pawn loan redemption rate (d)</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0bps</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right="200" w:hanging="345"/>
        <w:spacing w:after="0" w:line="253"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income statement items, the average closing daily exchange rate for the applicable period was used. For balance sheet items, the end of the period rate for the applicable period end was used.</w:t>
      </w:r>
    </w:p>
    <w:p>
      <w:pPr>
        <w:spacing w:after="0" w:line="11" w:lineRule="exact"/>
        <w:rPr>
          <w:rFonts w:ascii="Arial" w:cs="Arial" w:eastAsia="Arial" w:hAnsi="Arial"/>
          <w:sz w:val="14"/>
          <w:szCs w:val="14"/>
          <w:color w:val="auto"/>
        </w:rPr>
      </w:pPr>
    </w:p>
    <w:p>
      <w:pPr>
        <w:ind w:left="380" w:right="480" w:hanging="345"/>
        <w:spacing w:after="0" w:line="253"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six-months ended March 31, 2016 constant currency balance excludes nominal net foreign currency transaction losses resulting from movement in exchange rates. The net foreign currency transaction losses for the six-months ended March 31, 2015 were $0.7 million and are not excluded from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14</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Grupo Finmart</w:t>
      </w:r>
    </w:p>
    <w:p>
      <w:pPr>
        <w:spacing w:after="0" w:line="17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table below presents selected summary financial data from continuing operations for the Grupo Finmart segment, including constant currency results, after translation to U.S. dollars from its functional currency of the Mexican peso. See “Non-GAAP Financial Information”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4"/>
              </w:rPr>
              <w:t>Six Months Ended March 31,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2016 Constant</w:t>
            </w:r>
          </w:p>
        </w:tc>
        <w:tc>
          <w:tcPr>
            <w:tcW w:w="300" w:type="dxa"/>
            <w:vAlign w:val="bottom"/>
          </w:tcPr>
          <w:p>
            <w:pPr>
              <w:spacing w:after="0"/>
              <w:rPr>
                <w:sz w:val="13"/>
                <w:szCs w:val="13"/>
                <w:color w:val="auto"/>
              </w:rPr>
            </w:pPr>
          </w:p>
        </w:tc>
        <w:tc>
          <w:tcPr>
            <w:tcW w:w="9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 Change GAAP</w:t>
            </w:r>
          </w:p>
        </w:tc>
        <w:tc>
          <w:tcPr>
            <w:tcW w:w="120" w:type="dxa"/>
            <w:vAlign w:val="bottom"/>
            <w:vMerge w:val="restart"/>
          </w:tcPr>
          <w:p>
            <w:pPr>
              <w:spacing w:after="0"/>
              <w:rPr>
                <w:sz w:val="13"/>
                <w:szCs w:val="13"/>
                <w:color w:val="auto"/>
              </w:rPr>
            </w:pPr>
          </w:p>
        </w:tc>
        <w:tc>
          <w:tcPr>
            <w:tcW w:w="176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Currency (a)</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24,403</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29,487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32,706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24,584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29,706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32,811</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20,243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24,460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11,850</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4,341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20,961</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17,614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15,397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 (e)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73,921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73,921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9,563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11,555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14,657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Other expense (b)</w:t>
            </w: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644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Segment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(98,143)</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(102,411)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(10,827)</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Consumer loan originations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21,319</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25,761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41,958</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Consumer loan bad debt as a percentage of</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gross average consumer loan balance (d)</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96" w:lineRule="exact"/>
        <w:rPr>
          <w:sz w:val="20"/>
          <w:szCs w:val="20"/>
          <w:color w:val="auto"/>
        </w:rPr>
      </w:pPr>
    </w:p>
    <w:p>
      <w:pPr>
        <w:ind w:left="500" w:right="100" w:hanging="465"/>
        <w:spacing w:after="0" w:line="181" w:lineRule="auto"/>
        <w:tabs>
          <w:tab w:leader="none" w:pos="500" w:val="left"/>
        </w:tabs>
        <w:numPr>
          <w:ilvl w:val="0"/>
          <w:numId w:val="27"/>
        </w:numPr>
        <w:rPr>
          <w:rFonts w:ascii="Arial" w:cs="Arial" w:eastAsia="Arial" w:hAnsi="Arial"/>
          <w:sz w:val="25"/>
          <w:szCs w:val="25"/>
          <w:color w:val="auto"/>
          <w:vertAlign w:val="superscript"/>
        </w:rPr>
      </w:pPr>
      <w:r>
        <w:rPr>
          <w:rFonts w:ascii="Arial" w:cs="Arial" w:eastAsia="Arial" w:hAnsi="Arial"/>
          <w:sz w:val="13"/>
          <w:szCs w:val="13"/>
          <w:color w:val="auto"/>
        </w:rPr>
        <w:t>For income statement items, the average closing daily exchange rate for the applicable period was used. For balance sheet items, the end of the period rate for the applicable period end was used.</w:t>
      </w:r>
    </w:p>
    <w:p>
      <w:pPr>
        <w:spacing w:after="0" w:line="21" w:lineRule="exact"/>
        <w:rPr>
          <w:rFonts w:ascii="Arial" w:cs="Arial" w:eastAsia="Arial" w:hAnsi="Arial"/>
          <w:sz w:val="25"/>
          <w:szCs w:val="25"/>
          <w:color w:val="auto"/>
          <w:vertAlign w:val="superscript"/>
        </w:rPr>
      </w:pPr>
    </w:p>
    <w:p>
      <w:pPr>
        <w:ind w:left="500" w:right="340" w:hanging="465"/>
        <w:spacing w:after="0" w:line="253"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six-months ended March 31, 2016 constant currency balance excludes a $0.6 million of net foreign currency transaction losses resulting from movement in exchange rates. The net foreign currency transaction losses for the six-months ended March 31, 2015 were $1.4 million and are not excluded from the above results.</w:t>
      </w:r>
    </w:p>
    <w:p>
      <w:pPr>
        <w:ind w:left="500" w:hanging="465"/>
        <w:spacing w:after="0" w:line="184" w:lineRule="auto"/>
        <w:tabs>
          <w:tab w:leader="none" w:pos="500" w:val="left"/>
        </w:tabs>
        <w:numPr>
          <w:ilvl w:val="0"/>
          <w:numId w:val="27"/>
        </w:numPr>
        <w:rPr>
          <w:rFonts w:ascii="Arial" w:cs="Arial" w:eastAsia="Arial" w:hAnsi="Arial"/>
          <w:sz w:val="29"/>
          <w:szCs w:val="29"/>
          <w:color w:val="auto"/>
          <w:vertAlign w:val="superscript"/>
        </w:rPr>
      </w:pPr>
      <w:r>
        <w:rPr>
          <w:rFonts w:ascii="Arial" w:cs="Arial" w:eastAsia="Arial" w:hAnsi="Arial"/>
          <w:sz w:val="14"/>
          <w:szCs w:val="14"/>
          <w:color w:val="auto"/>
        </w:rPr>
        <w:t>Constant currency result is calculated as the average monthly consumer loan origination balance translated at the average closing daily exchange rate for the applicable period.</w:t>
      </w:r>
    </w:p>
    <w:p>
      <w:pPr>
        <w:spacing w:after="0" w:line="87" w:lineRule="exact"/>
        <w:rPr>
          <w:rFonts w:ascii="Arial" w:cs="Arial" w:eastAsia="Arial" w:hAnsi="Arial"/>
          <w:sz w:val="29"/>
          <w:szCs w:val="29"/>
          <w:color w:val="auto"/>
          <w:vertAlign w:val="superscript"/>
        </w:rPr>
      </w:pPr>
    </w:p>
    <w:p>
      <w:pPr>
        <w:ind w:left="500" w:right="320" w:hanging="465"/>
        <w:spacing w:after="0" w:line="190" w:lineRule="auto"/>
        <w:tabs>
          <w:tab w:leader="none" w:pos="500" w:val="left"/>
        </w:tabs>
        <w:numPr>
          <w:ilvl w:val="0"/>
          <w:numId w:val="27"/>
        </w:numPr>
        <w:rPr>
          <w:rFonts w:ascii="Arial" w:cs="Arial" w:eastAsia="Arial" w:hAnsi="Arial"/>
          <w:sz w:val="23"/>
          <w:szCs w:val="23"/>
          <w:color w:val="auto"/>
          <w:vertAlign w:val="superscript"/>
        </w:rPr>
      </w:pPr>
      <w:r>
        <w:rPr>
          <w:rFonts w:ascii="Arial" w:cs="Arial" w:eastAsia="Arial" w:hAnsi="Arial"/>
          <w:sz w:val="12"/>
          <w:szCs w:val="12"/>
          <w:color w:val="auto"/>
        </w:rPr>
        <w:t>Represents consumer loan bad debt expense during the applicable period as a percentage of the average monthly consumer loan balance during the applicable period. Constant currency consumer loan balance is calculated using the end of period rate for each month.</w:t>
      </w:r>
    </w:p>
    <w:p>
      <w:pPr>
        <w:ind w:left="500" w:hanging="465"/>
        <w:spacing w:after="0" w:line="184" w:lineRule="auto"/>
        <w:tabs>
          <w:tab w:leader="none" w:pos="500" w:val="left"/>
        </w:tabs>
        <w:numPr>
          <w:ilvl w:val="0"/>
          <w:numId w:val="27"/>
        </w:numPr>
        <w:rPr>
          <w:rFonts w:ascii="Arial" w:cs="Arial" w:eastAsia="Arial" w:hAnsi="Arial"/>
          <w:sz w:val="29"/>
          <w:szCs w:val="29"/>
          <w:color w:val="auto"/>
          <w:vertAlign w:val="superscript"/>
        </w:rPr>
      </w:pPr>
      <w:r>
        <w:rPr>
          <w:rFonts w:ascii="Arial" w:cs="Arial" w:eastAsia="Arial" w:hAnsi="Arial"/>
          <w:sz w:val="14"/>
          <w:szCs w:val="14"/>
          <w:color w:val="auto"/>
        </w:rPr>
        <w:t>Amount not adjusted on a constant currency basis as charge occurred at a single point in time.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15</w:t>
      </w:r>
    </w:p>
    <w:p>
      <w:pPr>
        <w:sectPr>
          <w:pgSz w:w="11900" w:h="16838" w:orient="portrait"/>
          <w:cols w:equalWidth="0" w:num="1">
            <w:col w:w="11420"/>
          </w:cols>
          <w:pgMar w:left="240" w:top="746"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STORE COUNT ACTIVITY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March 31, 2016</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354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280" w:type="dxa"/>
            <w:vAlign w:val="bottom"/>
          </w:tcPr>
          <w:p>
            <w:pPr>
              <w:jc w:val="right"/>
              <w:ind w:right="94"/>
              <w:spacing w:after="0"/>
              <w:rPr>
                <w:sz w:val="20"/>
                <w:szCs w:val="20"/>
                <w:color w:val="auto"/>
              </w:rPr>
            </w:pPr>
            <w:r>
              <w:rPr>
                <w:rFonts w:ascii="Arial" w:cs="Arial" w:eastAsia="Arial" w:hAnsi="Arial"/>
                <w:sz w:val="14"/>
                <w:szCs w:val="14"/>
                <w:b w:val="1"/>
                <w:bCs w:val="1"/>
                <w:color w:val="auto"/>
              </w:rPr>
              <w:t>Mexico Pawn*</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Grupo Finmart</w:t>
            </w: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35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2015</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Locations acquired</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As of March 31, 2016</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 Includes five buy/sell stores which were converted to Mexico Pawn stores during the period.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5"/>
              </w:rPr>
              <w:t>Three Months Ended March 31, 2015</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280" w:type="dxa"/>
            <w:vAlign w:val="bottom"/>
          </w:tcPr>
          <w:p>
            <w:pPr>
              <w:jc w:val="right"/>
              <w:ind w:right="93"/>
              <w:spacing w:after="0"/>
              <w:rPr>
                <w:sz w:val="20"/>
                <w:szCs w:val="20"/>
                <w:color w:val="auto"/>
              </w:rPr>
            </w:pPr>
            <w:r>
              <w:rPr>
                <w:rFonts w:ascii="Arial" w:cs="Arial" w:eastAsia="Arial" w:hAnsi="Arial"/>
                <w:sz w:val="14"/>
                <w:szCs w:val="14"/>
                <w:b w:val="1"/>
                <w:bCs w:val="1"/>
                <w:color w:val="auto"/>
              </w:rPr>
              <w:t>Mexico Pawn*</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Grupo Finmart</w:t>
            </w: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2014</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2015</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 Includes 21 buy/sell stores.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5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35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4"/>
              </w:rPr>
              <w:t>Six Months Ended March 31, 2016</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280" w:type="dxa"/>
            <w:vAlign w:val="bottom"/>
          </w:tcPr>
          <w:p>
            <w:pPr>
              <w:jc w:val="right"/>
              <w:ind w:right="93"/>
              <w:spacing w:after="0"/>
              <w:rPr>
                <w:sz w:val="20"/>
                <w:szCs w:val="20"/>
                <w:color w:val="auto"/>
              </w:rPr>
            </w:pPr>
            <w:r>
              <w:rPr>
                <w:rFonts w:ascii="Arial" w:cs="Arial" w:eastAsia="Arial" w:hAnsi="Arial"/>
                <w:sz w:val="14"/>
                <w:szCs w:val="14"/>
                <w:b w:val="1"/>
                <w:bCs w:val="1"/>
                <w:color w:val="auto"/>
              </w:rPr>
              <w:t>Mexico Pawn*</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Grupo Finmart</w:t>
            </w: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2015</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Locations acquired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As of March 31, 2016</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60" w:type="dxa"/>
            <w:vAlign w:val="bottom"/>
            <w:gridSpan w:val="4"/>
          </w:tcPr>
          <w:p>
            <w:pPr>
              <w:jc w:val="right"/>
              <w:ind w:right="333"/>
              <w:spacing w:after="0"/>
              <w:rPr>
                <w:sz w:val="20"/>
                <w:szCs w:val="20"/>
                <w:color w:val="auto"/>
              </w:rPr>
            </w:pPr>
            <w:r>
              <w:rPr>
                <w:rFonts w:ascii="Arial" w:cs="Arial" w:eastAsia="Arial" w:hAnsi="Arial"/>
                <w:sz w:val="14"/>
                <w:szCs w:val="14"/>
                <w:color w:val="auto"/>
                <w:w w:val="93"/>
              </w:rPr>
              <w:t>* Includes five buy/sell stores which were converted to Mexico Pawn stores during the period.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7"/>
        </w:trPr>
        <w:tc>
          <w:tcPr>
            <w:tcW w:w="34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Six Months Ended March 31, 2015</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4"/>
        </w:trPr>
        <w:tc>
          <w:tcPr>
            <w:tcW w:w="342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Company-owned Stores</w:t>
            </w:r>
          </w:p>
        </w:tc>
        <w:tc>
          <w:tcPr>
            <w:tcW w:w="1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34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280" w:type="dxa"/>
            <w:vAlign w:val="bottom"/>
          </w:tcPr>
          <w:p>
            <w:pPr>
              <w:jc w:val="right"/>
              <w:ind w:right="93"/>
              <w:spacing w:after="0"/>
              <w:rPr>
                <w:sz w:val="20"/>
                <w:szCs w:val="20"/>
                <w:color w:val="auto"/>
              </w:rPr>
            </w:pPr>
            <w:r>
              <w:rPr>
                <w:rFonts w:ascii="Arial" w:cs="Arial" w:eastAsia="Arial" w:hAnsi="Arial"/>
                <w:sz w:val="14"/>
                <w:szCs w:val="14"/>
                <w:b w:val="1"/>
                <w:bCs w:val="1"/>
                <w:color w:val="auto"/>
              </w:rPr>
              <w:t>Mexico Pawn*</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Grupo Finmart</w:t>
            </w: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 International</w:t>
            </w: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3"/>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34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2014</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r>
      <w:tr>
        <w:trPr>
          <w:trHeight w:val="243"/>
        </w:trPr>
        <w:tc>
          <w:tcPr>
            <w:tcW w:w="342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3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342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2015</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Includes 19 buy/sell stores. We acquired two additional buy/sell stores during the period.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16</w:t>
      </w:r>
    </w:p>
    <w:p>
      <w:pPr>
        <w:sectPr>
          <w:pgSz w:w="11900" w:h="16838" w:orient="portrait"/>
          <w:cols w:equalWidth="0" w:num="1">
            <w:col w:w="11420"/>
          </w:cols>
          <w:pgMar w:left="240" w:top="58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results to evaluate results of the Mexico Pawn and Grupo Finmart segment operations, which are denominated in Mexican pesos and believe that presentation of constant currency results is meaningful and useful in understanding the activities and business metrics of our Mexico Pawn and Grupo Finmart operations and reflect an additional way of viewing aspects of our business that, when viewed with its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Constant currency results reported herein are calculated by translating condensed consolidated balance sheet and condensed consolidated statement of operations items denominated in Mexican pesos to U.S. dollars using the exchange rate from the prior-year comparable period, as opposed to the current comparable period, in order to exclude the effects of foreign currency rate fluctuations. For balance sheet items, the end of period rate as of March 31, 2016 of 17.3 to 1 was used, compared to the end of period rate as of March 31, 2015 of 15.2 to 1. For statement of operations items, the average closing daily exchange rate for the appropriate period was used. The average exchange rates for the current three and six-months ended March 31, 2016 were 18.0 to 1 and 17.4 to 1, respectively, as compared to the prior year three and six-months ended March 31, 2015 rates of 14.9 to 1 and 14.4 to 1, respectively. Constant currency results, where presented, also exclude foreign currency gain or loss and the related foreign currency derivative gain or loss impact.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17</w:t>
      </w:r>
    </w:p>
    <w:p>
      <w:pPr>
        <w:sectPr>
          <w:pgSz w:w="11900" w:h="16838" w:orient="portrait"/>
          <w:cols w:equalWidth="0" w:num="1">
            <w:col w:w="11420"/>
          </w:cols>
          <w:pgMar w:left="240" w:top="742" w:right="239" w:bottom="1440" w:gutter="0" w:footer="0" w:header="0"/>
        </w:sectPr>
      </w:pPr>
    </w:p>
    <w:bookmarkStart w:id="22" w:name="page23"/>
    <w:bookmarkEnd w:id="22"/>
    <w:p>
      <w:pPr>
        <w:ind w:right="240"/>
        <w:spacing w:after="0" w:line="342" w:lineRule="auto"/>
        <w:rPr>
          <w:sz w:val="20"/>
          <w:szCs w:val="20"/>
          <w:color w:val="auto"/>
        </w:rPr>
      </w:pPr>
      <w:r>
        <w:rPr>
          <w:rFonts w:ascii="Arial" w:cs="Arial" w:eastAsia="Arial" w:hAnsi="Arial"/>
          <w:sz w:val="16"/>
          <w:szCs w:val="16"/>
          <w:color w:val="auto"/>
        </w:rPr>
        <w:t>The following information provides reconciliations of certain non-GAAP financial measures presented in this press release to the most directly comparable financial measures calculated and presented in accordance with GAAP, where not already included in constant currency segment results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U.S. Dollar Amount</w:t>
            </w:r>
          </w:p>
        </w:tc>
        <w:tc>
          <w:tcPr>
            <w:tcW w:w="100" w:type="dxa"/>
            <w:vAlign w:val="bottom"/>
            <w:vMerge w:val="restart"/>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4"/>
                <w:szCs w:val="14"/>
                <w:b w:val="1"/>
                <w:bCs w:val="1"/>
                <w:color w:val="auto"/>
                <w:w w:val="99"/>
              </w:rPr>
              <w:t>Percentage Change</w:t>
            </w:r>
          </w:p>
        </w:tc>
        <w:tc>
          <w:tcPr>
            <w:tcW w:w="0" w:type="dxa"/>
            <w:vAlign w:val="bottom"/>
          </w:tcPr>
          <w:p>
            <w:pPr>
              <w:spacing w:after="0"/>
              <w:rPr>
                <w:sz w:val="1"/>
                <w:szCs w:val="1"/>
                <w:color w:val="auto"/>
              </w:rPr>
            </w:pPr>
          </w:p>
        </w:tc>
      </w:tr>
      <w:tr>
        <w:trPr>
          <w:trHeight w:val="192"/>
        </w:trPr>
        <w:tc>
          <w:tcPr>
            <w:tcW w:w="850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385"/>
        </w:trPr>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revenue (three-months ended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201,899</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7,671</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revenue (three-months ended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209,570</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net revenue (three-months ended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113,799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3,657</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net revenue (three-months ended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117,456</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operating expenses (three-months ended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103,852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3,871</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operating expenses (three-months ended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107,723</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revenue (six-months ended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400,353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15,108</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revenue (six-months ended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415,461</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net revenue (six-months ended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225,315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6,340</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net revenue (six-months ended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231,655</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operating expenses (six-months ended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219,225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8,554</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operating expenses (six-months ended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227,779</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loans outstanding as of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17,271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2,386</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loans outstanding as of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19,657</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Same store Mexico Pawn loans outstanding as of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17,205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same store Mexico Pawn loans outstanding as of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19,471</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Same store Mexico Pawn service charges (three-months ended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7,380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1,508</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same store Mexico Pawn service charges (three-months ended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8,888</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Same store Mexico Pawn service charges (six-months ended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15,288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3,175</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Constant currency same store Mexico Pawn service charges (six-months ended March 31, 2016)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18,463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33"/>
        </w:trPr>
        <w:tc>
          <w:tcPr>
            <w:tcW w:w="8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18</w:t>
      </w:r>
    </w:p>
    <w:sectPr>
      <w:pgSz w:w="11900" w:h="16838" w:orient="portrait"/>
      <w:cols w:equalWidth="0" w:num="1">
        <w:col w:w="11420"/>
      </w:cols>
      <w:pgMar w:left="240" w:top="74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
      <w:numFmt w:val="bullet"/>
      <w:start w:val="1"/>
    </w:lvl>
    <w:lvl w:ilvl="1">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lvl w:ilvl="1">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2020-01-20T12:10:34Z</dcterms:created>
  <dcterms:modified xsi:type="dcterms:W3CDTF">2020-01-20T12:10:34Z</dcterms:modified>
</cp:coreProperties>
</file>