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d52356e10vk.htm"/>
        <w:bookmarkStart w:id="1" w:name="ksd52356e10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Helvetica;Arial;sans-serif" w:hAnsi="Helvetica;Arial;sans-serif"/>
          <w:sz w:val="23"/>
        </w:rPr>
      </w:pPr>
      <w:r>
        <w:rPr>
          <w:rFonts w:ascii="Helvetica;Arial;sans-serif" w:hAnsi="Helvetica;Arial;sans-serif"/>
          <w:b/>
          <w:sz w:val="23"/>
        </w:rPr>
        <w:t>UNITED STATES</w:t>
        <w:br/>
        <w:t>SECURITIES AND EXCHANGE COMMISSION</w:t>
      </w:r>
      <w:r>
        <w:rPr>
          <w:rFonts w:ascii="Helvetica;Arial;sans-serif" w:hAnsi="Helvetica;Arial;sans-serif"/>
          <w:sz w:val="23"/>
        </w:rPr>
        <w:t xml:space="preserve"> </w:t>
      </w:r>
    </w:p>
    <w:p>
      <w:pPr>
        <w:pStyle w:val="TextBody"/>
        <w:spacing w:before="0" w:after="0"/>
        <w:jc w:val="center"/>
        <w:rPr>
          <w:rFonts w:ascii="Helvetica;Arial;sans-serif" w:hAnsi="Helvetica;Arial;sans-serif"/>
          <w:sz w:val="20"/>
        </w:rPr>
      </w:pPr>
      <w:r>
        <w:rPr>
          <w:rFonts w:ascii="Helvetica;Arial;sans-serif" w:hAnsi="Helvetica;Arial;sans-serif"/>
          <w:b/>
          <w:sz w:val="20"/>
        </w:rPr>
        <w:t>WASHINGTON, DC 20549</w:t>
      </w:r>
      <w:r>
        <w:rPr>
          <w:rFonts w:ascii="Helvetica;Arial;sans-serif" w:hAnsi="Helvetica;Arial;sans-serif"/>
          <w:sz w:val="20"/>
        </w:rPr>
        <w:t xml:space="preserve"> </w:t>
      </w:r>
    </w:p>
    <w:p>
      <w:pPr>
        <w:pStyle w:val="TextBody"/>
        <w:spacing w:before="240" w:after="283"/>
        <w:jc w:val="center"/>
        <w:rPr>
          <w:rFonts w:ascii="Helvetica;Arial;sans-serif" w:hAnsi="Helvetica;Arial;sans-serif"/>
          <w:sz w:val="30"/>
        </w:rPr>
      </w:pPr>
      <w:r>
        <w:rPr>
          <w:rFonts w:ascii="Helvetica;Arial;sans-serif" w:hAnsi="Helvetica;Arial;sans-serif"/>
          <w:b/>
          <w:sz w:val="30"/>
        </w:rPr>
        <w:t>FORM 10-K</w:t>
      </w:r>
      <w:r>
        <w:rPr>
          <w:rFonts w:ascii="Helvetica;Arial;sans-serif" w:hAnsi="Helvetica;Arial;sans-serif"/>
          <w:sz w:val="30"/>
        </w:rPr>
        <w:t xml:space="preserve"> </w:t>
      </w:r>
    </w:p>
    <w:p>
      <w:pPr>
        <w:pStyle w:val="TextBody"/>
        <w:spacing w:before="240" w:after="283"/>
        <w:jc w:val="center"/>
        <w:rPr>
          <w:rFonts w:ascii="Helvetica;Arial;sans-serif" w:hAnsi="Helvetica;Arial;sans-serif"/>
          <w:sz w:val="20"/>
        </w:rPr>
      </w:pPr>
      <w:r>
        <w:rPr>
          <w:rFonts w:ascii="Helvetica;Arial;sans-serif" w:hAnsi="Helvetica;Arial;sans-serif"/>
          <w:b/>
          <w:sz w:val="20"/>
        </w:rPr>
        <w:t>ANNUAL REPORT PURSUANT TO SECTION 13 OR 15(d)</w:t>
        <w:br/>
        <w:t>OF THE SECURITIES EXCHANGE ACT OF 1934</w:t>
      </w:r>
      <w:r>
        <w:rPr>
          <w:rFonts w:ascii="Helvetica;Arial;sans-serif" w:hAnsi="Helvetica;Arial;sans-serif"/>
          <w:sz w:val="20"/>
        </w:rPr>
        <w:t xml:space="preserve"> </w:t>
      </w:r>
    </w:p>
    <w:p>
      <w:pPr>
        <w:pStyle w:val="TextBody"/>
        <w:spacing w:before="240" w:after="283"/>
        <w:jc w:val="center"/>
        <w:rPr>
          <w:rFonts w:ascii="Helvetica;Arial;sans-serif" w:hAnsi="Helvetica;Arial;sans-serif"/>
          <w:b/>
          <w:sz w:val="17"/>
        </w:rPr>
      </w:pPr>
      <w:r>
        <w:rPr>
          <w:rFonts w:ascii="Helvetica;Arial;sans-serif" w:hAnsi="Helvetica;Arial;sans-serif"/>
          <w:b/>
          <w:sz w:val="17"/>
        </w:rPr>
        <w:t>For the Fiscal Year Ended September 30, 2007</w:t>
      </w:r>
    </w:p>
    <w:p>
      <w:pPr>
        <w:pStyle w:val="TextBody"/>
        <w:spacing w:before="240" w:after="283"/>
        <w:jc w:val="center"/>
        <w:rPr>
          <w:rFonts w:ascii="Helvetica;Arial;sans-serif" w:hAnsi="Helvetica;Arial;sans-serif"/>
          <w:b/>
          <w:sz w:val="17"/>
        </w:rPr>
      </w:pPr>
      <w:r>
        <w:rPr>
          <w:rFonts w:ascii="Helvetica;Arial;sans-serif" w:hAnsi="Helvetica;Arial;sans-serif"/>
          <w:b/>
          <w:sz w:val="17"/>
        </w:rPr>
        <w:t>Commission File No. 000-19424</w:t>
      </w:r>
    </w:p>
    <w:p>
      <w:pPr>
        <w:pStyle w:val="TextBody"/>
        <w:spacing w:before="240" w:after="283"/>
        <w:jc w:val="center"/>
        <w:rPr>
          <w:rFonts w:ascii="Helvetica;Arial;sans-serif" w:hAnsi="Helvetica;Arial;sans-serif"/>
          <w:sz w:val="40"/>
        </w:rPr>
      </w:pPr>
      <w:r>
        <w:rPr>
          <w:rFonts w:ascii="Helvetica;Arial;sans-serif" w:hAnsi="Helvetica;Arial;sans-serif"/>
          <w:b/>
          <w:sz w:val="40"/>
        </w:rPr>
        <w:t>EZCORP, INC.</w:t>
      </w:r>
      <w:r>
        <w:rPr>
          <w:rFonts w:ascii="Helvetica;Arial;sans-serif" w:hAnsi="Helvetica;Arial;sans-serif"/>
          <w:sz w:val="40"/>
        </w:rPr>
        <w:t xml:space="preserve"> </w:t>
      </w:r>
    </w:p>
    <w:p>
      <w:pPr>
        <w:pStyle w:val="TextBody"/>
        <w:spacing w:before="0" w:after="0"/>
        <w:jc w:val="center"/>
        <w:rPr>
          <w:rFonts w:ascii="Helvetica;Arial;sans-serif" w:hAnsi="Helvetica;Arial;sans-serif"/>
          <w:sz w:val="17"/>
        </w:rPr>
      </w:pPr>
      <w:r>
        <w:rPr>
          <w:rFonts w:ascii="Helvetica;Arial;sans-serif" w:hAnsi="Helvetica;Arial;san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948"/>
        <w:gridCol w:w="308"/>
        <w:gridCol w:w="4949"/>
      </w:tblGrid>
      <w:tr>
        <w:trPr/>
        <w:tc>
          <w:tcPr>
            <w:tcW w:w="494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rPr/>
            </w:pPr>
            <w:r>
              <w:rPr/>
              <w:t> </w:t>
            </w:r>
          </w:p>
        </w:tc>
      </w:tr>
      <w:tr>
        <w:trPr/>
        <w:tc>
          <w:tcPr>
            <w:tcW w:w="4948" w:type="dxa"/>
            <w:tcBorders/>
            <w:shd w:fill="auto" w:val="clear"/>
          </w:tcPr>
          <w:p>
            <w:pPr>
              <w:pStyle w:val="TableContents"/>
              <w:spacing w:before="0" w:after="283"/>
              <w:jc w:val="center"/>
              <w:rPr/>
            </w:pPr>
            <w:r>
              <w:rPr>
                <w:b/>
              </w:rPr>
              <w:t>Delaware</w:t>
            </w:r>
            <w:r>
              <w:rPr/>
              <w:t xml:space="preserve">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74-2540145</w:t>
            </w:r>
          </w:p>
        </w:tc>
      </w:tr>
      <w:tr>
        <w:trPr/>
        <w:tc>
          <w:tcPr>
            <w:tcW w:w="4948" w:type="dxa"/>
            <w:tcBorders/>
            <w:shd w:fill="auto" w:val="clear"/>
          </w:tcPr>
          <w:p>
            <w:pPr>
              <w:pStyle w:val="TableContents"/>
              <w:spacing w:before="0" w:after="283"/>
              <w:jc w:val="center"/>
              <w:rPr/>
            </w:pPr>
            <w:r>
              <w:rPr/>
              <w:t xml:space="preserve">(State or other jurisdiction of incorporation or organization)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(I.R.S. Employer Identification No.)</w:t>
            </w:r>
          </w:p>
        </w:tc>
      </w:tr>
    </w:tbl>
    <w:p>
      <w:pPr>
        <w:pStyle w:val="TextBody"/>
        <w:spacing w:before="240" w:after="283"/>
        <w:jc w:val="center"/>
        <w:rPr>
          <w:rFonts w:ascii="Helvetica;Arial;sans-serif" w:hAnsi="Helvetica;Arial;sans-serif"/>
          <w:sz w:val="17"/>
        </w:rPr>
      </w:pPr>
      <w:r>
        <w:rPr>
          <w:rFonts w:ascii="Helvetica;Arial;sans-serif" w:hAnsi="Helvetica;Arial;sans-serif"/>
          <w:b/>
          <w:sz w:val="17"/>
        </w:rPr>
        <w:t>1901 Capital Parkway</w:t>
        <w:br/>
        <w:t>Austin, Texas 78746</w:t>
      </w:r>
      <w:r>
        <w:rPr>
          <w:rFonts w:ascii="Helvetica;Arial;sans-serif" w:hAnsi="Helvetica;Arial;sans-serif"/>
          <w:sz w:val="17"/>
        </w:rPr>
        <w:br/>
        <w:t>(Address of principal executive offices)</w:t>
        <w:br/>
        <w:t xml:space="preserve">Registrants telephone number: </w:t>
      </w:r>
      <w:r>
        <w:rPr>
          <w:rFonts w:ascii="Helvetica;Arial;sans-serif" w:hAnsi="Helvetica;Arial;sans-serif"/>
          <w:b/>
          <w:sz w:val="17"/>
        </w:rPr>
        <w:t>(512) 314-3400</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Helvetica;Arial;sans-serif" w:hAnsi="Helvetica;Arial;sans-serif"/>
          <w:sz w:val="17"/>
        </w:rPr>
      </w:pPr>
      <w:r>
        <w:rPr>
          <w:rFonts w:ascii="Helvetica;Arial;sans-serif" w:hAnsi="Helvetica;Arial;sans-serif"/>
          <w:sz w:val="17"/>
        </w:rPr>
        <w:t>Securities Registered Pursuant to Section 12(b) of the Act:</w:t>
      </w:r>
    </w:p>
    <w:tbl>
      <w:tblPr>
        <w:tblW w:w="5000" w:type="pct"/>
        <w:jc w:val="center"/>
        <w:tblInd w:w="0" w:type="dxa"/>
        <w:tblCellMar>
          <w:top w:w="0" w:type="dxa"/>
          <w:left w:w="0" w:type="dxa"/>
          <w:bottom w:w="0" w:type="dxa"/>
          <w:right w:w="0" w:type="dxa"/>
        </w:tblCellMar>
      </w:tblPr>
      <w:tblGrid>
        <w:gridCol w:w="6303"/>
        <w:gridCol w:w="226"/>
        <w:gridCol w:w="3676"/>
      </w:tblGrid>
      <w:tr>
        <w:trPr/>
        <w:tc>
          <w:tcPr>
            <w:tcW w:w="630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283"/>
              <w:rPr/>
            </w:pPr>
            <w:r>
              <w:rPr/>
              <w:t> </w:t>
            </w:r>
          </w:p>
        </w:tc>
      </w:tr>
      <w:tr>
        <w:trPr/>
        <w:tc>
          <w:tcPr>
            <w:tcW w:w="6303" w:type="dxa"/>
            <w:tcBorders/>
            <w:shd w:fill="auto" w:val="clear"/>
          </w:tcPr>
          <w:p>
            <w:pPr>
              <w:pStyle w:val="TableContents"/>
              <w:spacing w:before="0" w:after="283"/>
              <w:jc w:val="center"/>
              <w:rPr/>
            </w:pPr>
            <w:r>
              <w:rPr/>
              <w:t xml:space="preserve">Title of Each Class </w:t>
            </w:r>
          </w:p>
        </w:tc>
        <w:tc>
          <w:tcPr>
            <w:tcW w:w="226"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center"/>
              <w:rPr/>
            </w:pPr>
            <w:r>
              <w:rPr/>
              <w:t>Name of Each Exchange on Which Registered</w:t>
            </w:r>
          </w:p>
        </w:tc>
      </w:tr>
      <w:tr>
        <w:trPr/>
        <w:tc>
          <w:tcPr>
            <w:tcW w:w="6303"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226" w:type="dxa"/>
            <w:tcBorders/>
            <w:shd w:fill="auto" w:val="clear"/>
            <w:vAlign w:val="center"/>
          </w:tcPr>
          <w:p>
            <w:pPr>
              <w:pStyle w:val="TableContents"/>
              <w:spacing w:before="0" w:after="283"/>
              <w:rPr/>
            </w:pPr>
            <w:r>
              <w:rPr/>
              <w:t> </w:t>
            </w:r>
          </w:p>
        </w:tc>
        <w:tc>
          <w:tcPr>
            <w:tcW w:w="3676"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6303" w:type="dxa"/>
            <w:tcBorders/>
            <w:shd w:fill="auto" w:val="clear"/>
          </w:tcPr>
          <w:p>
            <w:pPr>
              <w:pStyle w:val="TableContents"/>
              <w:spacing w:before="0" w:after="283"/>
              <w:jc w:val="center"/>
              <w:rPr/>
            </w:pPr>
            <w:r>
              <w:rPr>
                <w:b/>
              </w:rPr>
              <w:t>Class A Non-voting Common Stock, $.01 par value per share</w:t>
            </w:r>
            <w:r>
              <w:rPr/>
              <w:t xml:space="preserve"> </w:t>
            </w:r>
          </w:p>
        </w:tc>
        <w:tc>
          <w:tcPr>
            <w:tcW w:w="226"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center"/>
              <w:rPr>
                <w:b/>
              </w:rPr>
            </w:pPr>
            <w:r>
              <w:rPr>
                <w:b/>
              </w:rPr>
              <w:t>The NASDAQ Stock Market</w:t>
            </w:r>
          </w:p>
        </w:tc>
      </w:tr>
    </w:tbl>
    <w:p>
      <w:pPr>
        <w:pStyle w:val="TextBody"/>
        <w:spacing w:before="240" w:after="283"/>
        <w:jc w:val="center"/>
        <w:rPr>
          <w:rFonts w:ascii="Helvetica;Arial;sans-serif" w:hAnsi="Helvetica;Arial;sans-serif"/>
          <w:sz w:val="17"/>
        </w:rPr>
      </w:pPr>
      <w:r>
        <w:rPr>
          <w:rFonts w:ascii="Helvetica;Arial;sans-serif" w:hAnsi="Helvetica;Arial;sans-serif"/>
          <w:sz w:val="17"/>
        </w:rPr>
        <w:t xml:space="preserve">Securities Registered Pursuant to Section 12(g) of the Act: </w:t>
      </w:r>
      <w:r>
        <w:rPr>
          <w:rFonts w:ascii="Helvetica;Arial;sans-serif" w:hAnsi="Helvetica;Arial;sans-serif"/>
          <w:b/>
          <w:sz w:val="17"/>
        </w:rPr>
        <w:t>None</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Indicate by check mark if the registrant is a well-known seasoned issuer, as defined in Rule 405 of the Securities Act. </w:t>
        <w:br/>
        <w:t xml:space="preserve">Yes </w:t>
      </w:r>
      <w:r>
        <w:rPr>
          <w:rFonts w:ascii="Wingdings" w:hAnsi="Wingdings"/>
          <w:sz w:val="17"/>
        </w:rPr>
        <w:t>o</w:t>
      </w:r>
      <w:r>
        <w:rPr>
          <w:rFonts w:ascii="Helvetica;Arial;sans-serif" w:hAnsi="Helvetica;Arial;sans-serif"/>
          <w:sz w:val="17"/>
        </w:rPr>
        <w:t xml:space="preserve">      No ☑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Indicate by check mark if the registrant is not required to file reports pursuant to Section 13 or Section 15(d) of the Act. </w:t>
        <w:br/>
        <w:t xml:space="preserve">Yes </w:t>
      </w:r>
      <w:r>
        <w:rPr>
          <w:rFonts w:ascii="Wingdings" w:hAnsi="Wingdings"/>
          <w:sz w:val="17"/>
        </w:rPr>
        <w:t>o</w:t>
      </w:r>
      <w:r>
        <w:rPr>
          <w:rFonts w:ascii="Helvetica;Arial;sans-serif" w:hAnsi="Helvetica;Arial;sans-serif"/>
          <w:sz w:val="17"/>
        </w:rPr>
        <w:t xml:space="preserve">      No ☑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Indicate by check mark if disclosures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Wingdings" w:hAnsi="Wingdings"/>
          <w:sz w:val="17"/>
        </w:rPr>
        <w:t>o</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Indicate by check mark whether the registrant is a large accelerated filer, an accelerated filer, or a non-accelerated filer. See definition of accelerated filer and large accelerated filer in Rule 12b-2 of the Exchange Act. (Check one): </w:t>
      </w:r>
    </w:p>
    <w:p>
      <w:pPr>
        <w:pStyle w:val="TextBody"/>
        <w:spacing w:before="0" w:after="0"/>
        <w:jc w:val="center"/>
        <w:rPr>
          <w:rFonts w:ascii="Helvetica;Arial;sans-serif" w:hAnsi="Helvetica;Arial;sans-serif"/>
          <w:sz w:val="17"/>
        </w:rPr>
      </w:pPr>
      <w:r>
        <w:rPr>
          <w:rFonts w:ascii="Helvetica;Arial;sans-serif" w:hAnsi="Helvetica;Arial;sans-serif"/>
          <w:sz w:val="17"/>
        </w:rPr>
        <w:t xml:space="preserve">Large accelerated filer </w:t>
      </w:r>
      <w:r>
        <w:rPr>
          <w:rFonts w:ascii="Wingdings" w:hAnsi="Wingdings"/>
          <w:sz w:val="17"/>
        </w:rPr>
        <w:t>o</w:t>
      </w:r>
      <w:r>
        <w:rPr>
          <w:rFonts w:ascii="Helvetica;Arial;sans-serif" w:hAnsi="Helvetica;Arial;sans-serif"/>
          <w:sz w:val="17"/>
        </w:rPr>
        <w:t xml:space="preserve">      Accelerated filer ☑      Non-accelerated filer </w:t>
      </w:r>
      <w:r>
        <w:rPr>
          <w:rFonts w:ascii="Wingdings" w:hAnsi="Wingdings"/>
          <w:sz w:val="17"/>
        </w:rPr>
        <w:t>o</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Indicate by check mark whether the registrant is a shell company (as defined in Rule 12b-2 of the Exchange Act). Yes </w:t>
      </w:r>
      <w:r>
        <w:rPr>
          <w:rFonts w:ascii="Wingdings" w:hAnsi="Wingdings"/>
          <w:sz w:val="17"/>
        </w:rPr>
        <w:t>o</w:t>
      </w:r>
      <w:r>
        <w:rPr>
          <w:rFonts w:ascii="Helvetica;Arial;sans-serif" w:hAnsi="Helvetica;Arial;sans-serif"/>
          <w:sz w:val="17"/>
        </w:rPr>
        <w:t xml:space="preserve">       No ☑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only class of voting securities of the registrant issued and outstanding is the Class B Voting Common Stock, par value $.01 per share, all of which is owned by one record holder who is an affiliate of the registrant. There is no trading market for the Class B Voting Common Stock. The aggregate market value of the Class A Non-Voting Common Stock held by non-affiliates of the registrant was $545 million, based on the closing price on the NASDAQ Stock Market on March 31,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of October 31, 2007, 38,372,077 shares of the registrants Class A Non-voting Common Stock, par value $.01 per share and 2,970,171 shares of the registrants Class B Voting Common Stock, par value $.01 per share were outstanding.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Documents incorporated by reference: None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Helvetica;Arial;sans-serif" w:hAnsi="Helvetica;Arial;sans-serif"/>
          <w:sz w:val="17"/>
        </w:rPr>
      </w:pPr>
      <w:bookmarkStart w:id="2" w:name="tocpage"/>
      <w:bookmarkEnd w:id="2"/>
      <w:r>
        <w:rPr>
          <w:rFonts w:ascii="Helvetica;Arial;sans-serif" w:hAnsi="Helvetica;Arial;sans-serif"/>
          <w:b/>
          <w:sz w:val="17"/>
        </w:rPr>
        <w:t>EZCORP, INC.</w:t>
        <w:br/>
        <w:t>YEAR ENDED SEPTEMBER 30, 2007</w:t>
        <w:br/>
        <w:t>INDEX TO FORM 10-K</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8963"/>
        <w:gridCol w:w="508"/>
        <w:gridCol w:w="101"/>
        <w:gridCol w:w="508"/>
        <w:gridCol w:w="101"/>
        <w:gridCol w:w="24"/>
      </w:tblGrid>
      <w:tr>
        <w:trPr/>
        <w:tc>
          <w:tcPr>
            <w:tcW w:w="8963"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283"/>
              <w:jc w:val="left"/>
              <w:rPr/>
            </w:pPr>
            <w:r>
              <w:rPr/>
              <w:t>Item</w:t>
            </w:r>
          </w:p>
        </w:tc>
        <w:tc>
          <w:tcPr>
            <w:tcW w:w="508" w:type="dxa"/>
            <w:tcBorders/>
            <w:shd w:fill="auto" w:val="clear"/>
            <w:vAlign w:val="bottom"/>
          </w:tcPr>
          <w:p>
            <w:pPr>
              <w:pStyle w:val="TableContents"/>
              <w:spacing w:before="0" w:after="283"/>
              <w:rPr/>
            </w:pPr>
            <w:r>
              <w:rPr/>
              <w:t> </w:t>
            </w:r>
          </w:p>
        </w:tc>
        <w:tc>
          <w:tcPr>
            <w:tcW w:w="609" w:type="dxa"/>
            <w:gridSpan w:val="2"/>
            <w:tcBorders/>
            <w:shd w:fill="auto" w:val="clear"/>
            <w:vAlign w:val="bottom"/>
          </w:tcPr>
          <w:p>
            <w:pPr>
              <w:pStyle w:val="TableContents"/>
              <w:spacing w:before="0" w:after="283"/>
              <w:jc w:val="center"/>
              <w:rPr/>
            </w:pPr>
            <w:r>
              <w:rPr/>
              <w:t>Page</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bottom w:val="single" w:sz="2" w:space="0" w:color="000000"/>
            </w:tcBorders>
            <w:shd w:fill="auto" w:val="clear"/>
            <w:tcMar>
              <w:bottom w:w="28" w:type="dxa"/>
            </w:tcMar>
            <w:vAlign w:val="bottom"/>
          </w:tcPr>
          <w:p>
            <w:pPr>
              <w:pStyle w:val="TableContents"/>
              <w:spacing w:before="0" w:after="283"/>
              <w:jc w:val="left"/>
              <w:rPr/>
            </w:pPr>
            <w:r>
              <w:rPr/>
              <w:t> </w:t>
            </w:r>
            <w:r>
              <w:rPr/>
              <w:t>No.</w:t>
            </w:r>
          </w:p>
        </w:tc>
        <w:tc>
          <w:tcPr>
            <w:tcW w:w="508" w:type="dxa"/>
            <w:tcBorders/>
            <w:shd w:fill="auto" w:val="clear"/>
            <w:vAlign w:val="bottom"/>
          </w:tcPr>
          <w:p>
            <w:pPr>
              <w:pStyle w:val="TableContents"/>
              <w:spacing w:before="0" w:after="283"/>
              <w:rPr/>
            </w:pPr>
            <w:r>
              <w:rPr/>
              <w:t> </w:t>
            </w:r>
          </w:p>
        </w:tc>
        <w:tc>
          <w:tcPr>
            <w:tcW w:w="609" w:type="dxa"/>
            <w:gridSpan w:val="2"/>
            <w:tcBorders>
              <w:bottom w:val="single" w:sz="2" w:space="0" w:color="000000"/>
            </w:tcBorders>
            <w:shd w:fill="auto" w:val="clear"/>
            <w:tcMar>
              <w:bottom w:w="28" w:type="dxa"/>
            </w:tcMar>
            <w:vAlign w:val="bottom"/>
          </w:tcPr>
          <w:p>
            <w:pPr>
              <w:pStyle w:val="TableContents"/>
              <w:spacing w:before="0" w:after="283"/>
              <w:jc w:val="center"/>
              <w:rPr/>
            </w:pPr>
            <w:r>
              <w:rPr/>
              <w:t>No.</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jc w:val="center"/>
              <w:rPr>
                <w:b/>
              </w:rPr>
            </w:pPr>
            <w:r>
              <w:rPr>
                <w:b/>
              </w:rPr>
              <w:t>INTRODUCTION</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jc w:val="center"/>
              <w:rPr/>
            </w:pPr>
            <w:hyperlink w:anchor="101">
              <w:r>
                <w:rPr>
                  <w:rStyle w:val="InternetLink"/>
                  <w:b/>
                </w:rPr>
                <w:t>PART I</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02">
              <w:r>
                <w:rPr>
                  <w:rStyle w:val="InternetLink"/>
                </w:rPr>
                <w:t>1. Business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3</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03">
              <w:r>
                <w:rPr>
                  <w:rStyle w:val="InternetLink"/>
                </w:rPr>
                <w:t>1A. Risk Factors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18</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04">
              <w:r>
                <w:rPr>
                  <w:rStyle w:val="InternetLink"/>
                </w:rPr>
                <w:t>2. Properties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20</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05">
              <w:r>
                <w:rPr>
                  <w:rStyle w:val="InternetLink"/>
                </w:rPr>
                <w:t>3. Legal Proceedings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23</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06">
              <w:r>
                <w:rPr>
                  <w:rStyle w:val="InternetLink"/>
                </w:rPr>
                <w:t>4. Submission of Matters to a Vote of Security Holders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23</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jc w:val="center"/>
              <w:rPr/>
            </w:pPr>
            <w:hyperlink w:anchor="107">
              <w:r>
                <w:rPr>
                  <w:rStyle w:val="InternetLink"/>
                  <w:b/>
                </w:rPr>
                <w:t>PART II</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08">
              <w:r>
                <w:rPr>
                  <w:rStyle w:val="InternetLink"/>
                </w:rPr>
                <w:t>5. Market for Registrants Common Equity and Related Stockholder Matters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24</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09">
              <w:r>
                <w:rPr>
                  <w:rStyle w:val="InternetLink"/>
                </w:rPr>
                <w:t>6. Selected Financial Data</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26</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10">
              <w:r>
                <w:rPr>
                  <w:rStyle w:val="InternetLink"/>
                </w:rPr>
                <w:t>7. Managements Discussion and Analysis of Financial Condition and Results of Operations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27</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11">
              <w:r>
                <w:rPr>
                  <w:rStyle w:val="InternetLink"/>
                </w:rPr>
                <w:t>7A. Qualitative and Quantitative Disclosures About Market Risk</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44</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12">
              <w:r>
                <w:rPr>
                  <w:rStyle w:val="InternetLink"/>
                </w:rPr>
                <w:t>8. Financial Statements and Supplementary Data</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45</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13">
              <w:r>
                <w:rPr>
                  <w:rStyle w:val="InternetLink"/>
                </w:rPr>
                <w:t>9. Changes in and Disagreements with Accountants on Accounting and Financial Disclosure</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71</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14">
              <w:r>
                <w:rPr>
                  <w:rStyle w:val="InternetLink"/>
                </w:rPr>
                <w:t>9A. Controls and Procedures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72</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jc w:val="center"/>
              <w:rPr/>
            </w:pPr>
            <w:hyperlink w:anchor="115">
              <w:r>
                <w:rPr>
                  <w:rStyle w:val="InternetLink"/>
                  <w:b/>
                </w:rPr>
                <w:t>PART III</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16">
              <w:r>
                <w:rPr>
                  <w:rStyle w:val="InternetLink"/>
                </w:rPr>
                <w:t>10. Directors and Executive Officers of the Registrant</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74</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17">
              <w:r>
                <w:rPr>
                  <w:rStyle w:val="InternetLink"/>
                </w:rPr>
                <w:t>11. Executive Compensation</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78</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18">
              <w:r>
                <w:rPr>
                  <w:rStyle w:val="InternetLink"/>
                </w:rPr>
                <w:t>12. Security Ownership of Certain Beneficial Owners and Management and Related Stockholder Matters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94</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19">
              <w:r>
                <w:rPr>
                  <w:rStyle w:val="InternetLink"/>
                </w:rPr>
                <w:t>13. Certain Relationships and Related Party Transactions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96</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20">
              <w:r>
                <w:rPr>
                  <w:rStyle w:val="InternetLink"/>
                </w:rPr>
                <w:t>14. Principal Accounting Fees and Services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97</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jc w:val="center"/>
              <w:rPr/>
            </w:pPr>
            <w:hyperlink w:anchor="121">
              <w:r>
                <w:rPr>
                  <w:rStyle w:val="InternetLink"/>
                  <w:b/>
                </w:rPr>
                <w:t>PART IV</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22">
              <w:r>
                <w:rPr>
                  <w:rStyle w:val="InternetLink"/>
                </w:rPr>
                <w:t>15. Exhibits and Financial Statement Schedules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98</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center"/>
          </w:tcPr>
          <w:p>
            <w:pPr>
              <w:pStyle w:val="TableContents"/>
              <w:spacing w:before="0" w:after="283"/>
              <w:rPr/>
            </w:pPr>
            <w:r>
              <w:rPr/>
              <w:t> </w:t>
            </w:r>
          </w:p>
        </w:tc>
        <w:tc>
          <w:tcPr>
            <w:tcW w:w="1218" w:type="dxa"/>
            <w:gridSpan w:val="4"/>
            <w:tcBorders/>
            <w:shd w:fill="auto" w:val="clea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23">
              <w:r>
                <w:rPr>
                  <w:rStyle w:val="InternetLink"/>
                </w:rPr>
                <w:t>Signatures</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100</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3" w:type="dxa"/>
            <w:tcBorders/>
            <w:shd w:fill="auto" w:val="clear"/>
            <w:vAlign w:val="bottom"/>
          </w:tcPr>
          <w:p>
            <w:pPr>
              <w:pStyle w:val="TableContents"/>
              <w:spacing w:before="0" w:after="0"/>
              <w:ind w:left="225" w:right="0" w:hanging="225"/>
              <w:rPr/>
            </w:pPr>
            <w:hyperlink w:anchor="124">
              <w:r>
                <w:rPr>
                  <w:rStyle w:val="InternetLink"/>
                </w:rPr>
                <w:t>Exhibit Index</w:t>
              </w:r>
            </w:hyperlink>
          </w:p>
        </w:tc>
        <w:tc>
          <w:tcPr>
            <w:tcW w:w="5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pPr>
            <w:r>
              <w:rPr/>
              <w:t>101</w:t>
            </w:r>
          </w:p>
        </w:tc>
        <w:tc>
          <w:tcPr>
            <w:tcW w:w="101"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d52356exv10w14.htm">
              <w:r>
                <w:rPr>
                  <w:rStyle w:val="InternetLink"/>
                  <w:sz w:val="20"/>
                </w:rPr>
                <w:t>Fiscal Year 2008 Incentive Compensation Plan</w:t>
              </w:r>
            </w:hyperlink>
          </w:p>
        </w:tc>
      </w:tr>
      <w:tr>
        <w:trPr/>
        <w:tc>
          <w:tcPr>
            <w:tcW w:w="10205" w:type="dxa"/>
            <w:gridSpan w:val="6"/>
            <w:tcBorders/>
            <w:shd w:fill="auto" w:val="clear"/>
            <w:vAlign w:val="center"/>
          </w:tcPr>
          <w:p>
            <w:pPr>
              <w:pStyle w:val="TableContents"/>
              <w:spacing w:before="0" w:after="283"/>
              <w:rPr/>
            </w:pPr>
            <w:r>
              <w:rPr/>
              <w:t> </w:t>
            </w:r>
            <w:hyperlink w:anchor="d52356exv21w1.htm">
              <w:r>
                <w:rPr>
                  <w:rStyle w:val="InternetLink"/>
                  <w:sz w:val="20"/>
                </w:rPr>
                <w:t>Subsidiaries</w:t>
              </w:r>
            </w:hyperlink>
          </w:p>
        </w:tc>
      </w:tr>
      <w:tr>
        <w:trPr/>
        <w:tc>
          <w:tcPr>
            <w:tcW w:w="10205" w:type="dxa"/>
            <w:gridSpan w:val="6"/>
            <w:tcBorders/>
            <w:shd w:fill="auto" w:val="clear"/>
            <w:vAlign w:val="center"/>
          </w:tcPr>
          <w:p>
            <w:pPr>
              <w:pStyle w:val="TableContents"/>
              <w:spacing w:before="0" w:after="283"/>
              <w:rPr/>
            </w:pPr>
            <w:r>
              <w:rPr/>
              <w:t> </w:t>
            </w:r>
            <w:hyperlink w:anchor="d52356exv23w1.htm">
              <w:r>
                <w:rPr>
                  <w:rStyle w:val="InternetLink"/>
                  <w:sz w:val="20"/>
                </w:rPr>
                <w:t>Consent of Independent Registered Public Accounting Firm</w:t>
              </w:r>
            </w:hyperlink>
          </w:p>
        </w:tc>
      </w:tr>
      <w:tr>
        <w:trPr/>
        <w:tc>
          <w:tcPr>
            <w:tcW w:w="10205" w:type="dxa"/>
            <w:gridSpan w:val="6"/>
            <w:tcBorders/>
            <w:shd w:fill="auto" w:val="clear"/>
            <w:vAlign w:val="center"/>
          </w:tcPr>
          <w:p>
            <w:pPr>
              <w:pStyle w:val="TableContents"/>
              <w:spacing w:before="0" w:after="283"/>
              <w:rPr/>
            </w:pPr>
            <w:r>
              <w:rPr/>
              <w:t> </w:t>
            </w:r>
            <w:hyperlink w:anchor="d52356exv31w1.htm">
              <w:r>
                <w:rPr>
                  <w:rStyle w:val="InternetLink"/>
                  <w:sz w:val="20"/>
                </w:rPr>
                <w:t>Certification of CEO Pursuant to Section 302</w:t>
              </w:r>
            </w:hyperlink>
          </w:p>
        </w:tc>
      </w:tr>
      <w:tr>
        <w:trPr/>
        <w:tc>
          <w:tcPr>
            <w:tcW w:w="10205" w:type="dxa"/>
            <w:gridSpan w:val="6"/>
            <w:tcBorders/>
            <w:shd w:fill="auto" w:val="clear"/>
            <w:vAlign w:val="center"/>
          </w:tcPr>
          <w:p>
            <w:pPr>
              <w:pStyle w:val="TableContents"/>
              <w:spacing w:before="0" w:after="283"/>
              <w:rPr/>
            </w:pPr>
            <w:r>
              <w:rPr/>
              <w:t> </w:t>
            </w:r>
            <w:hyperlink w:anchor="d52356exv31w2.htm">
              <w:r>
                <w:rPr>
                  <w:rStyle w:val="InternetLink"/>
                  <w:sz w:val="20"/>
                </w:rPr>
                <w:t>Certification of CFO Pursuant to Section 302</w:t>
              </w:r>
            </w:hyperlink>
          </w:p>
        </w:tc>
      </w:tr>
      <w:tr>
        <w:trPr/>
        <w:tc>
          <w:tcPr>
            <w:tcW w:w="10205" w:type="dxa"/>
            <w:gridSpan w:val="6"/>
            <w:tcBorders/>
            <w:shd w:fill="auto" w:val="clear"/>
            <w:vAlign w:val="center"/>
          </w:tcPr>
          <w:p>
            <w:pPr>
              <w:pStyle w:val="TableContents"/>
              <w:spacing w:before="0" w:after="283"/>
              <w:rPr/>
            </w:pPr>
            <w:r>
              <w:rPr/>
              <w:t> </w:t>
            </w:r>
            <w:hyperlink w:anchor="d52356exv32w1.htm">
              <w:r>
                <w:rPr>
                  <w:rStyle w:val="InternetLink"/>
                  <w:sz w:val="20"/>
                </w:rPr>
                <w:t>Certification of CEO Pursuant to Section 906</w:t>
              </w:r>
            </w:hyperlink>
          </w:p>
        </w:tc>
      </w:tr>
      <w:tr>
        <w:trPr/>
        <w:tc>
          <w:tcPr>
            <w:tcW w:w="10205" w:type="dxa"/>
            <w:gridSpan w:val="6"/>
            <w:tcBorders/>
            <w:shd w:fill="auto" w:val="clear"/>
            <w:vAlign w:val="center"/>
          </w:tcPr>
          <w:p>
            <w:pPr>
              <w:pStyle w:val="TableContents"/>
              <w:spacing w:before="0" w:after="283"/>
              <w:rPr/>
            </w:pPr>
            <w:r>
              <w:rPr/>
              <w:t> </w:t>
            </w:r>
            <w:hyperlink w:anchor="d52356exv32w2.htm">
              <w:r>
                <w:rPr>
                  <w:rStyle w:val="InternetLink"/>
                  <w:sz w:val="20"/>
                </w:rPr>
                <w:t>Certification of CFO Pursuant to Section 906</w:t>
              </w:r>
            </w:hyperlink>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bookmarkStart w:id="3" w:name="101"/>
      <w:bookmarkEnd w:id="3"/>
      <w:r>
        <w:rPr>
          <w:rFonts w:ascii="Helvetica;Arial;sans-serif" w:hAnsi="Helvetica;Arial;sans-serif"/>
          <w:b/>
          <w:sz w:val="17"/>
        </w:rPr>
        <w:t>PART I</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bookmarkStart w:id="4" w:name="102"/>
      <w:bookmarkEnd w:id="4"/>
      <w:r>
        <w:rPr>
          <w:rFonts w:ascii="Helvetica;Arial;sans-serif" w:hAnsi="Helvetica;Arial;sans-serif"/>
          <w:b/>
          <w:smallCaps/>
          <w:sz w:val="17"/>
        </w:rPr>
        <w:t>Item</w:t>
      </w:r>
      <w:r>
        <w:rPr>
          <w:rFonts w:ascii="Helvetica;Arial;sans-serif" w:hAnsi="Helvetica;Arial;sans-serif"/>
          <w:sz w:val="17"/>
        </w:rPr>
        <w:t xml:space="preserve"> </w:t>
      </w:r>
      <w:r>
        <w:rPr>
          <w:rFonts w:ascii="Helvetica;Arial;sans-serif" w:hAnsi="Helvetica;Arial;sans-serif"/>
          <w:b/>
          <w:sz w:val="17"/>
        </w:rPr>
        <w:t xml:space="preserve">1. </w:t>
      </w:r>
      <w:r>
        <w:rPr>
          <w:rFonts w:ascii="Helvetica;Arial;sans-serif" w:hAnsi="Helvetica;Arial;sans-serif"/>
          <w:b/>
          <w:smallCaps/>
          <w:sz w:val="17"/>
        </w:rPr>
        <w:t>Business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discussion in this section of the report contains forward-looking statements that involve risks and uncertainties. Our actual results could differ materially from these forward-looking statements. Factors that could cause or contribute to such differences include, but are not limited to, those discussed in this report. </w:t>
      </w:r>
    </w:p>
    <w:p>
      <w:pPr>
        <w:pStyle w:val="TextBody"/>
        <w:spacing w:before="240" w:after="283"/>
        <w:jc w:val="left"/>
        <w:rPr>
          <w:rFonts w:ascii="Helvetica;Arial;sans-serif" w:hAnsi="Helvetica;Arial;sans-serif"/>
          <w:b/>
          <w:sz w:val="17"/>
        </w:rPr>
      </w:pPr>
      <w:r>
        <w:rPr>
          <w:rFonts w:ascii="Helvetica;Arial;sans-serif" w:hAnsi="Helvetica;Arial;sans-serif"/>
          <w:b/>
          <w:sz w:val="17"/>
        </w:rPr>
        <w:t>General</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EZCORP, Inc. is a Delaware corporation with principal executive offices at 1901 Capital Parkway, Austin, Texas 78746. Our telephone number is (512) 314-3400. You may access our filings with the Securities and Exchange Commission through a link in the Investor Relations section of our website at www.ezcorp.com. Our Code of Conduct and Ethics, Audit Committee Charter and Compensation Committee Charter are also available on our website.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lend or provide credit services to individuals who do not have cash resources or access to credit to meet their short-term cash needs. We offer pawn loans in 294 domestic pawn stores, including fifteen acquired in the third quarter of the current fiscal year, and four Mexico pawn stores open at September 30, 2007. Pawn loans are non-recourse loans collateralized by tangible personal property. At these stores, we also sell merchandise, primarily collateral forfeited from our pawn lending operations, to customers looking for good value. In 433 EZMONEY stores and 75 of our domestic pawn stores open September 30, 2007, we offer short-term non-collateralized loans, often called payday loans, or fee-based credit services to customers seeking loans (collectively, signature loans).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earn pawn service charge revenue on our pawn lending. While allowable service charges vary by state and loan size, a majority of our pawn loans are in amounts that allow 20% per month, or 240% annually. Our average pawn loan amount typically ranges between $80 and $100 but varies depending on the value of each item pawned. The total loan term, consisting of the primary term and grace period, ranges between 45 and 120 days. In the years ended September 30, 2005, 2006 and 2007 (fiscal 2005, 2006, and 2007), approximately 77%, 76% and 77% of our pawn loans were redeemed in full or were renewed or extended through the payment of accrued pawn service charges.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our pawnshops, we acquire inventory for retail sales through pawn loan forfeitures and, to a lesser extent, through purchases of customers merchandise. The gross profit on sales of inventory depends primarily on our assessment of the resale value at the time the property is either accepted as loan collateral or purchased. Improper assessment of the resale value in the lending or purchasing process can result in lower margins or reduced marketability of the merchandise. We realized gross margins on sales of 39%, 40% and 39% in fiscal 2005, 2006 and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June 18, 2007, we completed the acquisition of fifteen pawnshops and one payday loan store from Jumping Jack Cash in Colorado for $23.2 million of cash and direct transaction costs. Results of the acquired stores are included in our consolidated results from the date of acquisition. On October 22, 2007, we completed the acquisition of twenty Mexico pawnshops from MMFS Intl., S.A. de C.V, a subsidiary of Mister Money Holdings, Inc. for $15.3 million cash and direct transaction costs. The results of operations from these stores are excluded from our fiscal 2007 results as the acquisition occurred after the end of the fiscal year.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September 30, 2007, 264 of our 433 EZMONEY stores and 50 of our 298 pawn stores offered credit services to customers seeking loans from unaffiliated lenders. We do not participate in any of the loans made by the lenders, but earn a fee for helping customers obtain credit and for enhancing customers creditworthiness by providing letters of credit. We also offer a free service to all credit service customers to improve or establish their credit histories by reporting their payments to an external credit-reporting agency.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connection with our credit services, the unaffiliated lenders offer customers two types of loans. In all 264 EZMONEY stores offering credit services, customers can obtain short-term loans, with principal amounts up to $1,500, averaging $540. Terms of these short-term loans are generally less than 30 days, </w:t>
      </w:r>
    </w:p>
    <w:p>
      <w:pPr>
        <w:pStyle w:val="TextBody"/>
        <w:jc w:val="center"/>
        <w:rPr>
          <w:rFonts w:ascii="Helvetica;Arial;sans-serif" w:hAnsi="Helvetica;Arial;sans-serif"/>
          <w:sz w:val="17"/>
        </w:rPr>
      </w:pPr>
      <w:r>
        <w:rPr>
          <w:rFonts w:ascii="Helvetica;Arial;sans-serif" w:hAnsi="Helvetica;Arial;san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averaging about 18 days, with due dates corresponding with the customers next payday. We typically earn a fee of 20% of the loan amount for our short-term loan credit services. In 35 EZMONEY stores offering credit services, customers can also obtain longer-term installment loans from the unaffiliated lenders. The installment loans typically carry terms of about five months with ten equal installment payments due on customers paydays. Installment loan principal amounts range from $1,525 to $3,000, averaging about $2,300. With each installment payment, we earn a fee of 10% of the initial loan amount. At September 30, 2007, short-term loans comprised 98% of the balance of loans brokered through our credit services, and installment loans comprised the remaining 2%.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If a credit service customer defaults on his loan, we pay the lender the principal and accrued interest due under the loan plus an insufficient funds fee. We then attempt to collect the unpaid principal, interest and insufficient funds fee from the borrower. We consider as bad debt the amount we pay the lender under letters of credit, less any amounts we collect from the borrowers. The profitability of our credit services is highly dependent on the level of bad debt. When measured as a percentage of credit service fee revenue, we experienced bad debt on credit services of 25% in fiscal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earn payday loan fee revenue on our payday loans. In 194 stores, we make payday loans under state law. The average payday loan amount is approximately $435 and the term is generally less than 30 days, averaging about 19 days. We typically charge a fee of 15% to 22% of the loan amount for a 7 to 23-day period. The profitability of payday loans is highly dependent on the level of bad debt. When measured as a percentage of payday loan revenues, we experienced bad debt on payday loans of 40% in fiscal 2007. We also offer a free service to payday loan customers in most locations to improve or establish their credit histories by reporting their payments to an external credit-reporting agency.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Through December 2005, we also marketed and serviced payday loans made by County Bank of Rehoboth Beach in some of our stores. We could purchase a 90% participation in the County Bank loans we marketed. As of December 31, 2005, County Bank discontinued its payday loan program. Most of our stores previously marketing County Bank loans now provide credit services to customers seeking loans from unaffiliated lenders.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During fiscal 2007, we opened 100 EZMONEY stores, acquired one and closed or consolidated two. Of the 433 total EZMONEY stores, 170 adjoin existing EZPAWN locations but have a different entrance, signage, décor and staffing. Even though they adjoin an EZPAWN, the EZMONEY stores are a separate business from the customers point of view. We refer to these as adjoined stores.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experienced rapid signature loan growth in the past several years, and expect this growth to continue in the near term. Customers find signature loans a more attractive alternative than borrowing from friends and family or incurring insufficient fund fees, overdraft protection fees, utility reconnect fees and other charges imposed when they have insufficient cash. Signature loan customers exercise greater control of their personal finances without damaging the relationship they have with their merchants and service providers. Customers also value the excellent service we provide them.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components comprised our net revenues (total revenues less cost of goods sold): </w:t>
      </w:r>
    </w:p>
    <w:tbl>
      <w:tblPr>
        <w:tblW w:w="5000" w:type="pct"/>
        <w:jc w:val="center"/>
        <w:tblInd w:w="0" w:type="dxa"/>
        <w:tblCellMar>
          <w:top w:w="0" w:type="dxa"/>
          <w:left w:w="0" w:type="dxa"/>
          <w:bottom w:w="0" w:type="dxa"/>
          <w:right w:w="0" w:type="dxa"/>
        </w:tblCellMar>
      </w:tblPr>
      <w:tblGrid>
        <w:gridCol w:w="4980"/>
        <w:gridCol w:w="374"/>
        <w:gridCol w:w="274"/>
        <w:gridCol w:w="585"/>
        <w:gridCol w:w="486"/>
        <w:gridCol w:w="402"/>
        <w:gridCol w:w="274"/>
        <w:gridCol w:w="585"/>
        <w:gridCol w:w="486"/>
        <w:gridCol w:w="402"/>
        <w:gridCol w:w="274"/>
        <w:gridCol w:w="585"/>
        <w:gridCol w:w="498"/>
      </w:tblGrid>
      <w:tr>
        <w:trPr/>
        <w:tc>
          <w:tcPr>
            <w:tcW w:w="4980"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pPr>
            <w:r>
              <w:rPr/>
              <w:t> </w:t>
            </w:r>
          </w:p>
        </w:tc>
      </w:tr>
      <w:tr>
        <w:trPr/>
        <w:tc>
          <w:tcPr>
            <w:tcW w:w="4980"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4851" w:type="dxa"/>
            <w:gridSpan w:val="11"/>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r>
      <w:tr>
        <w:trPr/>
        <w:tc>
          <w:tcPr>
            <w:tcW w:w="4980"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34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402" w:type="dxa"/>
            <w:tcBorders/>
            <w:shd w:fill="auto" w:val="clear"/>
            <w:vAlign w:val="bottom"/>
          </w:tcPr>
          <w:p>
            <w:pPr>
              <w:pStyle w:val="TableContents"/>
              <w:spacing w:before="0" w:after="283"/>
              <w:rPr/>
            </w:pPr>
            <w:r>
              <w:rPr/>
              <w:t> </w:t>
            </w:r>
          </w:p>
        </w:tc>
        <w:tc>
          <w:tcPr>
            <w:tcW w:w="134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402" w:type="dxa"/>
            <w:tcBorders/>
            <w:shd w:fill="auto" w:val="clear"/>
            <w:vAlign w:val="bottom"/>
          </w:tcPr>
          <w:p>
            <w:pPr>
              <w:pStyle w:val="TableContents"/>
              <w:spacing w:before="0" w:after="283"/>
              <w:rPr/>
            </w:pPr>
            <w:r>
              <w:rPr/>
              <w:t> </w:t>
            </w:r>
          </w:p>
        </w:tc>
        <w:tc>
          <w:tcPr>
            <w:tcW w:w="135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2007</w:t>
            </w:r>
          </w:p>
        </w:tc>
      </w:tr>
      <w:tr>
        <w:trPr/>
        <w:tc>
          <w:tcPr>
            <w:tcW w:w="4980" w:type="dxa"/>
            <w:tcBorders/>
            <w:shd w:fill="CCEEFF" w:val="clear"/>
            <w:vAlign w:val="bottom"/>
          </w:tcPr>
          <w:p>
            <w:pPr>
              <w:pStyle w:val="TableContents"/>
              <w:spacing w:before="0" w:after="0"/>
              <w:ind w:left="225" w:right="0" w:hanging="225"/>
              <w:rPr/>
            </w:pPr>
            <w:r>
              <w:rPr/>
              <w:t>Pawn service charges</w:t>
            </w:r>
          </w:p>
        </w:tc>
        <w:tc>
          <w:tcPr>
            <w:tcW w:w="374"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 </w:t>
            </w:r>
          </w:p>
        </w:tc>
        <w:tc>
          <w:tcPr>
            <w:tcW w:w="585" w:type="dxa"/>
            <w:tcBorders/>
            <w:shd w:fill="CCEEFF" w:val="clear"/>
            <w:vAlign w:val="bottom"/>
          </w:tcPr>
          <w:p>
            <w:pPr>
              <w:pStyle w:val="TableContents"/>
              <w:spacing w:before="0" w:after="283"/>
              <w:jc w:val="right"/>
              <w:rPr/>
            </w:pPr>
            <w:r>
              <w:rPr/>
              <w:t>38</w:t>
            </w:r>
          </w:p>
        </w:tc>
        <w:tc>
          <w:tcPr>
            <w:tcW w:w="486" w:type="dxa"/>
            <w:tcBorders/>
            <w:shd w:fill="CCEEFF" w:val="clear"/>
            <w:vAlign w:val="bottom"/>
          </w:tcPr>
          <w:p>
            <w:pPr>
              <w:pStyle w:val="TableContents"/>
              <w:spacing w:before="0" w:after="283"/>
              <w:rPr/>
            </w:pPr>
            <w:r>
              <w:rPr/>
              <w:t>%</w:t>
            </w:r>
          </w:p>
        </w:tc>
        <w:tc>
          <w:tcPr>
            <w:tcW w:w="402"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 </w:t>
            </w:r>
          </w:p>
        </w:tc>
        <w:tc>
          <w:tcPr>
            <w:tcW w:w="585" w:type="dxa"/>
            <w:tcBorders/>
            <w:shd w:fill="CCEEFF" w:val="clear"/>
            <w:vAlign w:val="bottom"/>
          </w:tcPr>
          <w:p>
            <w:pPr>
              <w:pStyle w:val="TableContents"/>
              <w:spacing w:before="0" w:after="283"/>
              <w:jc w:val="right"/>
              <w:rPr/>
            </w:pPr>
            <w:r>
              <w:rPr/>
              <w:t>31</w:t>
            </w:r>
          </w:p>
        </w:tc>
        <w:tc>
          <w:tcPr>
            <w:tcW w:w="486" w:type="dxa"/>
            <w:tcBorders/>
            <w:shd w:fill="CCEEFF" w:val="clear"/>
            <w:vAlign w:val="bottom"/>
          </w:tcPr>
          <w:p>
            <w:pPr>
              <w:pStyle w:val="TableContents"/>
              <w:spacing w:before="0" w:after="283"/>
              <w:rPr/>
            </w:pPr>
            <w:r>
              <w:rPr/>
              <w:t>%</w:t>
            </w:r>
          </w:p>
        </w:tc>
        <w:tc>
          <w:tcPr>
            <w:tcW w:w="402"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 </w:t>
            </w:r>
          </w:p>
        </w:tc>
        <w:tc>
          <w:tcPr>
            <w:tcW w:w="585" w:type="dxa"/>
            <w:tcBorders/>
            <w:shd w:fill="CCEEFF" w:val="clear"/>
            <w:vAlign w:val="bottom"/>
          </w:tcPr>
          <w:p>
            <w:pPr>
              <w:pStyle w:val="TableContents"/>
              <w:spacing w:before="0" w:after="283"/>
              <w:jc w:val="right"/>
              <w:rPr/>
            </w:pPr>
            <w:r>
              <w:rPr/>
              <w:t>29</w:t>
            </w:r>
          </w:p>
        </w:tc>
        <w:tc>
          <w:tcPr>
            <w:tcW w:w="498" w:type="dxa"/>
            <w:tcBorders/>
            <w:shd w:fill="CCEEFF" w:val="clear"/>
            <w:vAlign w:val="bottom"/>
          </w:tcPr>
          <w:p>
            <w:pPr>
              <w:pStyle w:val="TableContents"/>
              <w:spacing w:before="0" w:after="283"/>
              <w:rPr/>
            </w:pPr>
            <w:r>
              <w:rPr/>
              <w:t>%</w:t>
            </w:r>
          </w:p>
        </w:tc>
      </w:tr>
      <w:tr>
        <w:trPr/>
        <w:tc>
          <w:tcPr>
            <w:tcW w:w="4980" w:type="dxa"/>
            <w:tcBorders/>
            <w:shd w:fill="auto" w:val="clear"/>
            <w:vAlign w:val="bottom"/>
          </w:tcPr>
          <w:p>
            <w:pPr>
              <w:pStyle w:val="TableContents"/>
              <w:spacing w:before="0" w:after="0"/>
              <w:ind w:left="225" w:right="0" w:hanging="225"/>
              <w:rPr/>
            </w:pPr>
            <w:r>
              <w:rPr/>
              <w:t>Gross profit from merchandise sales</w:t>
            </w:r>
          </w:p>
        </w:tc>
        <w:tc>
          <w:tcPr>
            <w:tcW w:w="37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31</w:t>
            </w:r>
          </w:p>
        </w:tc>
        <w:tc>
          <w:tcPr>
            <w:tcW w:w="486" w:type="dxa"/>
            <w:tcBorders/>
            <w:shd w:fill="auto" w:val="clear"/>
            <w:vAlign w:val="bottom"/>
          </w:tcPr>
          <w:p>
            <w:pPr>
              <w:pStyle w:val="TableContents"/>
              <w:spacing w:before="0" w:after="283"/>
              <w:rPr/>
            </w:pPr>
            <w:r>
              <w:rPr/>
              <w:t>%</w:t>
            </w:r>
          </w:p>
        </w:tc>
        <w:tc>
          <w:tcPr>
            <w:tcW w:w="402"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27</w:t>
            </w:r>
          </w:p>
        </w:tc>
        <w:tc>
          <w:tcPr>
            <w:tcW w:w="486" w:type="dxa"/>
            <w:tcBorders/>
            <w:shd w:fill="auto" w:val="clear"/>
            <w:vAlign w:val="bottom"/>
          </w:tcPr>
          <w:p>
            <w:pPr>
              <w:pStyle w:val="TableContents"/>
              <w:spacing w:before="0" w:after="283"/>
              <w:rPr/>
            </w:pPr>
            <w:r>
              <w:rPr/>
              <w:t>%</w:t>
            </w:r>
          </w:p>
        </w:tc>
        <w:tc>
          <w:tcPr>
            <w:tcW w:w="402"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23</w:t>
            </w:r>
          </w:p>
        </w:tc>
        <w:tc>
          <w:tcPr>
            <w:tcW w:w="498" w:type="dxa"/>
            <w:tcBorders/>
            <w:shd w:fill="auto" w:val="clear"/>
            <w:vAlign w:val="bottom"/>
          </w:tcPr>
          <w:p>
            <w:pPr>
              <w:pStyle w:val="TableContents"/>
              <w:spacing w:before="0" w:after="283"/>
              <w:rPr/>
            </w:pPr>
            <w:r>
              <w:rPr/>
              <w:t>%</w:t>
            </w:r>
          </w:p>
        </w:tc>
      </w:tr>
      <w:tr>
        <w:trPr/>
        <w:tc>
          <w:tcPr>
            <w:tcW w:w="4980" w:type="dxa"/>
            <w:tcBorders/>
            <w:shd w:fill="CCEEFF" w:val="clear"/>
            <w:vAlign w:val="bottom"/>
          </w:tcPr>
          <w:p>
            <w:pPr>
              <w:pStyle w:val="TableContents"/>
              <w:spacing w:before="0" w:after="0"/>
              <w:ind w:left="225" w:right="0" w:hanging="225"/>
              <w:rPr/>
            </w:pPr>
            <w:r>
              <w:rPr/>
              <w:t>Gross profit from jewelry scrapping</w:t>
            </w:r>
          </w:p>
        </w:tc>
        <w:tc>
          <w:tcPr>
            <w:tcW w:w="374"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 </w:t>
            </w:r>
          </w:p>
        </w:tc>
        <w:tc>
          <w:tcPr>
            <w:tcW w:w="585" w:type="dxa"/>
            <w:tcBorders/>
            <w:shd w:fill="CCEEFF" w:val="clear"/>
            <w:vAlign w:val="bottom"/>
          </w:tcPr>
          <w:p>
            <w:pPr>
              <w:pStyle w:val="TableContents"/>
              <w:spacing w:before="0" w:after="283"/>
              <w:jc w:val="right"/>
              <w:rPr/>
            </w:pPr>
            <w:r>
              <w:rPr/>
              <w:t>4</w:t>
            </w:r>
          </w:p>
        </w:tc>
        <w:tc>
          <w:tcPr>
            <w:tcW w:w="486" w:type="dxa"/>
            <w:tcBorders/>
            <w:shd w:fill="CCEEFF" w:val="clear"/>
            <w:vAlign w:val="bottom"/>
          </w:tcPr>
          <w:p>
            <w:pPr>
              <w:pStyle w:val="TableContents"/>
              <w:spacing w:before="0" w:after="283"/>
              <w:rPr/>
            </w:pPr>
            <w:r>
              <w:rPr/>
              <w:t>%</w:t>
            </w:r>
          </w:p>
        </w:tc>
        <w:tc>
          <w:tcPr>
            <w:tcW w:w="402"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 </w:t>
            </w:r>
          </w:p>
        </w:tc>
        <w:tc>
          <w:tcPr>
            <w:tcW w:w="585" w:type="dxa"/>
            <w:tcBorders/>
            <w:shd w:fill="CCEEFF" w:val="clear"/>
            <w:vAlign w:val="bottom"/>
          </w:tcPr>
          <w:p>
            <w:pPr>
              <w:pStyle w:val="TableContents"/>
              <w:spacing w:before="0" w:after="283"/>
              <w:jc w:val="right"/>
              <w:rPr/>
            </w:pPr>
            <w:r>
              <w:rPr/>
              <w:t>7</w:t>
            </w:r>
          </w:p>
        </w:tc>
        <w:tc>
          <w:tcPr>
            <w:tcW w:w="486" w:type="dxa"/>
            <w:tcBorders/>
            <w:shd w:fill="CCEEFF" w:val="clear"/>
            <w:vAlign w:val="bottom"/>
          </w:tcPr>
          <w:p>
            <w:pPr>
              <w:pStyle w:val="TableContents"/>
              <w:spacing w:before="0" w:after="283"/>
              <w:rPr/>
            </w:pPr>
            <w:r>
              <w:rPr/>
              <w:t>%</w:t>
            </w:r>
          </w:p>
        </w:tc>
        <w:tc>
          <w:tcPr>
            <w:tcW w:w="402"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 </w:t>
            </w:r>
          </w:p>
        </w:tc>
        <w:tc>
          <w:tcPr>
            <w:tcW w:w="585" w:type="dxa"/>
            <w:tcBorders/>
            <w:shd w:fill="CCEEFF" w:val="clear"/>
            <w:vAlign w:val="bottom"/>
          </w:tcPr>
          <w:p>
            <w:pPr>
              <w:pStyle w:val="TableContents"/>
              <w:spacing w:before="0" w:after="283"/>
              <w:jc w:val="right"/>
              <w:rPr/>
            </w:pPr>
            <w:r>
              <w:rPr/>
              <w:t>7</w:t>
            </w:r>
          </w:p>
        </w:tc>
        <w:tc>
          <w:tcPr>
            <w:tcW w:w="498" w:type="dxa"/>
            <w:tcBorders/>
            <w:shd w:fill="CCEEFF" w:val="clear"/>
            <w:vAlign w:val="bottom"/>
          </w:tcPr>
          <w:p>
            <w:pPr>
              <w:pStyle w:val="TableContents"/>
              <w:spacing w:before="0" w:after="283"/>
              <w:rPr/>
            </w:pPr>
            <w:r>
              <w:rPr/>
              <w:t>%</w:t>
            </w:r>
          </w:p>
        </w:tc>
      </w:tr>
      <w:tr>
        <w:trPr/>
        <w:tc>
          <w:tcPr>
            <w:tcW w:w="4980" w:type="dxa"/>
            <w:tcBorders/>
            <w:shd w:fill="auto" w:val="clear"/>
            <w:vAlign w:val="bottom"/>
          </w:tcPr>
          <w:p>
            <w:pPr>
              <w:pStyle w:val="TableContents"/>
              <w:spacing w:before="0" w:after="0"/>
              <w:ind w:left="225" w:right="0" w:hanging="225"/>
              <w:rPr/>
            </w:pPr>
            <w:r>
              <w:rPr/>
              <w:t>Signature loan (payday loan and credit service) fees</w:t>
            </w:r>
          </w:p>
        </w:tc>
        <w:tc>
          <w:tcPr>
            <w:tcW w:w="37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26</w:t>
            </w:r>
          </w:p>
        </w:tc>
        <w:tc>
          <w:tcPr>
            <w:tcW w:w="486" w:type="dxa"/>
            <w:tcBorders/>
            <w:shd w:fill="auto" w:val="clear"/>
            <w:vAlign w:val="bottom"/>
          </w:tcPr>
          <w:p>
            <w:pPr>
              <w:pStyle w:val="TableContents"/>
              <w:spacing w:before="0" w:after="283"/>
              <w:rPr/>
            </w:pPr>
            <w:r>
              <w:rPr/>
              <w:t>%</w:t>
            </w:r>
          </w:p>
        </w:tc>
        <w:tc>
          <w:tcPr>
            <w:tcW w:w="402"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34</w:t>
            </w:r>
          </w:p>
        </w:tc>
        <w:tc>
          <w:tcPr>
            <w:tcW w:w="486" w:type="dxa"/>
            <w:tcBorders/>
            <w:shd w:fill="auto" w:val="clear"/>
            <w:vAlign w:val="bottom"/>
          </w:tcPr>
          <w:p>
            <w:pPr>
              <w:pStyle w:val="TableContents"/>
              <w:spacing w:before="0" w:after="283"/>
              <w:rPr/>
            </w:pPr>
            <w:r>
              <w:rPr/>
              <w:t>%</w:t>
            </w:r>
          </w:p>
        </w:tc>
        <w:tc>
          <w:tcPr>
            <w:tcW w:w="402"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41</w:t>
            </w:r>
          </w:p>
        </w:tc>
        <w:tc>
          <w:tcPr>
            <w:tcW w:w="498" w:type="dxa"/>
            <w:tcBorders/>
            <w:shd w:fill="auto" w:val="clear"/>
            <w:vAlign w:val="bottom"/>
          </w:tcPr>
          <w:p>
            <w:pPr>
              <w:pStyle w:val="TableContents"/>
              <w:spacing w:before="0" w:after="283"/>
              <w:rPr/>
            </w:pPr>
            <w:r>
              <w:rPr/>
              <w:t>%</w:t>
            </w:r>
          </w:p>
        </w:tc>
      </w:tr>
      <w:tr>
        <w:trPr/>
        <w:tc>
          <w:tcPr>
            <w:tcW w:w="4980" w:type="dxa"/>
            <w:tcBorders/>
            <w:shd w:fill="CCEEFF" w:val="clear"/>
            <w:vAlign w:val="bottom"/>
          </w:tcPr>
          <w:p>
            <w:pPr>
              <w:pStyle w:val="TableContents"/>
              <w:spacing w:before="0" w:after="0"/>
              <w:ind w:left="225" w:right="0" w:hanging="225"/>
              <w:rPr/>
            </w:pPr>
            <w:r>
              <w:rPr/>
              <w:t>Other</w:t>
            </w:r>
          </w:p>
        </w:tc>
        <w:tc>
          <w:tcPr>
            <w:tcW w:w="374"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 </w:t>
            </w:r>
          </w:p>
        </w:tc>
        <w:tc>
          <w:tcPr>
            <w:tcW w:w="585" w:type="dxa"/>
            <w:tcBorders/>
            <w:shd w:fill="CCEEFF" w:val="clear"/>
            <w:vAlign w:val="bottom"/>
          </w:tcPr>
          <w:p>
            <w:pPr>
              <w:pStyle w:val="TableContents"/>
              <w:spacing w:before="0" w:after="283"/>
              <w:jc w:val="right"/>
              <w:rPr/>
            </w:pPr>
            <w:r>
              <w:rPr/>
              <w:t>1</w:t>
            </w:r>
          </w:p>
        </w:tc>
        <w:tc>
          <w:tcPr>
            <w:tcW w:w="486" w:type="dxa"/>
            <w:tcBorders/>
            <w:shd w:fill="CCEEFF" w:val="clear"/>
            <w:vAlign w:val="bottom"/>
          </w:tcPr>
          <w:p>
            <w:pPr>
              <w:pStyle w:val="TableContents"/>
              <w:spacing w:before="0" w:after="283"/>
              <w:rPr/>
            </w:pPr>
            <w:r>
              <w:rPr/>
              <w:t>%</w:t>
            </w:r>
          </w:p>
        </w:tc>
        <w:tc>
          <w:tcPr>
            <w:tcW w:w="402"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 </w:t>
            </w:r>
          </w:p>
        </w:tc>
        <w:tc>
          <w:tcPr>
            <w:tcW w:w="585" w:type="dxa"/>
            <w:tcBorders/>
            <w:shd w:fill="CCEEFF" w:val="clear"/>
            <w:vAlign w:val="bottom"/>
          </w:tcPr>
          <w:p>
            <w:pPr>
              <w:pStyle w:val="TableContents"/>
              <w:spacing w:before="0" w:after="283"/>
              <w:jc w:val="right"/>
              <w:rPr/>
            </w:pPr>
            <w:r>
              <w:rPr/>
              <w:t>1</w:t>
            </w:r>
          </w:p>
        </w:tc>
        <w:tc>
          <w:tcPr>
            <w:tcW w:w="486" w:type="dxa"/>
            <w:tcBorders/>
            <w:shd w:fill="CCEEFF" w:val="clear"/>
            <w:vAlign w:val="bottom"/>
          </w:tcPr>
          <w:p>
            <w:pPr>
              <w:pStyle w:val="TableContents"/>
              <w:spacing w:before="0" w:after="283"/>
              <w:rPr/>
            </w:pPr>
            <w:r>
              <w:rPr/>
              <w:t>%</w:t>
            </w:r>
          </w:p>
        </w:tc>
        <w:tc>
          <w:tcPr>
            <w:tcW w:w="402"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283"/>
              <w:jc w:val="right"/>
              <w:rPr/>
            </w:pPr>
            <w:r>
              <w:rPr/>
              <w:t></w:t>
            </w:r>
          </w:p>
        </w:tc>
        <w:tc>
          <w:tcPr>
            <w:tcW w:w="498" w:type="dxa"/>
            <w:tcBorders/>
            <w:shd w:fill="CCEEFF" w:val="clear"/>
            <w:vAlign w:val="bottom"/>
          </w:tcPr>
          <w:p>
            <w:pPr>
              <w:pStyle w:val="TableContents"/>
              <w:spacing w:before="0" w:after="283"/>
              <w:rPr/>
            </w:pPr>
            <w:r>
              <w:rPr/>
              <w:t> </w:t>
            </w:r>
          </w:p>
        </w:tc>
      </w:tr>
      <w:tr>
        <w:trPr/>
        <w:tc>
          <w:tcPr>
            <w:tcW w:w="4980" w:type="dxa"/>
            <w:tcBorders/>
            <w:shd w:fill="auto" w:val="clear"/>
            <w:vAlign w:val="center"/>
          </w:tcPr>
          <w:p>
            <w:pPr>
              <w:pStyle w:val="TableContents"/>
              <w:spacing w:before="0" w:after="0"/>
              <w:ind w:left="225" w:right="0" w:hanging="225"/>
              <w:rPr/>
            </w:pPr>
            <w:r>
              <w:rPr/>
              <w:t> </w:t>
            </w:r>
          </w:p>
        </w:tc>
        <w:tc>
          <w:tcPr>
            <w:tcW w:w="374"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58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486"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58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486"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58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498" w:type="dxa"/>
            <w:tcBorders/>
            <w:shd w:fill="auto" w:val="clear"/>
            <w:vAlign w:val="center"/>
          </w:tcPr>
          <w:p>
            <w:pPr>
              <w:pStyle w:val="TableContents"/>
              <w:spacing w:before="0" w:after="283"/>
              <w:rPr/>
            </w:pPr>
            <w:r>
              <w:rPr/>
              <w:t> </w:t>
            </w:r>
          </w:p>
        </w:tc>
      </w:tr>
      <w:tr>
        <w:trPr/>
        <w:tc>
          <w:tcPr>
            <w:tcW w:w="4980" w:type="dxa"/>
            <w:tcBorders/>
            <w:shd w:fill="auto" w:val="clear"/>
            <w:vAlign w:val="bottom"/>
          </w:tcPr>
          <w:p>
            <w:pPr>
              <w:pStyle w:val="TableContents"/>
              <w:spacing w:before="0" w:after="0"/>
              <w:ind w:left="225" w:right="0" w:hanging="225"/>
              <w:rPr/>
            </w:pPr>
            <w:r>
              <w:rPr/>
              <w:t>Net revenues</w:t>
            </w:r>
          </w:p>
        </w:tc>
        <w:tc>
          <w:tcPr>
            <w:tcW w:w="374"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100</w:t>
            </w:r>
          </w:p>
        </w:tc>
        <w:tc>
          <w:tcPr>
            <w:tcW w:w="486" w:type="dxa"/>
            <w:tcBorders/>
            <w:shd w:fill="auto" w:val="clear"/>
            <w:vAlign w:val="bottom"/>
          </w:tcPr>
          <w:p>
            <w:pPr>
              <w:pStyle w:val="TableContents"/>
              <w:spacing w:before="0" w:after="283"/>
              <w:rPr/>
            </w:pPr>
            <w:r>
              <w:rPr/>
              <w:t>%</w:t>
            </w:r>
          </w:p>
        </w:tc>
        <w:tc>
          <w:tcPr>
            <w:tcW w:w="402"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100</w:t>
            </w:r>
          </w:p>
        </w:tc>
        <w:tc>
          <w:tcPr>
            <w:tcW w:w="486" w:type="dxa"/>
            <w:tcBorders/>
            <w:shd w:fill="auto" w:val="clear"/>
            <w:vAlign w:val="bottom"/>
          </w:tcPr>
          <w:p>
            <w:pPr>
              <w:pStyle w:val="TableContents"/>
              <w:spacing w:before="0" w:after="283"/>
              <w:rPr/>
            </w:pPr>
            <w:r>
              <w:rPr/>
              <w:t>%</w:t>
            </w:r>
          </w:p>
        </w:tc>
        <w:tc>
          <w:tcPr>
            <w:tcW w:w="402"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100</w:t>
            </w:r>
          </w:p>
        </w:tc>
        <w:tc>
          <w:tcPr>
            <w:tcW w:w="498" w:type="dxa"/>
            <w:tcBorders/>
            <w:shd w:fill="auto" w:val="clear"/>
            <w:vAlign w:val="bottom"/>
          </w:tcPr>
          <w:p>
            <w:pPr>
              <w:pStyle w:val="TableContents"/>
              <w:spacing w:before="0" w:after="283"/>
              <w:rPr/>
            </w:pPr>
            <w:r>
              <w:rPr/>
              <w:t>%</w:t>
            </w:r>
          </w:p>
        </w:tc>
      </w:tr>
    </w:tbl>
    <w:p>
      <w:pPr>
        <w:pStyle w:val="TextBody"/>
        <w:jc w:val="center"/>
        <w:rPr>
          <w:rFonts w:ascii="Helvetica;Arial;sans-serif" w:hAnsi="Helvetica;Arial;sans-serif"/>
          <w:sz w:val="17"/>
        </w:rPr>
      </w:pPr>
      <w:r>
        <w:rPr>
          <w:rFonts w:ascii="Helvetica;Arial;sans-serif" w:hAnsi="Helvetica;Arial;san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b/>
          <w:sz w:val="17"/>
        </w:rPr>
      </w:pPr>
      <w:r>
        <w:rPr>
          <w:rFonts w:ascii="Helvetica;Arial;sans-serif" w:hAnsi="Helvetica;Arial;sans-serif"/>
          <w:b/>
          <w:sz w:val="17"/>
        </w:rPr>
        <w:t>Pawn Lending Activities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pawnshops make pawn loans, which typically are small, non-recourse loans collateralized by tangible personal property. At September 30, 2007, we had approximately 635,000 loans outstanding, representing an aggregate principal balance of $60.7 million. A majority of our pawn loans are in amounts that permit pawn service charges of 20% per month, or 240% annually. For fiscal 2007, pawn service charges accounted for approximately 20% of our total revenues and 29% of our net revenues.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Collateral for our pawn loans consists of tangible personal property, generally jewelry, consumer electronics, tools, sporting goods and musical instruments. Approximately 65% of our pawn loan collateral is jewelry and approximately 90% of this amount is gold jewelry. We do not evaluate the creditworthiness of a pawn customer, but rely on the estimated resale value of the collateral and the perceived probability of the loans redemption. We generally lend from 25% to 65% of the pledged propertys estimated resale value depending on an evaluation of these factors. The sources for our determination of the resale value of collateral include our computerized valuation software, gold values, internet auction sites, catalogues, newspaper advertisements and previous sales of similar merchandise.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collateral is held through the duration of the loan, which in most locations is 60 days. The customer generally has the option of renewing or extending the loan. Through our lending guidelines, we maintain a redemption rate (the percent of loans made that are redeemed, renewed or extended) between 70% and 80%. In each of our last three fiscal years, the redemption rate was within this range. If a borrower does not repay, extend or renew a loan, the collateral is forfeited to us and becomes inventory available for sale. We do not record loan losses or charge-offs of pawn loans because the principal amount of an unpaid loan becomes the inventory carrying cost of the forfeited collateral. We provide an inventory valuation allowance to ensure that this forfeited collateral is valued at the lower of cost or market.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table below shows our dollar amount of pawn loan activity for fiscal 2005, 2006 and 2007: </w:t>
      </w:r>
    </w:p>
    <w:tbl>
      <w:tblPr>
        <w:tblW w:w="5000" w:type="pct"/>
        <w:jc w:val="center"/>
        <w:tblInd w:w="0" w:type="dxa"/>
        <w:tblCellMar>
          <w:top w:w="0" w:type="dxa"/>
          <w:left w:w="0" w:type="dxa"/>
          <w:bottom w:w="0" w:type="dxa"/>
          <w:right w:w="0" w:type="dxa"/>
        </w:tblCellMar>
      </w:tblPr>
      <w:tblGrid>
        <w:gridCol w:w="5502"/>
        <w:gridCol w:w="419"/>
        <w:gridCol w:w="177"/>
        <w:gridCol w:w="787"/>
        <w:gridCol w:w="144"/>
        <w:gridCol w:w="428"/>
        <w:gridCol w:w="177"/>
        <w:gridCol w:w="841"/>
        <w:gridCol w:w="144"/>
        <w:gridCol w:w="427"/>
        <w:gridCol w:w="177"/>
        <w:gridCol w:w="842"/>
        <w:gridCol w:w="140"/>
      </w:tblGrid>
      <w:tr>
        <w:trPr/>
        <w:tc>
          <w:tcPr>
            <w:tcW w:w="550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50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4144"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c>
          <w:tcPr>
            <w:tcW w:w="140" w:type="dxa"/>
            <w:tcBorders/>
            <w:shd w:fill="auto" w:val="clear"/>
            <w:vAlign w:val="bottom"/>
          </w:tcPr>
          <w:p>
            <w:pPr>
              <w:pStyle w:val="TableContents"/>
              <w:spacing w:before="0" w:after="283"/>
              <w:rPr/>
            </w:pPr>
            <w:r>
              <w:rPr/>
              <w:t> </w:t>
            </w:r>
          </w:p>
        </w:tc>
      </w:tr>
      <w:tr>
        <w:trPr/>
        <w:tc>
          <w:tcPr>
            <w:tcW w:w="550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96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44"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01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 (a)</w:t>
            </w:r>
          </w:p>
        </w:tc>
        <w:tc>
          <w:tcPr>
            <w:tcW w:w="144"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01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40" w:type="dxa"/>
            <w:tcBorders/>
            <w:shd w:fill="auto" w:val="clear"/>
            <w:vAlign w:val="bottom"/>
          </w:tcPr>
          <w:p>
            <w:pPr>
              <w:pStyle w:val="TableContents"/>
              <w:spacing w:before="0" w:after="283"/>
              <w:rPr/>
            </w:pPr>
            <w:r>
              <w:rPr/>
              <w:t> </w:t>
            </w:r>
          </w:p>
        </w:tc>
      </w:tr>
      <w:tr>
        <w:trPr/>
        <w:tc>
          <w:tcPr>
            <w:tcW w:w="5502"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4144" w:type="dxa"/>
            <w:gridSpan w:val="10"/>
            <w:tcBorders/>
            <w:shd w:fill="auto" w:val="clear"/>
            <w:vAlign w:val="bottom"/>
          </w:tcPr>
          <w:p>
            <w:pPr>
              <w:pStyle w:val="TableContents"/>
              <w:spacing w:before="0" w:after="283"/>
              <w:jc w:val="center"/>
              <w:rPr>
                <w:i/>
              </w:rPr>
            </w:pPr>
            <w:r>
              <w:rPr>
                <w:i/>
              </w:rPr>
              <w:t>(in millions)</w:t>
            </w:r>
          </w:p>
        </w:tc>
        <w:tc>
          <w:tcPr>
            <w:tcW w:w="140" w:type="dxa"/>
            <w:tcBorders/>
            <w:shd w:fill="auto" w:val="clear"/>
            <w:vAlign w:val="bottom"/>
          </w:tcPr>
          <w:p>
            <w:pPr>
              <w:pStyle w:val="TableContents"/>
              <w:spacing w:before="0" w:after="283"/>
              <w:rPr/>
            </w:pPr>
            <w:r>
              <w:rPr/>
              <w:t> </w:t>
            </w:r>
          </w:p>
        </w:tc>
      </w:tr>
      <w:tr>
        <w:trPr/>
        <w:tc>
          <w:tcPr>
            <w:tcW w:w="5502" w:type="dxa"/>
            <w:tcBorders/>
            <w:shd w:fill="CCEEFF" w:val="clear"/>
            <w:vAlign w:val="bottom"/>
          </w:tcPr>
          <w:p>
            <w:pPr>
              <w:pStyle w:val="TableContents"/>
              <w:spacing w:before="0" w:after="0"/>
              <w:ind w:left="225" w:right="0" w:hanging="225"/>
              <w:rPr/>
            </w:pPr>
            <w:r>
              <w:rPr/>
              <w:t>Loans made</w:t>
            </w:r>
          </w:p>
        </w:tc>
        <w:tc>
          <w:tcPr>
            <w:tcW w:w="41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173.0</w:t>
            </w:r>
          </w:p>
        </w:tc>
        <w:tc>
          <w:tcPr>
            <w:tcW w:w="144"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41" w:type="dxa"/>
            <w:tcBorders/>
            <w:shd w:fill="CCEEFF" w:val="clear"/>
            <w:vAlign w:val="bottom"/>
          </w:tcPr>
          <w:p>
            <w:pPr>
              <w:pStyle w:val="TableContents"/>
              <w:spacing w:before="0" w:after="283"/>
              <w:jc w:val="right"/>
              <w:rPr/>
            </w:pPr>
            <w:r>
              <w:rPr/>
              <w:t>191.8</w:t>
            </w:r>
          </w:p>
        </w:tc>
        <w:tc>
          <w:tcPr>
            <w:tcW w:w="144"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42" w:type="dxa"/>
            <w:tcBorders/>
            <w:shd w:fill="CCEEFF" w:val="clear"/>
            <w:vAlign w:val="bottom"/>
          </w:tcPr>
          <w:p>
            <w:pPr>
              <w:pStyle w:val="TableContents"/>
              <w:spacing w:before="0" w:after="283"/>
              <w:jc w:val="right"/>
              <w:rPr/>
            </w:pPr>
            <w:r>
              <w:rPr/>
              <w:t>211.9</w:t>
            </w:r>
          </w:p>
        </w:tc>
        <w:tc>
          <w:tcPr>
            <w:tcW w:w="140" w:type="dxa"/>
            <w:tcBorders/>
            <w:shd w:fill="CCEEFF" w:val="clear"/>
            <w:vAlign w:val="bottom"/>
          </w:tcPr>
          <w:p>
            <w:pPr>
              <w:pStyle w:val="TableContents"/>
              <w:spacing w:before="0" w:after="283"/>
              <w:rPr/>
            </w:pPr>
            <w:r>
              <w:rPr/>
              <w:t> </w:t>
            </w:r>
          </w:p>
        </w:tc>
      </w:tr>
      <w:tr>
        <w:trPr/>
        <w:tc>
          <w:tcPr>
            <w:tcW w:w="5502" w:type="dxa"/>
            <w:tcBorders/>
            <w:shd w:fill="auto" w:val="clear"/>
            <w:vAlign w:val="bottom"/>
          </w:tcPr>
          <w:p>
            <w:pPr>
              <w:pStyle w:val="TableContents"/>
              <w:spacing w:before="0" w:after="0"/>
              <w:ind w:left="225" w:right="0" w:hanging="225"/>
              <w:rPr/>
            </w:pPr>
            <w:r>
              <w:rPr/>
              <w:t>Loans repaid</w:t>
            </w:r>
          </w:p>
        </w:tc>
        <w:tc>
          <w:tcPr>
            <w:tcW w:w="41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283"/>
              <w:jc w:val="right"/>
              <w:rPr/>
            </w:pPr>
            <w:r>
              <w:rPr/>
              <w:t>(93.3</w:t>
            </w:r>
          </w:p>
        </w:tc>
        <w:tc>
          <w:tcPr>
            <w:tcW w:w="144" w:type="dxa"/>
            <w:tcBorders/>
            <w:shd w:fill="auto" w:val="clear"/>
            <w:vAlign w:val="bottom"/>
          </w:tcPr>
          <w:p>
            <w:pPr>
              <w:pStyle w:val="TableContents"/>
              <w:spacing w:before="0" w:after="283"/>
              <w:rPr/>
            </w:pPr>
            <w:r>
              <w:rPr/>
              <w:t>)</w:t>
            </w:r>
          </w:p>
        </w:tc>
        <w:tc>
          <w:tcPr>
            <w:tcW w:w="4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41" w:type="dxa"/>
            <w:tcBorders/>
            <w:shd w:fill="auto" w:val="clear"/>
            <w:vAlign w:val="bottom"/>
          </w:tcPr>
          <w:p>
            <w:pPr>
              <w:pStyle w:val="TableContents"/>
              <w:spacing w:before="0" w:after="283"/>
              <w:jc w:val="right"/>
              <w:rPr/>
            </w:pPr>
            <w:r>
              <w:rPr/>
              <w:t>(101.6</w:t>
            </w:r>
          </w:p>
        </w:tc>
        <w:tc>
          <w:tcPr>
            <w:tcW w:w="144" w:type="dxa"/>
            <w:tcBorders/>
            <w:shd w:fill="auto" w:val="clear"/>
            <w:vAlign w:val="bottom"/>
          </w:tcPr>
          <w:p>
            <w:pPr>
              <w:pStyle w:val="TableContents"/>
              <w:spacing w:before="0" w:after="283"/>
              <w:rPr/>
            </w:pPr>
            <w:r>
              <w:rPr/>
              <w:t>)</w:t>
            </w:r>
          </w:p>
        </w:tc>
        <w:tc>
          <w:tcPr>
            <w:tcW w:w="42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42" w:type="dxa"/>
            <w:tcBorders/>
            <w:shd w:fill="auto" w:val="clear"/>
            <w:vAlign w:val="bottom"/>
          </w:tcPr>
          <w:p>
            <w:pPr>
              <w:pStyle w:val="TableContents"/>
              <w:spacing w:before="0" w:after="283"/>
              <w:jc w:val="right"/>
              <w:rPr/>
            </w:pPr>
            <w:r>
              <w:rPr/>
              <w:t>(109.2</w:t>
            </w:r>
          </w:p>
        </w:tc>
        <w:tc>
          <w:tcPr>
            <w:tcW w:w="140" w:type="dxa"/>
            <w:tcBorders/>
            <w:shd w:fill="auto" w:val="clear"/>
            <w:vAlign w:val="bottom"/>
          </w:tcPr>
          <w:p>
            <w:pPr>
              <w:pStyle w:val="TableContents"/>
              <w:spacing w:before="0" w:after="283"/>
              <w:rPr/>
            </w:pPr>
            <w:r>
              <w:rPr/>
              <w:t>)</w:t>
            </w:r>
          </w:p>
        </w:tc>
      </w:tr>
      <w:tr>
        <w:trPr/>
        <w:tc>
          <w:tcPr>
            <w:tcW w:w="5502" w:type="dxa"/>
            <w:tcBorders/>
            <w:shd w:fill="CCEEFF" w:val="clear"/>
            <w:vAlign w:val="bottom"/>
          </w:tcPr>
          <w:p>
            <w:pPr>
              <w:pStyle w:val="TableContents"/>
              <w:spacing w:before="0" w:after="0"/>
              <w:ind w:left="225" w:right="0" w:hanging="225"/>
              <w:rPr/>
            </w:pPr>
            <w:r>
              <w:rPr/>
              <w:t>Loans forfeited</w:t>
            </w:r>
          </w:p>
        </w:tc>
        <w:tc>
          <w:tcPr>
            <w:tcW w:w="41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787" w:type="dxa"/>
            <w:tcBorders/>
            <w:shd w:fill="CCEEFF" w:val="clear"/>
            <w:vAlign w:val="bottom"/>
          </w:tcPr>
          <w:p>
            <w:pPr>
              <w:pStyle w:val="TableContents"/>
              <w:spacing w:before="0" w:after="283"/>
              <w:jc w:val="right"/>
              <w:rPr/>
            </w:pPr>
            <w:r>
              <w:rPr/>
              <w:t>(75.9</w:t>
            </w:r>
          </w:p>
        </w:tc>
        <w:tc>
          <w:tcPr>
            <w:tcW w:w="144" w:type="dxa"/>
            <w:tcBorders/>
            <w:shd w:fill="CCEEFF" w:val="clear"/>
            <w:vAlign w:val="bottom"/>
          </w:tcPr>
          <w:p>
            <w:pPr>
              <w:pStyle w:val="TableContents"/>
              <w:spacing w:before="0" w:after="283"/>
              <w:rPr/>
            </w:pPr>
            <w:r>
              <w:rPr/>
              <w:t>)</w:t>
            </w:r>
          </w:p>
        </w:tc>
        <w:tc>
          <w:tcPr>
            <w:tcW w:w="4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283"/>
              <w:jc w:val="right"/>
              <w:rPr/>
            </w:pPr>
            <w:r>
              <w:rPr/>
              <w:t>(93.2</w:t>
            </w:r>
          </w:p>
        </w:tc>
        <w:tc>
          <w:tcPr>
            <w:tcW w:w="144" w:type="dxa"/>
            <w:tcBorders/>
            <w:shd w:fill="CCEEFF" w:val="clear"/>
            <w:vAlign w:val="bottom"/>
          </w:tcPr>
          <w:p>
            <w:pPr>
              <w:pStyle w:val="TableContents"/>
              <w:spacing w:before="0" w:after="283"/>
              <w:rPr/>
            </w:pPr>
            <w:r>
              <w:rPr/>
              <w:t>)</w:t>
            </w:r>
          </w:p>
        </w:tc>
        <w:tc>
          <w:tcPr>
            <w:tcW w:w="42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283"/>
              <w:jc w:val="right"/>
              <w:rPr/>
            </w:pPr>
            <w:r>
              <w:rPr/>
              <w:t>(96.4</w:t>
            </w:r>
          </w:p>
        </w:tc>
        <w:tc>
          <w:tcPr>
            <w:tcW w:w="140" w:type="dxa"/>
            <w:tcBorders/>
            <w:shd w:fill="CCEEFF" w:val="clear"/>
            <w:vAlign w:val="bottom"/>
          </w:tcPr>
          <w:p>
            <w:pPr>
              <w:pStyle w:val="TableContents"/>
              <w:spacing w:before="0" w:after="283"/>
              <w:rPr/>
            </w:pPr>
            <w:r>
              <w:rPr/>
              <w:t>)</w:t>
            </w:r>
          </w:p>
        </w:tc>
      </w:tr>
      <w:tr>
        <w:trPr/>
        <w:tc>
          <w:tcPr>
            <w:tcW w:w="5502" w:type="dxa"/>
            <w:tcBorders/>
            <w:shd w:fill="auto" w:val="clear"/>
            <w:vAlign w:val="bottom"/>
          </w:tcPr>
          <w:p>
            <w:pPr>
              <w:pStyle w:val="TableContents"/>
              <w:spacing w:before="0" w:after="0"/>
              <w:ind w:left="225" w:right="0" w:hanging="225"/>
              <w:rPr/>
            </w:pPr>
            <w:r>
              <w:rPr/>
              <w:t>Loans acquired in business acquisitions</w:t>
            </w:r>
          </w:p>
        </w:tc>
        <w:tc>
          <w:tcPr>
            <w:tcW w:w="41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0.4</w:t>
            </w:r>
          </w:p>
        </w:tc>
        <w:tc>
          <w:tcPr>
            <w:tcW w:w="144"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4.1</w:t>
            </w:r>
          </w:p>
        </w:tc>
        <w:tc>
          <w:tcPr>
            <w:tcW w:w="140" w:type="dxa"/>
            <w:tcBorders/>
            <w:shd w:fill="auto" w:val="clear"/>
            <w:vAlign w:val="bottom"/>
          </w:tcPr>
          <w:p>
            <w:pPr>
              <w:pStyle w:val="TableContents"/>
              <w:spacing w:before="0" w:after="283"/>
              <w:rPr/>
            </w:pPr>
            <w:r>
              <w:rPr/>
              <w:t> </w:t>
            </w:r>
          </w:p>
        </w:tc>
      </w:tr>
      <w:tr>
        <w:trPr/>
        <w:tc>
          <w:tcPr>
            <w:tcW w:w="5502"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0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0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502" w:type="dxa"/>
            <w:tcBorders/>
            <w:shd w:fill="CCEEFF" w:val="clear"/>
            <w:vAlign w:val="bottom"/>
          </w:tcPr>
          <w:p>
            <w:pPr>
              <w:pStyle w:val="TableContents"/>
              <w:spacing w:before="0" w:after="0"/>
              <w:ind w:left="225" w:right="0" w:hanging="225"/>
              <w:rPr/>
            </w:pPr>
            <w:r>
              <w:rPr/>
              <w:t>Net increase (decrease) in pawn loans outstanding at the end of the year</w:t>
            </w:r>
          </w:p>
        </w:tc>
        <w:tc>
          <w:tcPr>
            <w:tcW w:w="41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3.8</w:t>
            </w:r>
          </w:p>
        </w:tc>
        <w:tc>
          <w:tcPr>
            <w:tcW w:w="144"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41" w:type="dxa"/>
            <w:tcBorders/>
            <w:shd w:fill="CCEEFF" w:val="clear"/>
            <w:vAlign w:val="bottom"/>
          </w:tcPr>
          <w:p>
            <w:pPr>
              <w:pStyle w:val="TableContents"/>
              <w:spacing w:before="0" w:after="283"/>
              <w:jc w:val="right"/>
              <w:rPr/>
            </w:pPr>
            <w:r>
              <w:rPr/>
              <w:t>(2.6</w:t>
            </w:r>
          </w:p>
        </w:tc>
        <w:tc>
          <w:tcPr>
            <w:tcW w:w="144" w:type="dxa"/>
            <w:tcBorders/>
            <w:shd w:fill="CCEEFF" w:val="clear"/>
            <w:vAlign w:val="bottom"/>
          </w:tcPr>
          <w:p>
            <w:pPr>
              <w:pStyle w:val="TableContents"/>
              <w:spacing w:before="0" w:after="283"/>
              <w:rPr/>
            </w:pPr>
            <w:r>
              <w:rPr/>
              <w:t>)</w:t>
            </w:r>
          </w:p>
        </w:tc>
        <w:tc>
          <w:tcPr>
            <w:tcW w:w="42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42" w:type="dxa"/>
            <w:tcBorders/>
            <w:shd w:fill="CCEEFF" w:val="clear"/>
            <w:vAlign w:val="bottom"/>
          </w:tcPr>
          <w:p>
            <w:pPr>
              <w:pStyle w:val="TableContents"/>
              <w:spacing w:before="0" w:after="283"/>
              <w:jc w:val="right"/>
              <w:rPr/>
            </w:pPr>
            <w:r>
              <w:rPr/>
              <w:t>10.4</w:t>
            </w:r>
          </w:p>
        </w:tc>
        <w:tc>
          <w:tcPr>
            <w:tcW w:w="140" w:type="dxa"/>
            <w:tcBorders/>
            <w:shd w:fill="CCEEFF" w:val="clear"/>
            <w:vAlign w:val="bottom"/>
          </w:tcPr>
          <w:p>
            <w:pPr>
              <w:pStyle w:val="TableContents"/>
              <w:spacing w:before="0" w:after="283"/>
              <w:rPr/>
            </w:pPr>
            <w:r>
              <w:rPr/>
              <w:t> </w:t>
            </w:r>
          </w:p>
        </w:tc>
      </w:tr>
      <w:tr>
        <w:trPr/>
        <w:tc>
          <w:tcPr>
            <w:tcW w:w="5502"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0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0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5502"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5502" w:type="dxa"/>
            <w:tcBorders/>
            <w:shd w:fill="auto" w:val="clear"/>
            <w:vAlign w:val="bottom"/>
          </w:tcPr>
          <w:p>
            <w:pPr>
              <w:pStyle w:val="TableContents"/>
              <w:spacing w:before="0" w:after="0"/>
              <w:ind w:left="225" w:right="0" w:hanging="225"/>
              <w:rPr/>
            </w:pPr>
            <w:r>
              <w:rPr/>
              <w:t>Loans renewed</w:t>
            </w:r>
          </w:p>
        </w:tc>
        <w:tc>
          <w:tcPr>
            <w:tcW w:w="41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23.2</w:t>
            </w:r>
          </w:p>
        </w:tc>
        <w:tc>
          <w:tcPr>
            <w:tcW w:w="144"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30.2</w:t>
            </w:r>
          </w:p>
        </w:tc>
        <w:tc>
          <w:tcPr>
            <w:tcW w:w="144"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40.3</w:t>
            </w:r>
          </w:p>
        </w:tc>
        <w:tc>
          <w:tcPr>
            <w:tcW w:w="140" w:type="dxa"/>
            <w:tcBorders/>
            <w:shd w:fill="auto" w:val="clear"/>
            <w:vAlign w:val="bottom"/>
          </w:tcPr>
          <w:p>
            <w:pPr>
              <w:pStyle w:val="TableContents"/>
              <w:spacing w:before="0" w:after="283"/>
              <w:rPr/>
            </w:pPr>
            <w:r>
              <w:rPr/>
              <w:t> </w:t>
            </w:r>
          </w:p>
        </w:tc>
      </w:tr>
      <w:tr>
        <w:trPr/>
        <w:tc>
          <w:tcPr>
            <w:tcW w:w="5502" w:type="dxa"/>
            <w:tcBorders/>
            <w:shd w:fill="CCEEFF" w:val="clear"/>
            <w:vAlign w:val="bottom"/>
          </w:tcPr>
          <w:p>
            <w:pPr>
              <w:pStyle w:val="TableContents"/>
              <w:spacing w:before="0" w:after="0"/>
              <w:ind w:left="225" w:right="0" w:hanging="225"/>
              <w:rPr/>
            </w:pPr>
            <w:r>
              <w:rPr/>
              <w:t>Loans extended</w:t>
            </w:r>
          </w:p>
        </w:tc>
        <w:tc>
          <w:tcPr>
            <w:tcW w:w="41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144.2</w:t>
            </w:r>
          </w:p>
        </w:tc>
        <w:tc>
          <w:tcPr>
            <w:tcW w:w="144"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41" w:type="dxa"/>
            <w:tcBorders/>
            <w:shd w:fill="CCEEFF" w:val="clear"/>
            <w:vAlign w:val="bottom"/>
          </w:tcPr>
          <w:p>
            <w:pPr>
              <w:pStyle w:val="TableContents"/>
              <w:spacing w:before="0" w:after="283"/>
              <w:jc w:val="right"/>
              <w:rPr/>
            </w:pPr>
            <w:r>
              <w:rPr/>
              <w:t>183.3</w:t>
            </w:r>
          </w:p>
        </w:tc>
        <w:tc>
          <w:tcPr>
            <w:tcW w:w="144"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42" w:type="dxa"/>
            <w:tcBorders/>
            <w:shd w:fill="CCEEFF" w:val="clear"/>
            <w:vAlign w:val="bottom"/>
          </w:tcPr>
          <w:p>
            <w:pPr>
              <w:pStyle w:val="TableContents"/>
              <w:spacing w:before="0" w:after="283"/>
              <w:jc w:val="right"/>
              <w:rPr/>
            </w:pPr>
            <w:r>
              <w:rPr/>
              <w:t>267.8</w:t>
            </w:r>
          </w:p>
        </w:tc>
        <w:tc>
          <w:tcPr>
            <w:tcW w:w="140"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53"/>
        <w:gridCol w:w="2301"/>
        <w:gridCol w:w="951"/>
      </w:tblGrid>
      <w:tr>
        <w:trPr/>
        <w:tc>
          <w:tcPr>
            <w:tcW w:w="6953" w:type="dxa"/>
            <w:tcBorders/>
            <w:shd w:fill="auto" w:val="clear"/>
            <w:vAlign w:val="center"/>
          </w:tcPr>
          <w:p>
            <w:pPr>
              <w:pStyle w:val="TableContents"/>
              <w:spacing w:before="0" w:after="283"/>
              <w:rPr>
                <w:sz w:val="4"/>
                <w:szCs w:val="4"/>
              </w:rPr>
            </w:pPr>
            <w:r>
              <w:rPr>
                <w:sz w:val="4"/>
                <w:szCs w:val="4"/>
              </w:rPr>
            </w:r>
          </w:p>
        </w:tc>
        <w:tc>
          <w:tcPr>
            <w:tcW w:w="2301"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r>
      <w:tr>
        <w:trPr/>
        <w:tc>
          <w:tcPr>
            <w:tcW w:w="6953" w:type="dxa"/>
            <w:tcBorders/>
            <w:shd w:fill="auto" w:val="clear"/>
          </w:tcPr>
          <w:p>
            <w:pPr>
              <w:pStyle w:val="TableContents"/>
              <w:spacing w:before="0" w:after="283"/>
              <w:jc w:val="left"/>
              <w:rPr/>
            </w:pPr>
            <w:r>
              <w:rPr/>
              <w:t>(a)</w:t>
            </w:r>
          </w:p>
        </w:tc>
        <w:tc>
          <w:tcPr>
            <w:tcW w:w="2301" w:type="dxa"/>
            <w:tcBorders/>
            <w:shd w:fill="auto" w:val="clear"/>
          </w:tcPr>
          <w:p>
            <w:pPr>
              <w:pStyle w:val="TableContents"/>
              <w:spacing w:before="0" w:after="283"/>
              <w:rPr/>
            </w:pPr>
            <w:r>
              <w:rPr/>
              <w:t> </w:t>
            </w:r>
          </w:p>
        </w:tc>
        <w:tc>
          <w:tcPr>
            <w:tcW w:w="951" w:type="dxa"/>
            <w:tcBorders/>
            <w:shd w:fill="auto" w:val="clear"/>
          </w:tcPr>
          <w:p>
            <w:pPr>
              <w:pStyle w:val="TableContents"/>
              <w:spacing w:before="0" w:after="283"/>
              <w:rPr/>
            </w:pPr>
            <w:r>
              <w:rPr/>
              <w:t>The total loan term was reduced by thirty days in most states in 2006, resulting in a portfolio reduction at the time of transition.</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redemption rate of pawn loans and the gross profit realized on the sale of forfeited collateral are dependent on the appraisal of customer merchandise. Jewelry, which makes up approximately 65% of the value of collateral, can be appraised based on weight, gold content, style and value of gemstones, if any. Other items pawned typically consist of consumer electronics, tools, sporting goods, and musical instruments. These are evaluated based on recent sales experience and the selling price of similar new merchandise, adjusted for age, wear, and obsolescence.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the time a pawn transaction is made, a pawn loan agreement is given to the borrower. It presents, among other things, the name and address of the pawnshop and the borrower, the borrowers identification information, the date of the loan and a detailed description of the pledged goods (including applicable serial numbers), the amount financed, the pawn service charge, the maturity date of the loan, the total amount that must be paid to redeem the loan and the annual percentage rate. </w:t>
      </w:r>
    </w:p>
    <w:p>
      <w:pPr>
        <w:pStyle w:val="TextBody"/>
        <w:jc w:val="center"/>
        <w:rPr>
          <w:rFonts w:ascii="Helvetica;Arial;sans-serif" w:hAnsi="Helvetica;Arial;sans-serif"/>
          <w:sz w:val="17"/>
        </w:rPr>
      </w:pPr>
      <w:r>
        <w:rPr>
          <w:rFonts w:ascii="Helvetica;Arial;sans-serif" w:hAnsi="Helvetica;Arial;san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Since a majority of our pawn stores are located in Texas, Texas pawnshop laws and regulations govern most of our pawn operations. The maximum allowable pawn service charges in Texas are set in accordance with the Texas Pawnshop Act and are based on the dollar amount of the loan. Historically, the maximum allowable pawn service charges under Texas law have not changed, but loan amounts have been increased annually in relation to the Consumer Price Index. </w:t>
      </w:r>
    </w:p>
    <w:p>
      <w:pPr>
        <w:pStyle w:val="TextBody"/>
        <w:spacing w:before="360" w:after="283"/>
        <w:jc w:val="center"/>
        <w:rPr>
          <w:rFonts w:ascii="Helvetica;Arial;sans-serif" w:hAnsi="Helvetica;Arial;sans-serif"/>
          <w:sz w:val="17"/>
        </w:rPr>
      </w:pPr>
      <w:r>
        <w:rPr>
          <w:rFonts w:ascii="Helvetica;Arial;sans-serif" w:hAnsi="Helvetica;Arial;sans-serif"/>
          <w:b/>
          <w:sz w:val="17"/>
        </w:rPr>
        <w:t>Applicable Pawn Loan Service Charges for Texas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3167"/>
        <w:gridCol w:w="276"/>
        <w:gridCol w:w="3168"/>
        <w:gridCol w:w="276"/>
        <w:gridCol w:w="795"/>
        <w:gridCol w:w="1202"/>
        <w:gridCol w:w="1321"/>
      </w:tblGrid>
      <w:tr>
        <w:trPr/>
        <w:tc>
          <w:tcPr>
            <w:tcW w:w="3167"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3168"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rPr/>
            </w:pPr>
            <w:r>
              <w:rPr/>
              <w:t> </w:t>
            </w:r>
          </w:p>
        </w:tc>
      </w:tr>
      <w:tr>
        <w:trPr/>
        <w:tc>
          <w:tcPr>
            <w:tcW w:w="6611" w:type="dxa"/>
            <w:gridSpan w:val="3"/>
            <w:tcBorders>
              <w:bottom w:val="single" w:sz="2" w:space="0" w:color="000000"/>
            </w:tcBorders>
            <w:shd w:fill="auto" w:val="clear"/>
            <w:tcMar>
              <w:bottom w:w="28" w:type="dxa"/>
            </w:tcMar>
            <w:vAlign w:val="bottom"/>
          </w:tcPr>
          <w:p>
            <w:pPr>
              <w:pStyle w:val="TableContents"/>
              <w:spacing w:before="0" w:after="283"/>
              <w:jc w:val="center"/>
              <w:rPr/>
            </w:pPr>
            <w:r>
              <w:rPr/>
              <w:t>Amount Financed per Pawn Loan</w:t>
            </w:r>
          </w:p>
        </w:tc>
        <w:tc>
          <w:tcPr>
            <w:tcW w:w="276" w:type="dxa"/>
            <w:tcBorders/>
            <w:shd w:fill="auto" w:val="clear"/>
            <w:vAlign w:val="bottom"/>
          </w:tcPr>
          <w:p>
            <w:pPr>
              <w:pStyle w:val="TableContents"/>
              <w:spacing w:before="0" w:after="283"/>
              <w:rPr/>
            </w:pPr>
            <w:r>
              <w:rPr/>
              <w:t> </w:t>
            </w:r>
          </w:p>
        </w:tc>
        <w:tc>
          <w:tcPr>
            <w:tcW w:w="3318" w:type="dxa"/>
            <w:gridSpan w:val="3"/>
            <w:tcBorders/>
            <w:shd w:fill="auto" w:val="clear"/>
            <w:vAlign w:val="bottom"/>
          </w:tcPr>
          <w:p>
            <w:pPr>
              <w:pStyle w:val="TableContents"/>
              <w:spacing w:before="0" w:after="283"/>
              <w:jc w:val="center"/>
              <w:rPr/>
            </w:pPr>
            <w:r>
              <w:rPr/>
              <w:t>Maximum</w:t>
            </w:r>
          </w:p>
        </w:tc>
      </w:tr>
      <w:tr>
        <w:trPr/>
        <w:tc>
          <w:tcPr>
            <w:tcW w:w="3167" w:type="dxa"/>
            <w:tcBorders/>
            <w:shd w:fill="auto" w:val="clear"/>
            <w:vAlign w:val="bottom"/>
          </w:tcPr>
          <w:p>
            <w:pPr>
              <w:pStyle w:val="TableContents"/>
              <w:spacing w:before="0" w:after="283"/>
              <w:jc w:val="center"/>
              <w:rPr/>
            </w:pPr>
            <w:r>
              <w:rPr/>
              <w:t>July 1, 2006 to</w:t>
            </w:r>
          </w:p>
        </w:tc>
        <w:tc>
          <w:tcPr>
            <w:tcW w:w="276" w:type="dxa"/>
            <w:tcBorders/>
            <w:shd w:fill="auto" w:val="clear"/>
            <w:vAlign w:val="bottom"/>
          </w:tcPr>
          <w:p>
            <w:pPr>
              <w:pStyle w:val="TableContents"/>
              <w:spacing w:before="0" w:after="283"/>
              <w:rPr/>
            </w:pPr>
            <w:r>
              <w:rPr/>
              <w:t> </w:t>
            </w:r>
          </w:p>
        </w:tc>
        <w:tc>
          <w:tcPr>
            <w:tcW w:w="3168" w:type="dxa"/>
            <w:tcBorders/>
            <w:shd w:fill="auto" w:val="clear"/>
            <w:vAlign w:val="bottom"/>
          </w:tcPr>
          <w:p>
            <w:pPr>
              <w:pStyle w:val="TableContents"/>
              <w:spacing w:before="0" w:after="283"/>
              <w:jc w:val="center"/>
              <w:rPr/>
            </w:pPr>
            <w:r>
              <w:rPr/>
              <w:t>July 1, 2007 to</w:t>
            </w:r>
          </w:p>
        </w:tc>
        <w:tc>
          <w:tcPr>
            <w:tcW w:w="276" w:type="dxa"/>
            <w:tcBorders/>
            <w:shd w:fill="auto" w:val="clear"/>
            <w:vAlign w:val="bottom"/>
          </w:tcPr>
          <w:p>
            <w:pPr>
              <w:pStyle w:val="TableContents"/>
              <w:spacing w:before="0" w:after="283"/>
              <w:rPr/>
            </w:pPr>
            <w:r>
              <w:rPr/>
              <w:t> </w:t>
            </w:r>
          </w:p>
        </w:tc>
        <w:tc>
          <w:tcPr>
            <w:tcW w:w="3318" w:type="dxa"/>
            <w:gridSpan w:val="3"/>
            <w:tcBorders/>
            <w:shd w:fill="auto" w:val="clear"/>
            <w:vAlign w:val="bottom"/>
          </w:tcPr>
          <w:p>
            <w:pPr>
              <w:pStyle w:val="TableContents"/>
              <w:spacing w:before="0" w:after="283"/>
              <w:jc w:val="center"/>
              <w:rPr/>
            </w:pPr>
            <w:r>
              <w:rPr/>
              <w:t>Allowable Annual</w:t>
            </w:r>
          </w:p>
        </w:tc>
      </w:tr>
      <w:tr>
        <w:trPr/>
        <w:tc>
          <w:tcPr>
            <w:tcW w:w="3167" w:type="dxa"/>
            <w:tcBorders>
              <w:bottom w:val="single" w:sz="2" w:space="0" w:color="000000"/>
            </w:tcBorders>
            <w:shd w:fill="auto" w:val="clear"/>
            <w:tcMar>
              <w:bottom w:w="28" w:type="dxa"/>
            </w:tcMar>
            <w:vAlign w:val="bottom"/>
          </w:tcPr>
          <w:p>
            <w:pPr>
              <w:pStyle w:val="TableContents"/>
              <w:spacing w:before="0" w:after="283"/>
              <w:jc w:val="center"/>
              <w:rPr/>
            </w:pPr>
            <w:r>
              <w:rPr/>
              <w:t>June 30, 2007</w:t>
            </w:r>
          </w:p>
        </w:tc>
        <w:tc>
          <w:tcPr>
            <w:tcW w:w="276" w:type="dxa"/>
            <w:tcBorders/>
            <w:shd w:fill="auto" w:val="clear"/>
            <w:vAlign w:val="bottom"/>
          </w:tcPr>
          <w:p>
            <w:pPr>
              <w:pStyle w:val="TableContents"/>
              <w:spacing w:before="0" w:after="283"/>
              <w:rPr/>
            </w:pPr>
            <w:r>
              <w:rPr/>
              <w:t> </w:t>
            </w:r>
          </w:p>
        </w:tc>
        <w:tc>
          <w:tcPr>
            <w:tcW w:w="3168" w:type="dxa"/>
            <w:tcBorders>
              <w:bottom w:val="single" w:sz="2" w:space="0" w:color="000000"/>
            </w:tcBorders>
            <w:shd w:fill="auto" w:val="clear"/>
            <w:tcMar>
              <w:bottom w:w="28" w:type="dxa"/>
            </w:tcMar>
            <w:vAlign w:val="bottom"/>
          </w:tcPr>
          <w:p>
            <w:pPr>
              <w:pStyle w:val="TableContents"/>
              <w:spacing w:before="0" w:after="283"/>
              <w:jc w:val="center"/>
              <w:rPr/>
            </w:pPr>
            <w:r>
              <w:rPr/>
              <w:t>June 30, 2008</w:t>
            </w:r>
          </w:p>
        </w:tc>
        <w:tc>
          <w:tcPr>
            <w:tcW w:w="276" w:type="dxa"/>
            <w:tcBorders/>
            <w:shd w:fill="auto" w:val="clear"/>
            <w:vAlign w:val="bottom"/>
          </w:tcPr>
          <w:p>
            <w:pPr>
              <w:pStyle w:val="TableContents"/>
              <w:spacing w:before="0" w:after="283"/>
              <w:rPr/>
            </w:pPr>
            <w:r>
              <w:rPr/>
              <w:t> </w:t>
            </w:r>
          </w:p>
        </w:tc>
        <w:tc>
          <w:tcPr>
            <w:tcW w:w="3318" w:type="dxa"/>
            <w:gridSpan w:val="3"/>
            <w:tcBorders>
              <w:bottom w:val="single" w:sz="2" w:space="0" w:color="000000"/>
            </w:tcBorders>
            <w:shd w:fill="auto" w:val="clear"/>
            <w:tcMar>
              <w:bottom w:w="28" w:type="dxa"/>
            </w:tcMar>
            <w:vAlign w:val="bottom"/>
          </w:tcPr>
          <w:p>
            <w:pPr>
              <w:pStyle w:val="TableContents"/>
              <w:spacing w:before="0" w:after="283"/>
              <w:jc w:val="center"/>
              <w:rPr/>
            </w:pPr>
            <w:r>
              <w:rPr/>
              <w:t>Pawn Service Charge</w:t>
            </w:r>
          </w:p>
        </w:tc>
      </w:tr>
      <w:tr>
        <w:trPr/>
        <w:tc>
          <w:tcPr>
            <w:tcW w:w="3167" w:type="dxa"/>
            <w:tcBorders/>
            <w:shd w:fill="CCEEFF" w:val="clear"/>
          </w:tcPr>
          <w:p>
            <w:pPr>
              <w:pStyle w:val="TableContents"/>
              <w:spacing w:before="0" w:after="0"/>
              <w:ind w:left="0" w:right="1125" w:hanging="0"/>
              <w:jc w:val="right"/>
              <w:rPr/>
            </w:pPr>
            <w:r>
              <w:rPr/>
              <w:t xml:space="preserve">$1 to $168 </w:t>
            </w:r>
          </w:p>
        </w:tc>
        <w:tc>
          <w:tcPr>
            <w:tcW w:w="276" w:type="dxa"/>
            <w:tcBorders/>
            <w:shd w:fill="CCEEFF" w:val="clear"/>
            <w:vAlign w:val="bottom"/>
          </w:tcPr>
          <w:p>
            <w:pPr>
              <w:pStyle w:val="TableContents"/>
              <w:spacing w:before="0" w:after="283"/>
              <w:rPr/>
            </w:pPr>
            <w:r>
              <w:rPr/>
              <w:t> </w:t>
            </w:r>
          </w:p>
        </w:tc>
        <w:tc>
          <w:tcPr>
            <w:tcW w:w="3168" w:type="dxa"/>
            <w:tcBorders/>
            <w:shd w:fill="CCEEFF" w:val="clear"/>
          </w:tcPr>
          <w:p>
            <w:pPr>
              <w:pStyle w:val="TableContents"/>
              <w:spacing w:before="0" w:after="0"/>
              <w:ind w:left="0" w:right="1125" w:hanging="0"/>
              <w:jc w:val="right"/>
              <w:rPr/>
            </w:pPr>
            <w:r>
              <w:rPr/>
              <w:t>$1 to $171</w:t>
            </w:r>
          </w:p>
        </w:tc>
        <w:tc>
          <w:tcPr>
            <w:tcW w:w="276" w:type="dxa"/>
            <w:tcBorders/>
            <w:shd w:fill="CCEEFF" w:val="clear"/>
            <w:vAlign w:val="bottom"/>
          </w:tcPr>
          <w:p>
            <w:pPr>
              <w:pStyle w:val="TableContents"/>
              <w:spacing w:before="0" w:after="283"/>
              <w:rPr/>
            </w:pPr>
            <w:r>
              <w:rPr/>
              <w:t> </w:t>
            </w:r>
          </w:p>
        </w:tc>
        <w:tc>
          <w:tcPr>
            <w:tcW w:w="795" w:type="dxa"/>
            <w:tcBorders/>
            <w:shd w:fill="CCEEFF" w:val="clear"/>
          </w:tcPr>
          <w:p>
            <w:pPr>
              <w:pStyle w:val="TableContents"/>
              <w:spacing w:before="0" w:after="283"/>
              <w:jc w:val="right"/>
              <w:rPr/>
            </w:pPr>
            <w:r>
              <w:rPr/>
              <w:t> </w:t>
            </w:r>
          </w:p>
        </w:tc>
        <w:tc>
          <w:tcPr>
            <w:tcW w:w="1202" w:type="dxa"/>
            <w:tcBorders/>
            <w:shd w:fill="CCEEFF" w:val="clear"/>
          </w:tcPr>
          <w:p>
            <w:pPr>
              <w:pStyle w:val="TableContents"/>
              <w:spacing w:before="0" w:after="283"/>
              <w:jc w:val="right"/>
              <w:rPr/>
            </w:pPr>
            <w:r>
              <w:rPr/>
              <w:t>240</w:t>
            </w:r>
          </w:p>
        </w:tc>
        <w:tc>
          <w:tcPr>
            <w:tcW w:w="1321" w:type="dxa"/>
            <w:tcBorders/>
            <w:shd w:fill="CCEEFF" w:val="clear"/>
          </w:tcPr>
          <w:p>
            <w:pPr>
              <w:pStyle w:val="TableContents"/>
              <w:spacing w:before="0" w:after="283"/>
              <w:rPr/>
            </w:pPr>
            <w:r>
              <w:rPr/>
              <w:t>%</w:t>
            </w:r>
          </w:p>
        </w:tc>
      </w:tr>
      <w:tr>
        <w:trPr/>
        <w:tc>
          <w:tcPr>
            <w:tcW w:w="3167" w:type="dxa"/>
            <w:tcBorders/>
            <w:shd w:fill="auto" w:val="clear"/>
          </w:tcPr>
          <w:p>
            <w:pPr>
              <w:pStyle w:val="TableContents"/>
              <w:spacing w:before="0" w:after="0"/>
              <w:ind w:left="0" w:right="1125" w:hanging="0"/>
              <w:jc w:val="right"/>
              <w:rPr/>
            </w:pPr>
            <w:r>
              <w:rPr/>
              <w:t xml:space="preserve">$169 to $1,120 </w:t>
            </w:r>
          </w:p>
        </w:tc>
        <w:tc>
          <w:tcPr>
            <w:tcW w:w="276" w:type="dxa"/>
            <w:tcBorders/>
            <w:shd w:fill="auto" w:val="clear"/>
            <w:vAlign w:val="bottom"/>
          </w:tcPr>
          <w:p>
            <w:pPr>
              <w:pStyle w:val="TableContents"/>
              <w:spacing w:before="0" w:after="283"/>
              <w:rPr/>
            </w:pPr>
            <w:r>
              <w:rPr/>
              <w:t> </w:t>
            </w:r>
          </w:p>
        </w:tc>
        <w:tc>
          <w:tcPr>
            <w:tcW w:w="3168" w:type="dxa"/>
            <w:tcBorders/>
            <w:shd w:fill="auto" w:val="clear"/>
          </w:tcPr>
          <w:p>
            <w:pPr>
              <w:pStyle w:val="TableContents"/>
              <w:spacing w:before="0" w:after="0"/>
              <w:ind w:left="0" w:right="1125" w:hanging="0"/>
              <w:jc w:val="right"/>
              <w:rPr/>
            </w:pPr>
            <w:r>
              <w:rPr/>
              <w:t>$172 to $1,140</w:t>
            </w:r>
          </w:p>
        </w:tc>
        <w:tc>
          <w:tcPr>
            <w:tcW w:w="276" w:type="dxa"/>
            <w:tcBorders/>
            <w:shd w:fill="auto" w:val="clear"/>
            <w:vAlign w:val="bottom"/>
          </w:tcPr>
          <w:p>
            <w:pPr>
              <w:pStyle w:val="TableContents"/>
              <w:spacing w:before="0" w:after="283"/>
              <w:rPr/>
            </w:pPr>
            <w:r>
              <w:rPr/>
              <w:t> </w:t>
            </w:r>
          </w:p>
        </w:tc>
        <w:tc>
          <w:tcPr>
            <w:tcW w:w="795" w:type="dxa"/>
            <w:tcBorders/>
            <w:shd w:fill="auto" w:val="clear"/>
          </w:tcPr>
          <w:p>
            <w:pPr>
              <w:pStyle w:val="TableContents"/>
              <w:spacing w:before="0" w:after="283"/>
              <w:jc w:val="right"/>
              <w:rPr/>
            </w:pPr>
            <w:r>
              <w:rPr/>
              <w:t> </w:t>
            </w:r>
          </w:p>
        </w:tc>
        <w:tc>
          <w:tcPr>
            <w:tcW w:w="1202" w:type="dxa"/>
            <w:tcBorders/>
            <w:shd w:fill="auto" w:val="clear"/>
          </w:tcPr>
          <w:p>
            <w:pPr>
              <w:pStyle w:val="TableContents"/>
              <w:spacing w:before="0" w:after="283"/>
              <w:jc w:val="right"/>
              <w:rPr/>
            </w:pPr>
            <w:r>
              <w:rPr/>
              <w:t>180</w:t>
            </w:r>
          </w:p>
        </w:tc>
        <w:tc>
          <w:tcPr>
            <w:tcW w:w="1321" w:type="dxa"/>
            <w:tcBorders/>
            <w:shd w:fill="auto" w:val="clear"/>
          </w:tcPr>
          <w:p>
            <w:pPr>
              <w:pStyle w:val="TableContents"/>
              <w:spacing w:before="0" w:after="283"/>
              <w:rPr/>
            </w:pPr>
            <w:r>
              <w:rPr/>
              <w:t>%</w:t>
            </w:r>
          </w:p>
        </w:tc>
      </w:tr>
      <w:tr>
        <w:trPr/>
        <w:tc>
          <w:tcPr>
            <w:tcW w:w="3167" w:type="dxa"/>
            <w:tcBorders/>
            <w:shd w:fill="CCEEFF" w:val="clear"/>
          </w:tcPr>
          <w:p>
            <w:pPr>
              <w:pStyle w:val="TableContents"/>
              <w:spacing w:before="0" w:after="0"/>
              <w:ind w:left="0" w:right="1125" w:hanging="0"/>
              <w:jc w:val="right"/>
              <w:rPr/>
            </w:pPr>
            <w:r>
              <w:rPr/>
              <w:t xml:space="preserve">$1,121 to $1,680 </w:t>
            </w:r>
          </w:p>
        </w:tc>
        <w:tc>
          <w:tcPr>
            <w:tcW w:w="276" w:type="dxa"/>
            <w:tcBorders/>
            <w:shd w:fill="CCEEFF" w:val="clear"/>
            <w:vAlign w:val="bottom"/>
          </w:tcPr>
          <w:p>
            <w:pPr>
              <w:pStyle w:val="TableContents"/>
              <w:spacing w:before="0" w:after="283"/>
              <w:rPr/>
            </w:pPr>
            <w:r>
              <w:rPr/>
              <w:t> </w:t>
            </w:r>
          </w:p>
        </w:tc>
        <w:tc>
          <w:tcPr>
            <w:tcW w:w="3168" w:type="dxa"/>
            <w:tcBorders/>
            <w:shd w:fill="CCEEFF" w:val="clear"/>
          </w:tcPr>
          <w:p>
            <w:pPr>
              <w:pStyle w:val="TableContents"/>
              <w:spacing w:before="0" w:after="0"/>
              <w:ind w:left="0" w:right="1125" w:hanging="0"/>
              <w:jc w:val="right"/>
              <w:rPr/>
            </w:pPr>
            <w:r>
              <w:rPr/>
              <w:t>$1,141 to $1,710</w:t>
            </w:r>
          </w:p>
        </w:tc>
        <w:tc>
          <w:tcPr>
            <w:tcW w:w="276" w:type="dxa"/>
            <w:tcBorders/>
            <w:shd w:fill="CCEEFF" w:val="clear"/>
            <w:vAlign w:val="bottom"/>
          </w:tcPr>
          <w:p>
            <w:pPr>
              <w:pStyle w:val="TableContents"/>
              <w:spacing w:before="0" w:after="283"/>
              <w:rPr/>
            </w:pPr>
            <w:r>
              <w:rPr/>
              <w:t> </w:t>
            </w:r>
          </w:p>
        </w:tc>
        <w:tc>
          <w:tcPr>
            <w:tcW w:w="795" w:type="dxa"/>
            <w:tcBorders/>
            <w:shd w:fill="CCEEFF" w:val="clear"/>
          </w:tcPr>
          <w:p>
            <w:pPr>
              <w:pStyle w:val="TableContents"/>
              <w:spacing w:before="0" w:after="283"/>
              <w:jc w:val="right"/>
              <w:rPr/>
            </w:pPr>
            <w:r>
              <w:rPr/>
              <w:t> </w:t>
            </w:r>
          </w:p>
        </w:tc>
        <w:tc>
          <w:tcPr>
            <w:tcW w:w="1202" w:type="dxa"/>
            <w:tcBorders/>
            <w:shd w:fill="CCEEFF" w:val="clear"/>
          </w:tcPr>
          <w:p>
            <w:pPr>
              <w:pStyle w:val="TableContents"/>
              <w:spacing w:before="0" w:after="283"/>
              <w:jc w:val="right"/>
              <w:rPr/>
            </w:pPr>
            <w:r>
              <w:rPr/>
              <w:t>30</w:t>
            </w:r>
          </w:p>
        </w:tc>
        <w:tc>
          <w:tcPr>
            <w:tcW w:w="1321" w:type="dxa"/>
            <w:tcBorders/>
            <w:shd w:fill="CCEEFF" w:val="clear"/>
          </w:tcPr>
          <w:p>
            <w:pPr>
              <w:pStyle w:val="TableContents"/>
              <w:spacing w:before="0" w:after="283"/>
              <w:rPr/>
            </w:pPr>
            <w:r>
              <w:rPr/>
              <w:t>%</w:t>
            </w:r>
          </w:p>
        </w:tc>
      </w:tr>
      <w:tr>
        <w:trPr/>
        <w:tc>
          <w:tcPr>
            <w:tcW w:w="3167" w:type="dxa"/>
            <w:tcBorders/>
            <w:shd w:fill="auto" w:val="clear"/>
          </w:tcPr>
          <w:p>
            <w:pPr>
              <w:pStyle w:val="TableContents"/>
              <w:spacing w:before="0" w:after="0"/>
              <w:ind w:left="0" w:right="1125" w:hanging="0"/>
              <w:jc w:val="right"/>
              <w:rPr/>
            </w:pPr>
            <w:r>
              <w:rPr/>
              <w:t xml:space="preserve">$1,681 to $14,000 </w:t>
            </w:r>
          </w:p>
        </w:tc>
        <w:tc>
          <w:tcPr>
            <w:tcW w:w="276" w:type="dxa"/>
            <w:tcBorders/>
            <w:shd w:fill="auto" w:val="clear"/>
            <w:vAlign w:val="bottom"/>
          </w:tcPr>
          <w:p>
            <w:pPr>
              <w:pStyle w:val="TableContents"/>
              <w:spacing w:before="0" w:after="283"/>
              <w:rPr/>
            </w:pPr>
            <w:r>
              <w:rPr/>
              <w:t> </w:t>
            </w:r>
          </w:p>
        </w:tc>
        <w:tc>
          <w:tcPr>
            <w:tcW w:w="3168" w:type="dxa"/>
            <w:tcBorders/>
            <w:shd w:fill="auto" w:val="clear"/>
          </w:tcPr>
          <w:p>
            <w:pPr>
              <w:pStyle w:val="TableContents"/>
              <w:spacing w:before="0" w:after="0"/>
              <w:ind w:left="0" w:right="1125" w:hanging="0"/>
              <w:jc w:val="right"/>
              <w:rPr/>
            </w:pPr>
            <w:r>
              <w:rPr/>
              <w:t>$1,711 to $14,250</w:t>
            </w:r>
          </w:p>
        </w:tc>
        <w:tc>
          <w:tcPr>
            <w:tcW w:w="276" w:type="dxa"/>
            <w:tcBorders/>
            <w:shd w:fill="auto" w:val="clear"/>
            <w:vAlign w:val="bottom"/>
          </w:tcPr>
          <w:p>
            <w:pPr>
              <w:pStyle w:val="TableContents"/>
              <w:spacing w:before="0" w:after="283"/>
              <w:rPr/>
            </w:pPr>
            <w:r>
              <w:rPr/>
              <w:t> </w:t>
            </w:r>
          </w:p>
        </w:tc>
        <w:tc>
          <w:tcPr>
            <w:tcW w:w="795" w:type="dxa"/>
            <w:tcBorders/>
            <w:shd w:fill="auto" w:val="clear"/>
          </w:tcPr>
          <w:p>
            <w:pPr>
              <w:pStyle w:val="TableContents"/>
              <w:spacing w:before="0" w:after="283"/>
              <w:jc w:val="right"/>
              <w:rPr/>
            </w:pPr>
            <w:r>
              <w:rPr/>
              <w:t> </w:t>
            </w:r>
          </w:p>
        </w:tc>
        <w:tc>
          <w:tcPr>
            <w:tcW w:w="1202" w:type="dxa"/>
            <w:tcBorders/>
            <w:shd w:fill="auto" w:val="clear"/>
          </w:tcPr>
          <w:p>
            <w:pPr>
              <w:pStyle w:val="TableContents"/>
              <w:spacing w:before="0" w:after="283"/>
              <w:jc w:val="right"/>
              <w:rPr/>
            </w:pPr>
            <w:r>
              <w:rPr/>
              <w:t>12</w:t>
            </w:r>
          </w:p>
        </w:tc>
        <w:tc>
          <w:tcPr>
            <w:tcW w:w="1321" w:type="dxa"/>
            <w:tcBorders/>
            <w:shd w:fill="auto" w:val="clear"/>
          </w:tcPr>
          <w:p>
            <w:pPr>
              <w:pStyle w:val="TableContents"/>
              <w:spacing w:before="0" w:after="283"/>
              <w:rPr/>
            </w:pPr>
            <w:r>
              <w:rPr/>
              <w: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Under Texas law, there is a ceiling on the maximum allowable pawn loan. For the year ended June 30, 2007, the loan ceiling was $14,000. For the year ending June 30, 2008, the loan ceiling is $14,250. </w:t>
      </w:r>
    </w:p>
    <w:p>
      <w:pPr>
        <w:pStyle w:val="TextBody"/>
        <w:jc w:val="center"/>
        <w:rPr>
          <w:rFonts w:ascii="Helvetica;Arial;sans-serif" w:hAnsi="Helvetica;Arial;sans-serif"/>
          <w:sz w:val="17"/>
        </w:rPr>
      </w:pPr>
      <w:r>
        <w:rPr>
          <w:rFonts w:ascii="Helvetica;Arial;sans-serif" w:hAnsi="Helvetica;Arial;san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b/>
          <w:sz w:val="17"/>
        </w:rPr>
      </w:pPr>
      <w:r>
        <w:rPr>
          <w:rFonts w:ascii="Helvetica;Arial;sans-serif" w:hAnsi="Helvetica;Arial;sans-serif"/>
          <w:b/>
          <w:sz w:val="17"/>
        </w:rPr>
        <w:t>Signature Loans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433 EZMONEY and 75 EZPAWN locations, we offer signature loans, consisting of payday loans or fee-based credit services to customers seeking loans from unaffiliated lenders. The table below shows our dollar amount of signature loan activity for fiscal 2005, 2006 and 2007. For purposes of this table, signature loan balances include the principal portion of payday loans (net of valuation allowance) recorded on our balance sheet and the principal portion of active brokered loans outstanding from unaffiliated lenders, which is not included on our balance sheet. </w:t>
      </w:r>
    </w:p>
    <w:tbl>
      <w:tblPr>
        <w:tblW w:w="5000" w:type="pct"/>
        <w:jc w:val="center"/>
        <w:tblInd w:w="0" w:type="dxa"/>
        <w:tblCellMar>
          <w:top w:w="0" w:type="dxa"/>
          <w:left w:w="0" w:type="dxa"/>
          <w:bottom w:w="0" w:type="dxa"/>
          <w:right w:w="0" w:type="dxa"/>
        </w:tblCellMar>
      </w:tblPr>
      <w:tblGrid>
        <w:gridCol w:w="5468"/>
        <w:gridCol w:w="420"/>
        <w:gridCol w:w="182"/>
        <w:gridCol w:w="807"/>
        <w:gridCol w:w="148"/>
        <w:gridCol w:w="430"/>
        <w:gridCol w:w="182"/>
        <w:gridCol w:w="807"/>
        <w:gridCol w:w="148"/>
        <w:gridCol w:w="430"/>
        <w:gridCol w:w="182"/>
        <w:gridCol w:w="865"/>
        <w:gridCol w:w="136"/>
      </w:tblGrid>
      <w:tr>
        <w:trPr/>
        <w:tc>
          <w:tcPr>
            <w:tcW w:w="5468"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68"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81"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c>
          <w:tcPr>
            <w:tcW w:w="136" w:type="dxa"/>
            <w:tcBorders/>
            <w:shd w:fill="auto" w:val="clear"/>
            <w:vAlign w:val="bottom"/>
          </w:tcPr>
          <w:p>
            <w:pPr>
              <w:pStyle w:val="TableContents"/>
              <w:spacing w:before="0" w:after="283"/>
              <w:rPr/>
            </w:pPr>
            <w:r>
              <w:rPr/>
              <w:t> </w:t>
            </w:r>
          </w:p>
        </w:tc>
      </w:tr>
      <w:tr>
        <w:trPr/>
        <w:tc>
          <w:tcPr>
            <w:tcW w:w="5468"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9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98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6" w:type="dxa"/>
            <w:tcBorders/>
            <w:shd w:fill="auto" w:val="clear"/>
            <w:vAlign w:val="bottom"/>
          </w:tcPr>
          <w:p>
            <w:pPr>
              <w:pStyle w:val="TableContents"/>
              <w:spacing w:before="0" w:after="283"/>
              <w:rPr/>
            </w:pPr>
            <w:r>
              <w:rPr/>
              <w:t> </w:t>
            </w:r>
          </w:p>
        </w:tc>
      </w:tr>
      <w:tr>
        <w:trPr/>
        <w:tc>
          <w:tcPr>
            <w:tcW w:w="5468"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81" w:type="dxa"/>
            <w:gridSpan w:val="10"/>
            <w:tcBorders/>
            <w:shd w:fill="auto" w:val="clear"/>
            <w:vAlign w:val="bottom"/>
          </w:tcPr>
          <w:p>
            <w:pPr>
              <w:pStyle w:val="TableContents"/>
              <w:spacing w:before="0" w:after="283"/>
              <w:jc w:val="center"/>
              <w:rPr>
                <w:i/>
              </w:rPr>
            </w:pPr>
            <w:r>
              <w:rPr>
                <w:i/>
              </w:rPr>
              <w:t>(in millions)</w:t>
            </w:r>
          </w:p>
        </w:tc>
        <w:tc>
          <w:tcPr>
            <w:tcW w:w="136" w:type="dxa"/>
            <w:tcBorders/>
            <w:shd w:fill="auto" w:val="clear"/>
            <w:vAlign w:val="bottom"/>
          </w:tcPr>
          <w:p>
            <w:pPr>
              <w:pStyle w:val="TableContents"/>
              <w:spacing w:before="0" w:after="283"/>
              <w:rPr/>
            </w:pPr>
            <w:r>
              <w:rPr/>
              <w:t> </w:t>
            </w:r>
          </w:p>
        </w:tc>
      </w:tr>
      <w:tr>
        <w:trPr/>
        <w:tc>
          <w:tcPr>
            <w:tcW w:w="5468" w:type="dxa"/>
            <w:tcBorders/>
            <w:shd w:fill="CCEEFF" w:val="clear"/>
            <w:vAlign w:val="bottom"/>
          </w:tcPr>
          <w:p>
            <w:pPr>
              <w:pStyle w:val="TableContents"/>
              <w:spacing w:before="0" w:after="0"/>
              <w:ind w:left="225" w:right="0" w:hanging="225"/>
              <w:rPr>
                <w:b/>
                <w:i/>
              </w:rPr>
            </w:pPr>
            <w:r>
              <w:rPr>
                <w:b/>
                <w:i/>
              </w:rPr>
              <w:t>Combined Signature Loans:</w:t>
            </w:r>
          </w:p>
        </w:tc>
        <w:tc>
          <w:tcPr>
            <w:tcW w:w="4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468" w:type="dxa"/>
            <w:tcBorders/>
            <w:shd w:fill="auto" w:val="clear"/>
            <w:vAlign w:val="bottom"/>
          </w:tcPr>
          <w:p>
            <w:pPr>
              <w:pStyle w:val="TableContents"/>
              <w:spacing w:before="0" w:after="0"/>
              <w:ind w:left="450" w:right="0" w:hanging="225"/>
              <w:rPr/>
            </w:pPr>
            <w:r>
              <w:rPr/>
              <w:t>Loans made</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87.9</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115.5</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164.3</w:t>
            </w:r>
          </w:p>
        </w:tc>
        <w:tc>
          <w:tcPr>
            <w:tcW w:w="136" w:type="dxa"/>
            <w:tcBorders/>
            <w:shd w:fill="auto" w:val="clear"/>
            <w:vAlign w:val="bottom"/>
          </w:tcPr>
          <w:p>
            <w:pPr>
              <w:pStyle w:val="TableContents"/>
              <w:spacing w:before="0" w:after="283"/>
              <w:rPr/>
            </w:pPr>
            <w:r>
              <w:rPr/>
              <w:t> </w:t>
            </w:r>
          </w:p>
        </w:tc>
      </w:tr>
      <w:tr>
        <w:trPr/>
        <w:tc>
          <w:tcPr>
            <w:tcW w:w="5468" w:type="dxa"/>
            <w:tcBorders/>
            <w:shd w:fill="CCEEFF" w:val="clear"/>
            <w:vAlign w:val="bottom"/>
          </w:tcPr>
          <w:p>
            <w:pPr>
              <w:pStyle w:val="TableContents"/>
              <w:spacing w:before="0" w:after="0"/>
              <w:ind w:left="450" w:right="0" w:hanging="225"/>
              <w:rPr/>
            </w:pPr>
            <w:r>
              <w:rPr/>
              <w:t>Loans repaid</w:t>
            </w:r>
          </w:p>
        </w:tc>
        <w:tc>
          <w:tcPr>
            <w:tcW w:w="4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807" w:type="dxa"/>
            <w:tcBorders/>
            <w:shd w:fill="CCEEFF" w:val="clear"/>
            <w:vAlign w:val="bottom"/>
          </w:tcPr>
          <w:p>
            <w:pPr>
              <w:pStyle w:val="TableContents"/>
              <w:spacing w:before="0" w:after="283"/>
              <w:jc w:val="right"/>
              <w:rPr/>
            </w:pPr>
            <w:r>
              <w:rPr/>
              <w:t>(67.3</w:t>
            </w:r>
          </w:p>
        </w:tc>
        <w:tc>
          <w:tcPr>
            <w:tcW w:w="148"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807" w:type="dxa"/>
            <w:tcBorders/>
            <w:shd w:fill="CCEEFF" w:val="clear"/>
            <w:vAlign w:val="bottom"/>
          </w:tcPr>
          <w:p>
            <w:pPr>
              <w:pStyle w:val="TableContents"/>
              <w:spacing w:before="0" w:after="283"/>
              <w:jc w:val="right"/>
              <w:rPr/>
            </w:pPr>
            <w:r>
              <w:rPr/>
              <w:t>(93.7</w:t>
            </w:r>
          </w:p>
        </w:tc>
        <w:tc>
          <w:tcPr>
            <w:tcW w:w="148"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865" w:type="dxa"/>
            <w:tcBorders/>
            <w:shd w:fill="CCEEFF" w:val="clear"/>
            <w:vAlign w:val="bottom"/>
          </w:tcPr>
          <w:p>
            <w:pPr>
              <w:pStyle w:val="TableContents"/>
              <w:spacing w:before="0" w:after="283"/>
              <w:jc w:val="right"/>
              <w:rPr/>
            </w:pPr>
            <w:r>
              <w:rPr/>
              <w:t>(130.3</w:t>
            </w:r>
          </w:p>
        </w:tc>
        <w:tc>
          <w:tcPr>
            <w:tcW w:w="136" w:type="dxa"/>
            <w:tcBorders/>
            <w:shd w:fill="CCEEFF" w:val="clear"/>
            <w:vAlign w:val="bottom"/>
          </w:tcPr>
          <w:p>
            <w:pPr>
              <w:pStyle w:val="TableContents"/>
              <w:spacing w:before="0" w:after="283"/>
              <w:rPr/>
            </w:pPr>
            <w:r>
              <w:rPr/>
              <w:t>)</w:t>
            </w:r>
          </w:p>
        </w:tc>
      </w:tr>
      <w:tr>
        <w:trPr/>
        <w:tc>
          <w:tcPr>
            <w:tcW w:w="5468" w:type="dxa"/>
            <w:tcBorders/>
            <w:shd w:fill="auto" w:val="clear"/>
            <w:vAlign w:val="bottom"/>
          </w:tcPr>
          <w:p>
            <w:pPr>
              <w:pStyle w:val="TableContents"/>
              <w:spacing w:before="0" w:after="0"/>
              <w:ind w:left="450" w:right="0" w:hanging="225"/>
              <w:rPr/>
            </w:pPr>
            <w:r>
              <w:rPr/>
              <w:t>Loans forfeited, net of collections on bad debt</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807" w:type="dxa"/>
            <w:tcBorders/>
            <w:shd w:fill="auto" w:val="clear"/>
            <w:vAlign w:val="bottom"/>
          </w:tcPr>
          <w:p>
            <w:pPr>
              <w:pStyle w:val="TableContents"/>
              <w:spacing w:before="0" w:after="283"/>
              <w:jc w:val="right"/>
              <w:rPr/>
            </w:pPr>
            <w:r>
              <w:rPr/>
              <w:t>(12.0</w:t>
            </w:r>
          </w:p>
        </w:tc>
        <w:tc>
          <w:tcPr>
            <w:tcW w:w="148"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807" w:type="dxa"/>
            <w:tcBorders/>
            <w:shd w:fill="auto" w:val="clear"/>
            <w:vAlign w:val="bottom"/>
          </w:tcPr>
          <w:p>
            <w:pPr>
              <w:pStyle w:val="TableContents"/>
              <w:spacing w:before="0" w:after="283"/>
              <w:jc w:val="right"/>
              <w:rPr/>
            </w:pPr>
            <w:r>
              <w:rPr/>
              <w:t>(17.0</w:t>
            </w:r>
          </w:p>
        </w:tc>
        <w:tc>
          <w:tcPr>
            <w:tcW w:w="148"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865" w:type="dxa"/>
            <w:tcBorders/>
            <w:shd w:fill="auto" w:val="clear"/>
            <w:vAlign w:val="bottom"/>
          </w:tcPr>
          <w:p>
            <w:pPr>
              <w:pStyle w:val="TableContents"/>
              <w:spacing w:before="0" w:after="283"/>
              <w:jc w:val="right"/>
              <w:rPr/>
            </w:pPr>
            <w:r>
              <w:rPr/>
              <w:t>(26.5</w:t>
            </w:r>
          </w:p>
        </w:tc>
        <w:tc>
          <w:tcPr>
            <w:tcW w:w="136" w:type="dxa"/>
            <w:tcBorders/>
            <w:shd w:fill="auto" w:val="clear"/>
            <w:vAlign w:val="bottom"/>
          </w:tcPr>
          <w:p>
            <w:pPr>
              <w:pStyle w:val="TableContents"/>
              <w:spacing w:before="0" w:after="283"/>
              <w:rPr/>
            </w:pPr>
            <w:r>
              <w:rPr/>
              <w:t>)</w:t>
            </w:r>
          </w:p>
        </w:tc>
      </w:tr>
      <w:tr>
        <w:trPr/>
        <w:tc>
          <w:tcPr>
            <w:tcW w:w="5468"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68" w:type="dxa"/>
            <w:tcBorders/>
            <w:shd w:fill="CCEEFF" w:val="clear"/>
            <w:vAlign w:val="bottom"/>
          </w:tcPr>
          <w:p>
            <w:pPr>
              <w:pStyle w:val="TableContents"/>
              <w:spacing w:before="0" w:after="0"/>
              <w:ind w:left="450" w:right="0" w:hanging="225"/>
              <w:rPr/>
            </w:pPr>
            <w:r>
              <w:rPr/>
              <w:t>Net increase in signature loans outstanding at the end of the year</w:t>
            </w:r>
          </w:p>
        </w:tc>
        <w:tc>
          <w:tcPr>
            <w:tcW w:w="4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8.6</w:t>
            </w:r>
          </w:p>
        </w:tc>
        <w:tc>
          <w:tcPr>
            <w:tcW w:w="14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4.8</w:t>
            </w:r>
          </w:p>
        </w:tc>
        <w:tc>
          <w:tcPr>
            <w:tcW w:w="14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65" w:type="dxa"/>
            <w:tcBorders/>
            <w:shd w:fill="CCEEFF" w:val="clear"/>
            <w:vAlign w:val="bottom"/>
          </w:tcPr>
          <w:p>
            <w:pPr>
              <w:pStyle w:val="TableContents"/>
              <w:spacing w:before="0" w:after="283"/>
              <w:jc w:val="right"/>
              <w:rPr/>
            </w:pPr>
            <w:r>
              <w:rPr/>
              <w:t>7.5</w:t>
            </w:r>
          </w:p>
        </w:tc>
        <w:tc>
          <w:tcPr>
            <w:tcW w:w="136" w:type="dxa"/>
            <w:tcBorders/>
            <w:shd w:fill="CCEEFF" w:val="clear"/>
            <w:vAlign w:val="bottom"/>
          </w:tcPr>
          <w:p>
            <w:pPr>
              <w:pStyle w:val="TableContents"/>
              <w:spacing w:before="0" w:after="283"/>
              <w:rPr/>
            </w:pPr>
            <w:r>
              <w:rPr/>
              <w:t> </w:t>
            </w:r>
          </w:p>
        </w:tc>
      </w:tr>
      <w:tr>
        <w:trPr/>
        <w:tc>
          <w:tcPr>
            <w:tcW w:w="5468"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9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9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68" w:type="dxa"/>
            <w:tcBorders/>
            <w:shd w:fill="auto" w:val="clear"/>
            <w:vAlign w:val="bottom"/>
          </w:tcPr>
          <w:p>
            <w:pPr>
              <w:pStyle w:val="TableContents"/>
              <w:spacing w:before="0" w:after="0"/>
              <w:ind w:left="450" w:right="0" w:hanging="225"/>
              <w:rPr/>
            </w:pPr>
            <w:r>
              <w:rPr/>
              <w:t>Loans renewed</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144.0</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247.3</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368.4</w:t>
            </w:r>
          </w:p>
        </w:tc>
        <w:tc>
          <w:tcPr>
            <w:tcW w:w="136" w:type="dxa"/>
            <w:tcBorders/>
            <w:shd w:fill="auto" w:val="clear"/>
            <w:vAlign w:val="bottom"/>
          </w:tcPr>
          <w:p>
            <w:pPr>
              <w:pStyle w:val="TableContents"/>
              <w:spacing w:before="0" w:after="283"/>
              <w:rPr/>
            </w:pPr>
            <w:r>
              <w:rPr/>
              <w:t> </w:t>
            </w:r>
          </w:p>
        </w:tc>
      </w:tr>
      <w:tr>
        <w:trPr/>
        <w:tc>
          <w:tcPr>
            <w:tcW w:w="5468"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68" w:type="dxa"/>
            <w:tcBorders/>
            <w:shd w:fill="CCEEFF" w:val="clear"/>
            <w:vAlign w:val="bottom"/>
          </w:tcPr>
          <w:p>
            <w:pPr>
              <w:pStyle w:val="TableContents"/>
              <w:spacing w:before="0" w:after="0"/>
              <w:ind w:left="225" w:right="0" w:hanging="225"/>
              <w:rPr>
                <w:b/>
                <w:i/>
              </w:rPr>
            </w:pPr>
            <w:r>
              <w:rPr>
                <w:b/>
                <w:i/>
              </w:rPr>
              <w:t>Credit Services Only (Loans made by unaffiliated lenders):</w:t>
            </w:r>
          </w:p>
        </w:tc>
        <w:tc>
          <w:tcPr>
            <w:tcW w:w="4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468" w:type="dxa"/>
            <w:tcBorders/>
            <w:shd w:fill="auto" w:val="clear"/>
            <w:vAlign w:val="bottom"/>
          </w:tcPr>
          <w:p>
            <w:pPr>
              <w:pStyle w:val="TableContents"/>
              <w:spacing w:before="0" w:after="0"/>
              <w:ind w:left="450" w:right="0" w:hanging="225"/>
              <w:rPr/>
            </w:pPr>
            <w:r>
              <w:rPr/>
              <w:t>Loans made</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28.4</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91.1</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115.8</w:t>
            </w:r>
          </w:p>
        </w:tc>
        <w:tc>
          <w:tcPr>
            <w:tcW w:w="136" w:type="dxa"/>
            <w:tcBorders/>
            <w:shd w:fill="auto" w:val="clear"/>
            <w:vAlign w:val="bottom"/>
          </w:tcPr>
          <w:p>
            <w:pPr>
              <w:pStyle w:val="TableContents"/>
              <w:spacing w:before="0" w:after="283"/>
              <w:rPr/>
            </w:pPr>
            <w:r>
              <w:rPr/>
              <w:t> </w:t>
            </w:r>
          </w:p>
        </w:tc>
      </w:tr>
      <w:tr>
        <w:trPr/>
        <w:tc>
          <w:tcPr>
            <w:tcW w:w="5468" w:type="dxa"/>
            <w:tcBorders/>
            <w:shd w:fill="CCEEFF" w:val="clear"/>
            <w:vAlign w:val="bottom"/>
          </w:tcPr>
          <w:p>
            <w:pPr>
              <w:pStyle w:val="TableContents"/>
              <w:spacing w:before="0" w:after="0"/>
              <w:ind w:left="450" w:right="0" w:hanging="225"/>
              <w:rPr/>
            </w:pPr>
            <w:r>
              <w:rPr/>
              <w:t>Loans repaid</w:t>
            </w:r>
          </w:p>
        </w:tc>
        <w:tc>
          <w:tcPr>
            <w:tcW w:w="4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807" w:type="dxa"/>
            <w:tcBorders/>
            <w:shd w:fill="CCEEFF" w:val="clear"/>
            <w:vAlign w:val="bottom"/>
          </w:tcPr>
          <w:p>
            <w:pPr>
              <w:pStyle w:val="TableContents"/>
              <w:spacing w:before="0" w:after="283"/>
              <w:jc w:val="right"/>
              <w:rPr/>
            </w:pPr>
            <w:r>
              <w:rPr/>
              <w:t>(8.8</w:t>
            </w:r>
          </w:p>
        </w:tc>
        <w:tc>
          <w:tcPr>
            <w:tcW w:w="148"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807" w:type="dxa"/>
            <w:tcBorders/>
            <w:shd w:fill="CCEEFF" w:val="clear"/>
            <w:vAlign w:val="bottom"/>
          </w:tcPr>
          <w:p>
            <w:pPr>
              <w:pStyle w:val="TableContents"/>
              <w:spacing w:before="0" w:after="283"/>
              <w:jc w:val="right"/>
              <w:rPr/>
            </w:pPr>
            <w:r>
              <w:rPr/>
              <w:t>(72.4</w:t>
            </w:r>
          </w:p>
        </w:tc>
        <w:tc>
          <w:tcPr>
            <w:tcW w:w="148"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865" w:type="dxa"/>
            <w:tcBorders/>
            <w:shd w:fill="CCEEFF" w:val="clear"/>
            <w:vAlign w:val="bottom"/>
          </w:tcPr>
          <w:p>
            <w:pPr>
              <w:pStyle w:val="TableContents"/>
              <w:spacing w:before="0" w:after="283"/>
              <w:jc w:val="right"/>
              <w:rPr/>
            </w:pPr>
            <w:r>
              <w:rPr/>
              <w:t>(89.5</w:t>
            </w:r>
          </w:p>
        </w:tc>
        <w:tc>
          <w:tcPr>
            <w:tcW w:w="136" w:type="dxa"/>
            <w:tcBorders/>
            <w:shd w:fill="CCEEFF" w:val="clear"/>
            <w:vAlign w:val="bottom"/>
          </w:tcPr>
          <w:p>
            <w:pPr>
              <w:pStyle w:val="TableContents"/>
              <w:spacing w:before="0" w:after="283"/>
              <w:rPr/>
            </w:pPr>
            <w:r>
              <w:rPr/>
              <w:t>)</w:t>
            </w:r>
          </w:p>
        </w:tc>
      </w:tr>
      <w:tr>
        <w:trPr/>
        <w:tc>
          <w:tcPr>
            <w:tcW w:w="5468" w:type="dxa"/>
            <w:tcBorders/>
            <w:shd w:fill="auto" w:val="clear"/>
            <w:vAlign w:val="bottom"/>
          </w:tcPr>
          <w:p>
            <w:pPr>
              <w:pStyle w:val="TableContents"/>
              <w:spacing w:before="0" w:after="0"/>
              <w:ind w:left="450" w:right="0" w:hanging="225"/>
              <w:rPr/>
            </w:pPr>
            <w:r>
              <w:rPr/>
              <w:t>Loans forfeited, net of collections on bad debt</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807" w:type="dxa"/>
            <w:tcBorders/>
            <w:shd w:fill="auto" w:val="clear"/>
            <w:vAlign w:val="bottom"/>
          </w:tcPr>
          <w:p>
            <w:pPr>
              <w:pStyle w:val="TableContents"/>
              <w:spacing w:before="0" w:after="283"/>
              <w:jc w:val="right"/>
              <w:rPr/>
            </w:pPr>
            <w:r>
              <w:rPr/>
              <w:t>(5.4</w:t>
            </w:r>
          </w:p>
        </w:tc>
        <w:tc>
          <w:tcPr>
            <w:tcW w:w="148"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807" w:type="dxa"/>
            <w:tcBorders/>
            <w:shd w:fill="auto" w:val="clear"/>
            <w:vAlign w:val="bottom"/>
          </w:tcPr>
          <w:p>
            <w:pPr>
              <w:pStyle w:val="TableContents"/>
              <w:spacing w:before="0" w:after="283"/>
              <w:jc w:val="right"/>
              <w:rPr/>
            </w:pPr>
            <w:r>
              <w:rPr/>
              <w:t>(14.8</w:t>
            </w:r>
          </w:p>
        </w:tc>
        <w:tc>
          <w:tcPr>
            <w:tcW w:w="148"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865" w:type="dxa"/>
            <w:tcBorders/>
            <w:shd w:fill="auto" w:val="clear"/>
            <w:vAlign w:val="bottom"/>
          </w:tcPr>
          <w:p>
            <w:pPr>
              <w:pStyle w:val="TableContents"/>
              <w:spacing w:before="0" w:after="283"/>
              <w:jc w:val="right"/>
              <w:rPr/>
            </w:pPr>
            <w:r>
              <w:rPr/>
              <w:t>(21.2</w:t>
            </w:r>
          </w:p>
        </w:tc>
        <w:tc>
          <w:tcPr>
            <w:tcW w:w="136" w:type="dxa"/>
            <w:tcBorders/>
            <w:shd w:fill="auto" w:val="clear"/>
            <w:vAlign w:val="bottom"/>
          </w:tcPr>
          <w:p>
            <w:pPr>
              <w:pStyle w:val="TableContents"/>
              <w:spacing w:before="0" w:after="283"/>
              <w:rPr/>
            </w:pPr>
            <w:r>
              <w:rPr/>
              <w:t>)</w:t>
            </w:r>
          </w:p>
        </w:tc>
      </w:tr>
      <w:tr>
        <w:trPr/>
        <w:tc>
          <w:tcPr>
            <w:tcW w:w="5468"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68" w:type="dxa"/>
            <w:tcBorders/>
            <w:shd w:fill="CCEEFF" w:val="clear"/>
            <w:vAlign w:val="bottom"/>
          </w:tcPr>
          <w:p>
            <w:pPr>
              <w:pStyle w:val="TableContents"/>
              <w:spacing w:before="0" w:after="0"/>
              <w:ind w:left="450" w:right="0" w:hanging="225"/>
              <w:rPr/>
            </w:pPr>
            <w:r>
              <w:rPr/>
              <w:t>Net increase in loans outstanding at the end of the year</w:t>
            </w:r>
          </w:p>
        </w:tc>
        <w:tc>
          <w:tcPr>
            <w:tcW w:w="4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14.2</w:t>
            </w:r>
          </w:p>
        </w:tc>
        <w:tc>
          <w:tcPr>
            <w:tcW w:w="14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3.9</w:t>
            </w:r>
          </w:p>
        </w:tc>
        <w:tc>
          <w:tcPr>
            <w:tcW w:w="14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65" w:type="dxa"/>
            <w:tcBorders/>
            <w:shd w:fill="CCEEFF" w:val="clear"/>
            <w:vAlign w:val="bottom"/>
          </w:tcPr>
          <w:p>
            <w:pPr>
              <w:pStyle w:val="TableContents"/>
              <w:spacing w:before="0" w:after="283"/>
              <w:jc w:val="right"/>
              <w:rPr/>
            </w:pPr>
            <w:r>
              <w:rPr/>
              <w:t>5.1</w:t>
            </w:r>
          </w:p>
        </w:tc>
        <w:tc>
          <w:tcPr>
            <w:tcW w:w="136" w:type="dxa"/>
            <w:tcBorders/>
            <w:shd w:fill="CCEEFF" w:val="clear"/>
            <w:vAlign w:val="bottom"/>
          </w:tcPr>
          <w:p>
            <w:pPr>
              <w:pStyle w:val="TableContents"/>
              <w:spacing w:before="0" w:after="283"/>
              <w:rPr/>
            </w:pPr>
            <w:r>
              <w:rPr/>
              <w:t> </w:t>
            </w:r>
          </w:p>
        </w:tc>
      </w:tr>
      <w:tr>
        <w:trPr/>
        <w:tc>
          <w:tcPr>
            <w:tcW w:w="5468"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9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9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68" w:type="dxa"/>
            <w:tcBorders/>
            <w:shd w:fill="auto" w:val="clear"/>
            <w:vAlign w:val="bottom"/>
          </w:tcPr>
          <w:p>
            <w:pPr>
              <w:pStyle w:val="TableContents"/>
              <w:spacing w:before="0" w:after="0"/>
              <w:ind w:left="450" w:right="0" w:hanging="225"/>
              <w:rPr/>
            </w:pPr>
            <w:r>
              <w:rPr/>
              <w:t>Loans renewed</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41.6</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236.1</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334.4</w:t>
            </w:r>
          </w:p>
        </w:tc>
        <w:tc>
          <w:tcPr>
            <w:tcW w:w="136" w:type="dxa"/>
            <w:tcBorders/>
            <w:shd w:fill="auto" w:val="clear"/>
            <w:vAlign w:val="bottom"/>
          </w:tcPr>
          <w:p>
            <w:pPr>
              <w:pStyle w:val="TableContents"/>
              <w:spacing w:before="0" w:after="283"/>
              <w:rPr/>
            </w:pPr>
            <w:r>
              <w:rPr/>
              <w:t> </w:t>
            </w:r>
          </w:p>
        </w:tc>
      </w:tr>
      <w:tr>
        <w:trPr/>
        <w:tc>
          <w:tcPr>
            <w:tcW w:w="5468"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68" w:type="dxa"/>
            <w:tcBorders/>
            <w:shd w:fill="CCEEFF" w:val="clear"/>
            <w:vAlign w:val="bottom"/>
          </w:tcPr>
          <w:p>
            <w:pPr>
              <w:pStyle w:val="TableContents"/>
              <w:spacing w:before="0" w:after="0"/>
              <w:ind w:left="225" w:right="0" w:hanging="225"/>
              <w:rPr>
                <w:b/>
                <w:i/>
              </w:rPr>
            </w:pPr>
            <w:r>
              <w:rPr>
                <w:b/>
                <w:i/>
              </w:rPr>
              <w:t>Payday Loans Only (Loans made by us):</w:t>
            </w:r>
          </w:p>
        </w:tc>
        <w:tc>
          <w:tcPr>
            <w:tcW w:w="4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468" w:type="dxa"/>
            <w:tcBorders/>
            <w:shd w:fill="auto" w:val="clear"/>
            <w:vAlign w:val="bottom"/>
          </w:tcPr>
          <w:p>
            <w:pPr>
              <w:pStyle w:val="TableContents"/>
              <w:spacing w:before="0" w:after="0"/>
              <w:ind w:left="450" w:right="0" w:hanging="225"/>
              <w:rPr/>
            </w:pPr>
            <w:r>
              <w:rPr/>
              <w:t>Loans made</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59.5</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24.4</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48.5</w:t>
            </w:r>
          </w:p>
        </w:tc>
        <w:tc>
          <w:tcPr>
            <w:tcW w:w="136" w:type="dxa"/>
            <w:tcBorders/>
            <w:shd w:fill="auto" w:val="clear"/>
            <w:vAlign w:val="bottom"/>
          </w:tcPr>
          <w:p>
            <w:pPr>
              <w:pStyle w:val="TableContents"/>
              <w:spacing w:before="0" w:after="283"/>
              <w:rPr/>
            </w:pPr>
            <w:r>
              <w:rPr/>
              <w:t> </w:t>
            </w:r>
          </w:p>
        </w:tc>
      </w:tr>
      <w:tr>
        <w:trPr/>
        <w:tc>
          <w:tcPr>
            <w:tcW w:w="5468" w:type="dxa"/>
            <w:tcBorders/>
            <w:shd w:fill="CCEEFF" w:val="clear"/>
            <w:vAlign w:val="bottom"/>
          </w:tcPr>
          <w:p>
            <w:pPr>
              <w:pStyle w:val="TableContents"/>
              <w:spacing w:before="0" w:after="0"/>
              <w:ind w:left="450" w:right="0" w:hanging="225"/>
              <w:rPr/>
            </w:pPr>
            <w:r>
              <w:rPr/>
              <w:t>Loans repaid</w:t>
            </w:r>
          </w:p>
        </w:tc>
        <w:tc>
          <w:tcPr>
            <w:tcW w:w="4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807" w:type="dxa"/>
            <w:tcBorders/>
            <w:shd w:fill="CCEEFF" w:val="clear"/>
            <w:vAlign w:val="bottom"/>
          </w:tcPr>
          <w:p>
            <w:pPr>
              <w:pStyle w:val="TableContents"/>
              <w:spacing w:before="0" w:after="283"/>
              <w:jc w:val="right"/>
              <w:rPr/>
            </w:pPr>
            <w:r>
              <w:rPr/>
              <w:t>(58.5</w:t>
            </w:r>
          </w:p>
        </w:tc>
        <w:tc>
          <w:tcPr>
            <w:tcW w:w="148"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807" w:type="dxa"/>
            <w:tcBorders/>
            <w:shd w:fill="CCEEFF" w:val="clear"/>
            <w:vAlign w:val="bottom"/>
          </w:tcPr>
          <w:p>
            <w:pPr>
              <w:pStyle w:val="TableContents"/>
              <w:spacing w:before="0" w:after="283"/>
              <w:jc w:val="right"/>
              <w:rPr/>
            </w:pPr>
            <w:r>
              <w:rPr/>
              <w:t>(21.3</w:t>
            </w:r>
          </w:p>
        </w:tc>
        <w:tc>
          <w:tcPr>
            <w:tcW w:w="148"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865" w:type="dxa"/>
            <w:tcBorders/>
            <w:shd w:fill="CCEEFF" w:val="clear"/>
            <w:vAlign w:val="bottom"/>
          </w:tcPr>
          <w:p>
            <w:pPr>
              <w:pStyle w:val="TableContents"/>
              <w:spacing w:before="0" w:after="283"/>
              <w:jc w:val="right"/>
              <w:rPr/>
            </w:pPr>
            <w:r>
              <w:rPr/>
              <w:t>(40.8</w:t>
            </w:r>
          </w:p>
        </w:tc>
        <w:tc>
          <w:tcPr>
            <w:tcW w:w="136" w:type="dxa"/>
            <w:tcBorders/>
            <w:shd w:fill="CCEEFF" w:val="clear"/>
            <w:vAlign w:val="bottom"/>
          </w:tcPr>
          <w:p>
            <w:pPr>
              <w:pStyle w:val="TableContents"/>
              <w:spacing w:before="0" w:after="283"/>
              <w:rPr/>
            </w:pPr>
            <w:r>
              <w:rPr/>
              <w:t>)</w:t>
            </w:r>
          </w:p>
        </w:tc>
      </w:tr>
      <w:tr>
        <w:trPr/>
        <w:tc>
          <w:tcPr>
            <w:tcW w:w="5468" w:type="dxa"/>
            <w:tcBorders/>
            <w:shd w:fill="auto" w:val="clear"/>
            <w:vAlign w:val="bottom"/>
          </w:tcPr>
          <w:p>
            <w:pPr>
              <w:pStyle w:val="TableContents"/>
              <w:spacing w:before="0" w:after="0"/>
              <w:ind w:left="450" w:right="0" w:hanging="225"/>
              <w:rPr/>
            </w:pPr>
            <w:r>
              <w:rPr/>
              <w:t>Loans forfeited, net of collections on bad debt</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807" w:type="dxa"/>
            <w:tcBorders/>
            <w:shd w:fill="auto" w:val="clear"/>
            <w:vAlign w:val="bottom"/>
          </w:tcPr>
          <w:p>
            <w:pPr>
              <w:pStyle w:val="TableContents"/>
              <w:spacing w:before="0" w:after="283"/>
              <w:jc w:val="right"/>
              <w:rPr/>
            </w:pPr>
            <w:r>
              <w:rPr/>
              <w:t>(6.6</w:t>
            </w:r>
          </w:p>
        </w:tc>
        <w:tc>
          <w:tcPr>
            <w:tcW w:w="148"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807" w:type="dxa"/>
            <w:tcBorders/>
            <w:shd w:fill="auto" w:val="clear"/>
            <w:vAlign w:val="bottom"/>
          </w:tcPr>
          <w:p>
            <w:pPr>
              <w:pStyle w:val="TableContents"/>
              <w:spacing w:before="0" w:after="283"/>
              <w:jc w:val="right"/>
              <w:rPr/>
            </w:pPr>
            <w:r>
              <w:rPr/>
              <w:t>(2.2</w:t>
            </w:r>
          </w:p>
        </w:tc>
        <w:tc>
          <w:tcPr>
            <w:tcW w:w="148" w:type="dxa"/>
            <w:tcBorders/>
            <w:shd w:fill="auto" w:val="clear"/>
            <w:vAlign w:val="bottom"/>
          </w:tcPr>
          <w:p>
            <w:pPr>
              <w:pStyle w:val="TableContents"/>
              <w:spacing w:before="0" w:after="283"/>
              <w:rPr/>
            </w:pPr>
            <w:r>
              <w:rPr/>
              <w:t>)</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865" w:type="dxa"/>
            <w:tcBorders/>
            <w:shd w:fill="auto" w:val="clear"/>
            <w:vAlign w:val="bottom"/>
          </w:tcPr>
          <w:p>
            <w:pPr>
              <w:pStyle w:val="TableContents"/>
              <w:spacing w:before="0" w:after="283"/>
              <w:jc w:val="right"/>
              <w:rPr/>
            </w:pPr>
            <w:r>
              <w:rPr/>
              <w:t>(5.3</w:t>
            </w:r>
          </w:p>
        </w:tc>
        <w:tc>
          <w:tcPr>
            <w:tcW w:w="136" w:type="dxa"/>
            <w:tcBorders/>
            <w:shd w:fill="auto" w:val="clear"/>
            <w:vAlign w:val="bottom"/>
          </w:tcPr>
          <w:p>
            <w:pPr>
              <w:pStyle w:val="TableContents"/>
              <w:spacing w:before="0" w:after="283"/>
              <w:rPr/>
            </w:pPr>
            <w:r>
              <w:rPr/>
              <w:t>)</w:t>
            </w:r>
          </w:p>
        </w:tc>
      </w:tr>
      <w:tr>
        <w:trPr/>
        <w:tc>
          <w:tcPr>
            <w:tcW w:w="5468"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68" w:type="dxa"/>
            <w:tcBorders/>
            <w:shd w:fill="CCEEFF" w:val="clear"/>
            <w:vAlign w:val="bottom"/>
          </w:tcPr>
          <w:p>
            <w:pPr>
              <w:pStyle w:val="TableContents"/>
              <w:spacing w:before="0" w:after="0"/>
              <w:ind w:left="450" w:right="0" w:hanging="225"/>
              <w:rPr/>
            </w:pPr>
            <w:r>
              <w:rPr/>
              <w:t>Net increase in payday loans outstanding at the end of the year</w:t>
            </w:r>
          </w:p>
        </w:tc>
        <w:tc>
          <w:tcPr>
            <w:tcW w:w="4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(5.6</w:t>
            </w:r>
          </w:p>
        </w:tc>
        <w:tc>
          <w:tcPr>
            <w:tcW w:w="148" w:type="dxa"/>
            <w:tcBorders/>
            <w:shd w:fill="CCEEFF" w:val="clear"/>
            <w:vAlign w:val="bottom"/>
          </w:tcPr>
          <w:p>
            <w:pPr>
              <w:pStyle w:val="TableContents"/>
              <w:spacing w:before="0" w:after="283"/>
              <w:rPr/>
            </w:pPr>
            <w:r>
              <w:rPr/>
              <w:t>)</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0.9</w:t>
            </w:r>
          </w:p>
        </w:tc>
        <w:tc>
          <w:tcPr>
            <w:tcW w:w="14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65" w:type="dxa"/>
            <w:tcBorders/>
            <w:shd w:fill="CCEEFF" w:val="clear"/>
            <w:vAlign w:val="bottom"/>
          </w:tcPr>
          <w:p>
            <w:pPr>
              <w:pStyle w:val="TableContents"/>
              <w:spacing w:before="0" w:after="283"/>
              <w:jc w:val="right"/>
              <w:rPr/>
            </w:pPr>
            <w:r>
              <w:rPr/>
              <w:t>2.4</w:t>
            </w:r>
          </w:p>
        </w:tc>
        <w:tc>
          <w:tcPr>
            <w:tcW w:w="136" w:type="dxa"/>
            <w:tcBorders/>
            <w:shd w:fill="CCEEFF" w:val="clear"/>
            <w:vAlign w:val="bottom"/>
          </w:tcPr>
          <w:p>
            <w:pPr>
              <w:pStyle w:val="TableContents"/>
              <w:spacing w:before="0" w:after="283"/>
              <w:rPr/>
            </w:pPr>
            <w:r>
              <w:rPr/>
              <w:t> </w:t>
            </w:r>
          </w:p>
        </w:tc>
      </w:tr>
      <w:tr>
        <w:trPr/>
        <w:tc>
          <w:tcPr>
            <w:tcW w:w="5468"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9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9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430"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68" w:type="dxa"/>
            <w:tcBorders/>
            <w:shd w:fill="auto" w:val="clear"/>
            <w:vAlign w:val="bottom"/>
          </w:tcPr>
          <w:p>
            <w:pPr>
              <w:pStyle w:val="TableContents"/>
              <w:spacing w:before="0" w:after="0"/>
              <w:ind w:left="450" w:right="0" w:hanging="225"/>
              <w:rPr/>
            </w:pPr>
            <w:r>
              <w:rPr/>
              <w:t>Loans renewed</w:t>
            </w:r>
          </w:p>
        </w:tc>
        <w:tc>
          <w:tcPr>
            <w:tcW w:w="4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102.4</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11.2</w:t>
            </w:r>
          </w:p>
        </w:tc>
        <w:tc>
          <w:tcPr>
            <w:tcW w:w="14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34.0</w:t>
            </w:r>
          </w:p>
        </w:tc>
        <w:tc>
          <w:tcPr>
            <w:tcW w:w="136" w:type="dxa"/>
            <w:tcBorders/>
            <w:shd w:fill="auto"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Signature loans are unsecured, and their profitability is highly dependent upon our ability to manage the default rate and collect defaulted loan principal, interest and insufficient fund fees. In determining whether to lend or provide credit services, we perform a limited review of customer information, such as making a credit reporting agency inquiry, reviewing previous check writing experience, evaluating income levels and verifying a telephone number where the customers may be contacted.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the time a signature loan is made, a loan agreement, and credit services agreement when applicable, is given to the borrower. It presents, among other things, the name and address of the lender, the borrower and the credit services company when applicable, the borrowers identification information, the date of the loan, the amount financed, the interest or service charges due on maturity, the maturity date of the loan, the total amount that must be paid and the annual percentage rate. </w:t>
      </w:r>
    </w:p>
    <w:p>
      <w:pPr>
        <w:pStyle w:val="TextBody"/>
        <w:spacing w:before="240" w:after="283"/>
        <w:jc w:val="left"/>
        <w:rPr>
          <w:rFonts w:ascii="Helvetica;Arial;sans-serif" w:hAnsi="Helvetica;Arial;sans-serif"/>
          <w:b/>
          <w:sz w:val="17"/>
        </w:rPr>
      </w:pPr>
      <w:r>
        <w:rPr>
          <w:rFonts w:ascii="Helvetica;Arial;sans-serif" w:hAnsi="Helvetica;Arial;sans-serif"/>
          <w:b/>
          <w:sz w:val="17"/>
        </w:rPr>
        <w:t>Credit Services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offer credit services in our EZMONEY stores in Texas and Florida. These services consist of advice and assistance to customers in obtaining loans from unaffiliated lenders. We do not make, fund or participate in the loans made by the lenders, but earn a fee for assisting customers in obtaining credit and by enhancing their creditworthiness by issuing a letter of credit. In connection with our credit services, the unaffiliated lenders offer customers two types of loans. In all 264 EZMONEY stores and 50 EZPAWN </w:t>
      </w:r>
    </w:p>
    <w:p>
      <w:pPr>
        <w:pStyle w:val="TextBody"/>
        <w:jc w:val="center"/>
        <w:rPr>
          <w:rFonts w:ascii="Helvetica;Arial;sans-serif" w:hAnsi="Helvetica;Arial;sans-serif"/>
          <w:sz w:val="17"/>
        </w:rPr>
      </w:pPr>
      <w:r>
        <w:rPr>
          <w:rFonts w:ascii="Helvetica;Arial;sans-serif" w:hAnsi="Helvetica;Arial;san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stores offering credit services, customers can obtain short-term loans, with principal amounts up to $1,500, averaging $540. Terms of these short-term loans are generally less than 30 days, averaging about 18 days, with due dates corresponding with the customers next payday. We typically earn a fee of 20% of the loan amount for our short-term loan credit services. In 35 EZMONEY stores offering credit services, customers can also obtain longer-term installment loans from the unaffiliated lenders. The installment loans typically carry terms of about five months with ten equal installment payments due on customers paydays. Installment loan principal amounts range from $1,525 to $3,000, averaging about $2,300. With each installment payment, we earn a fee of 10% of the initial loan amount. At September 30, 2007, short-term loans comprised 98% of the balance of loans brokered through our credit services, and installment loans comprised the remaining 2%.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If a credit service customer defaults on the loan, we pay the lender the principal and accrued interest due under the loan and an insufficient funds fee. We then attempt to collect the unpaid principal, interest and insufficient funds fee from the borrower. We consider as our bad debt the amount we pay the lenders under letters of credit, less any amounts we collect from borrowers.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Although amounts paid under letters of credit may be collected later, we charge those amounts to bad debt expense upon default. Subsequent recoveries under the letters of credit are recorded as a reduction of bad debt at the time of collection. We also record as bad debt expense an accrual of expected losses for principal, interest and insufficient fund fees we expect to pay the lenders on default of the lenders current loans under the terms of the letters of credit. This estimate is based on recent default and collection experience and the amount of loans the lenders have outstanding. </w:t>
      </w:r>
    </w:p>
    <w:p>
      <w:pPr>
        <w:pStyle w:val="TextBody"/>
        <w:spacing w:before="240" w:after="283"/>
        <w:jc w:val="left"/>
        <w:rPr>
          <w:rFonts w:ascii="Helvetica;Arial;sans-serif" w:hAnsi="Helvetica;Arial;sans-serif"/>
          <w:b/>
          <w:sz w:val="17"/>
        </w:rPr>
      </w:pPr>
      <w:r>
        <w:rPr>
          <w:rFonts w:ascii="Helvetica;Arial;sans-serif" w:hAnsi="Helvetica;Arial;sans-serif"/>
          <w:b/>
          <w:sz w:val="17"/>
        </w:rPr>
        <w:t>Payday Lending Activities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State law governs our payday loans. The average payday loan amount is approximately $435 and the term is generally less than 30 days, averaging about 19 days. We typically charge a fee of $15 to $22 per $100 loaned for a 7 to 23-day period.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consider a loan defaulted if the loan has not been repaid or renewed by the maturity date. Although defaulted loans may be collected later, we charge the loan principal to bad debt upon default, leaving only active loans in the reported balance. Subsequent collections of principal are recorded as a reduction of bad debt at the time of collection. Accrued service charges related to defaulted loans are deducted from service charge revenue upon loan default, and increase service charge revenue upon subsequent collection. We provide for a valuation allowance on both the principal and service charges receivable based on recent default and collection experience. Our payday loan balance represents the principal amount of all active (non-defaulted) loans, net of this valuation allowance. </w:t>
      </w:r>
    </w:p>
    <w:p>
      <w:pPr>
        <w:pStyle w:val="TextBody"/>
        <w:spacing w:before="240" w:after="283"/>
        <w:jc w:val="left"/>
        <w:rPr>
          <w:rFonts w:ascii="Helvetica;Arial;sans-serif" w:hAnsi="Helvetica;Arial;sans-serif"/>
          <w:b/>
          <w:sz w:val="17"/>
        </w:rPr>
      </w:pPr>
      <w:r>
        <w:rPr>
          <w:rFonts w:ascii="Helvetica;Arial;sans-serif" w:hAnsi="Helvetica;Arial;sans-serif"/>
          <w:b/>
          <w:sz w:val="17"/>
        </w:rPr>
        <w:t>Retail Activities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our pawnshops, we acquire inventory for retail sales through pawn loan forfeitures and, to a lesser extent, through purchases of customers merchandise. The gross profit on sales of inventory depends primarily on our assessment of the resale value at the time the property is either accepted as loan collateral or purchased. Improper assessment of the resale value in the lending or purchasing process can result in lower margins or reduced marketability of the property. During fiscal 2005, 2006 and 2007, we realized gross margins on sales of 39%, 40% and 39%. Jewelry sales represent approximately half of our total sales with the remaining sales consisting primarily of consumer electronics, tools, sporting goods and musical instruments. We believe our ability to offer quality used merchandise at prices significantly lower than original retail prices attracts value-conscious customers. </w:t>
      </w:r>
    </w:p>
    <w:p>
      <w:pPr>
        <w:pStyle w:val="TextBody"/>
        <w:jc w:val="center"/>
        <w:rPr>
          <w:rFonts w:ascii="Helvetica;Arial;sans-serif" w:hAnsi="Helvetica;Arial;sans-serif"/>
          <w:sz w:val="17"/>
        </w:rPr>
      </w:pPr>
      <w:r>
        <w:rPr>
          <w:rFonts w:ascii="Helvetica;Arial;sans-serif" w:hAnsi="Helvetica;Arial;san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During the three most recent fiscal years, sources of inventory additions were: </w:t>
      </w:r>
    </w:p>
    <w:tbl>
      <w:tblPr>
        <w:tblW w:w="5000" w:type="pct"/>
        <w:jc w:val="center"/>
        <w:tblInd w:w="0" w:type="dxa"/>
        <w:tblCellMar>
          <w:top w:w="0" w:type="dxa"/>
          <w:left w:w="0" w:type="dxa"/>
          <w:bottom w:w="0" w:type="dxa"/>
          <w:right w:w="0" w:type="dxa"/>
        </w:tblCellMar>
      </w:tblPr>
      <w:tblGrid>
        <w:gridCol w:w="4992"/>
        <w:gridCol w:w="380"/>
        <w:gridCol w:w="293"/>
        <w:gridCol w:w="486"/>
        <w:gridCol w:w="544"/>
        <w:gridCol w:w="425"/>
        <w:gridCol w:w="293"/>
        <w:gridCol w:w="486"/>
        <w:gridCol w:w="544"/>
        <w:gridCol w:w="425"/>
        <w:gridCol w:w="293"/>
        <w:gridCol w:w="486"/>
        <w:gridCol w:w="558"/>
      </w:tblGrid>
      <w:tr>
        <w:trPr/>
        <w:tc>
          <w:tcPr>
            <w:tcW w:w="4992"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558" w:type="dxa"/>
            <w:tcBorders/>
            <w:shd w:fill="auto" w:val="clear"/>
            <w:vAlign w:val="bottom"/>
          </w:tcPr>
          <w:p>
            <w:pPr>
              <w:pStyle w:val="TableContents"/>
              <w:spacing w:before="0" w:after="283"/>
              <w:rPr/>
            </w:pPr>
            <w:r>
              <w:rPr/>
              <w:t> </w:t>
            </w:r>
          </w:p>
        </w:tc>
      </w:tr>
      <w:tr>
        <w:trPr/>
        <w:tc>
          <w:tcPr>
            <w:tcW w:w="4992"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4833" w:type="dxa"/>
            <w:gridSpan w:val="11"/>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r>
      <w:tr>
        <w:trPr/>
        <w:tc>
          <w:tcPr>
            <w:tcW w:w="4992"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323"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425" w:type="dxa"/>
            <w:tcBorders/>
            <w:shd w:fill="auto" w:val="clear"/>
            <w:vAlign w:val="bottom"/>
          </w:tcPr>
          <w:p>
            <w:pPr>
              <w:pStyle w:val="TableContents"/>
              <w:spacing w:before="0" w:after="283"/>
              <w:rPr/>
            </w:pPr>
            <w:r>
              <w:rPr/>
              <w:t> </w:t>
            </w:r>
          </w:p>
        </w:tc>
        <w:tc>
          <w:tcPr>
            <w:tcW w:w="1323" w:type="dxa"/>
            <w:gridSpan w:val="3"/>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425" w:type="dxa"/>
            <w:tcBorders/>
            <w:shd w:fill="auto" w:val="clear"/>
            <w:vAlign w:val="bottom"/>
          </w:tcPr>
          <w:p>
            <w:pPr>
              <w:pStyle w:val="TableContents"/>
              <w:spacing w:before="0" w:after="283"/>
              <w:rPr/>
            </w:pPr>
            <w:r>
              <w:rPr/>
              <w:t> </w:t>
            </w:r>
          </w:p>
        </w:tc>
        <w:tc>
          <w:tcPr>
            <w:tcW w:w="133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2007</w:t>
            </w:r>
          </w:p>
        </w:tc>
      </w:tr>
      <w:tr>
        <w:trPr/>
        <w:tc>
          <w:tcPr>
            <w:tcW w:w="4992" w:type="dxa"/>
            <w:tcBorders/>
            <w:shd w:fill="CCEEFF" w:val="clear"/>
            <w:vAlign w:val="bottom"/>
          </w:tcPr>
          <w:p>
            <w:pPr>
              <w:pStyle w:val="TableContents"/>
              <w:spacing w:before="0" w:after="0"/>
              <w:ind w:left="225" w:right="0" w:hanging="225"/>
              <w:rPr/>
            </w:pPr>
            <w:r>
              <w:rPr/>
              <w:t>Forfeited pawn loan collateral</w:t>
            </w:r>
          </w:p>
        </w:tc>
        <w:tc>
          <w:tcPr>
            <w:tcW w:w="38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 </w:t>
            </w:r>
          </w:p>
        </w:tc>
        <w:tc>
          <w:tcPr>
            <w:tcW w:w="486" w:type="dxa"/>
            <w:tcBorders/>
            <w:shd w:fill="CCEEFF" w:val="clear"/>
            <w:vAlign w:val="bottom"/>
          </w:tcPr>
          <w:p>
            <w:pPr>
              <w:pStyle w:val="TableContents"/>
              <w:spacing w:before="0" w:after="283"/>
              <w:jc w:val="right"/>
              <w:rPr/>
            </w:pPr>
            <w:r>
              <w:rPr/>
              <w:t>84</w:t>
            </w:r>
          </w:p>
        </w:tc>
        <w:tc>
          <w:tcPr>
            <w:tcW w:w="544"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 </w:t>
            </w:r>
          </w:p>
        </w:tc>
        <w:tc>
          <w:tcPr>
            <w:tcW w:w="486" w:type="dxa"/>
            <w:tcBorders/>
            <w:shd w:fill="CCEEFF" w:val="clear"/>
            <w:vAlign w:val="bottom"/>
          </w:tcPr>
          <w:p>
            <w:pPr>
              <w:pStyle w:val="TableContents"/>
              <w:spacing w:before="0" w:after="283"/>
              <w:jc w:val="right"/>
              <w:rPr/>
            </w:pPr>
            <w:r>
              <w:rPr/>
              <w:t>83</w:t>
            </w:r>
          </w:p>
        </w:tc>
        <w:tc>
          <w:tcPr>
            <w:tcW w:w="544"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 </w:t>
            </w:r>
          </w:p>
        </w:tc>
        <w:tc>
          <w:tcPr>
            <w:tcW w:w="486" w:type="dxa"/>
            <w:tcBorders/>
            <w:shd w:fill="CCEEFF" w:val="clear"/>
            <w:vAlign w:val="bottom"/>
          </w:tcPr>
          <w:p>
            <w:pPr>
              <w:pStyle w:val="TableContents"/>
              <w:spacing w:before="0" w:after="283"/>
              <w:jc w:val="right"/>
              <w:rPr/>
            </w:pPr>
            <w:r>
              <w:rPr/>
              <w:t>81</w:t>
            </w:r>
          </w:p>
        </w:tc>
        <w:tc>
          <w:tcPr>
            <w:tcW w:w="558" w:type="dxa"/>
            <w:tcBorders/>
            <w:shd w:fill="CCEEFF" w:val="clear"/>
            <w:vAlign w:val="bottom"/>
          </w:tcPr>
          <w:p>
            <w:pPr>
              <w:pStyle w:val="TableContents"/>
              <w:spacing w:before="0" w:after="283"/>
              <w:rPr/>
            </w:pPr>
            <w:r>
              <w:rPr/>
              <w:t>%</w:t>
            </w:r>
          </w:p>
        </w:tc>
      </w:tr>
      <w:tr>
        <w:trPr/>
        <w:tc>
          <w:tcPr>
            <w:tcW w:w="4992" w:type="dxa"/>
            <w:tcBorders/>
            <w:shd w:fill="auto" w:val="clear"/>
            <w:vAlign w:val="bottom"/>
          </w:tcPr>
          <w:p>
            <w:pPr>
              <w:pStyle w:val="TableContents"/>
              <w:spacing w:before="0" w:after="0"/>
              <w:ind w:left="225" w:right="0" w:hanging="225"/>
              <w:rPr/>
            </w:pPr>
            <w:r>
              <w:rPr/>
              <w:t>Purchases from customers</w:t>
            </w:r>
          </w:p>
        </w:tc>
        <w:tc>
          <w:tcPr>
            <w:tcW w:w="38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 </w:t>
            </w:r>
          </w:p>
        </w:tc>
        <w:tc>
          <w:tcPr>
            <w:tcW w:w="486" w:type="dxa"/>
            <w:tcBorders/>
            <w:shd w:fill="auto" w:val="clear"/>
            <w:vAlign w:val="bottom"/>
          </w:tcPr>
          <w:p>
            <w:pPr>
              <w:pStyle w:val="TableContents"/>
              <w:spacing w:before="0" w:after="283"/>
              <w:jc w:val="right"/>
              <w:rPr/>
            </w:pPr>
            <w:r>
              <w:rPr/>
              <w:t>16</w:t>
            </w:r>
          </w:p>
        </w:tc>
        <w:tc>
          <w:tcPr>
            <w:tcW w:w="544"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 </w:t>
            </w:r>
          </w:p>
        </w:tc>
        <w:tc>
          <w:tcPr>
            <w:tcW w:w="486" w:type="dxa"/>
            <w:tcBorders/>
            <w:shd w:fill="auto" w:val="clear"/>
            <w:vAlign w:val="bottom"/>
          </w:tcPr>
          <w:p>
            <w:pPr>
              <w:pStyle w:val="TableContents"/>
              <w:spacing w:before="0" w:after="283"/>
              <w:jc w:val="right"/>
              <w:rPr/>
            </w:pPr>
            <w:r>
              <w:rPr/>
              <w:t>16</w:t>
            </w:r>
          </w:p>
        </w:tc>
        <w:tc>
          <w:tcPr>
            <w:tcW w:w="544"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 </w:t>
            </w:r>
          </w:p>
        </w:tc>
        <w:tc>
          <w:tcPr>
            <w:tcW w:w="486" w:type="dxa"/>
            <w:tcBorders/>
            <w:shd w:fill="auto" w:val="clear"/>
            <w:vAlign w:val="bottom"/>
          </w:tcPr>
          <w:p>
            <w:pPr>
              <w:pStyle w:val="TableContents"/>
              <w:spacing w:before="0" w:after="283"/>
              <w:jc w:val="right"/>
              <w:rPr/>
            </w:pPr>
            <w:r>
              <w:rPr/>
              <w:t>18</w:t>
            </w:r>
          </w:p>
        </w:tc>
        <w:tc>
          <w:tcPr>
            <w:tcW w:w="558" w:type="dxa"/>
            <w:tcBorders/>
            <w:shd w:fill="auto" w:val="clear"/>
            <w:vAlign w:val="bottom"/>
          </w:tcPr>
          <w:p>
            <w:pPr>
              <w:pStyle w:val="TableContents"/>
              <w:spacing w:before="0" w:after="283"/>
              <w:rPr/>
            </w:pPr>
            <w:r>
              <w:rPr/>
              <w:t>%</w:t>
            </w:r>
          </w:p>
        </w:tc>
      </w:tr>
      <w:tr>
        <w:trPr/>
        <w:tc>
          <w:tcPr>
            <w:tcW w:w="4992" w:type="dxa"/>
            <w:tcBorders/>
            <w:shd w:fill="CCEEFF" w:val="clear"/>
            <w:vAlign w:val="bottom"/>
          </w:tcPr>
          <w:p>
            <w:pPr>
              <w:pStyle w:val="TableContents"/>
              <w:spacing w:before="0" w:after="0"/>
              <w:ind w:left="225" w:right="0" w:hanging="225"/>
              <w:rPr/>
            </w:pPr>
            <w:r>
              <w:rPr/>
              <w:t>Acquired in business acquisitions</w:t>
            </w:r>
          </w:p>
        </w:tc>
        <w:tc>
          <w:tcPr>
            <w:tcW w:w="38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pPr>
            <w:r>
              <w:rPr/>
              <w:t></w:t>
            </w:r>
          </w:p>
        </w:tc>
        <w:tc>
          <w:tcPr>
            <w:tcW w:w="54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 </w:t>
            </w:r>
          </w:p>
        </w:tc>
        <w:tc>
          <w:tcPr>
            <w:tcW w:w="486" w:type="dxa"/>
            <w:tcBorders/>
            <w:shd w:fill="CCEEFF" w:val="clear"/>
            <w:vAlign w:val="bottom"/>
          </w:tcPr>
          <w:p>
            <w:pPr>
              <w:pStyle w:val="TableContents"/>
              <w:spacing w:before="0" w:after="283"/>
              <w:jc w:val="right"/>
              <w:rPr/>
            </w:pPr>
            <w:r>
              <w:rPr/>
              <w:t>1</w:t>
            </w:r>
          </w:p>
        </w:tc>
        <w:tc>
          <w:tcPr>
            <w:tcW w:w="544"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 </w:t>
            </w:r>
          </w:p>
        </w:tc>
        <w:tc>
          <w:tcPr>
            <w:tcW w:w="486" w:type="dxa"/>
            <w:tcBorders/>
            <w:shd w:fill="CCEEFF" w:val="clear"/>
            <w:vAlign w:val="bottom"/>
          </w:tcPr>
          <w:p>
            <w:pPr>
              <w:pStyle w:val="TableContents"/>
              <w:spacing w:before="0" w:after="283"/>
              <w:jc w:val="right"/>
              <w:rPr/>
            </w:pPr>
            <w:r>
              <w:rPr/>
              <w:t>1</w:t>
            </w:r>
          </w:p>
        </w:tc>
        <w:tc>
          <w:tcPr>
            <w:tcW w:w="558" w:type="dxa"/>
            <w:tcBorders/>
            <w:shd w:fill="CCEEFF" w:val="clear"/>
            <w:vAlign w:val="bottom"/>
          </w:tcPr>
          <w:p>
            <w:pPr>
              <w:pStyle w:val="TableContents"/>
              <w:spacing w:before="0" w:after="283"/>
              <w:rPr/>
            </w:pPr>
            <w:r>
              <w:rPr/>
              <w: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For fiscal 2005, 2006 and 2007, retail activities and jewelry scrapping (sales of precious metals and gemstones to refiners and gemstone wholesalers) accounted for approximately 58%, 56% and 52% of our total revenues, or 35%, 34% and 30% of our net revenues, after deducting the cost of goods sold. As a significant portion of our inventory and sales involve gold jewelry, our results can be heavily influenced by the market price of gold. This is particularly true for gold scrapping, which comprised 20% of total sales in fiscal 2005, 24% in fiscal 2006 and 27% in fiscal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Analysis of the sales and inventory data provided by our management information systems, along with market intelligence and financial modeling, highlight opportunities for refinement of our marketing and merchandising programs and lending and pricing decisions. The Senior Vice President of EZPAWN Operations provides the strategic direction. Our Director of Operations, in conjunction with our Regional Directors and Area Managers oversee the tactical execution of these marketing and merchandising programs and are responsible for balancing inventory levels within their markets.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allow customers to return or exchange merchandise sold through our retail operations within seven days of purchase, but have experienced a very low rate of returns and exchanges as a percentage of sales. Customers may purchase an item on layaway, whereby a customer typically pays a minimum layaway deposit of 20% of an items sale price. We hold the item for a 60 to 90-day period, during which the customer is required to pay for the item. The initial deposit and subsequent payments are recorded as customer layaway deposits. Layaways are recorded as sales when paid in full. As of September 30, 2007, we held $2.0 million in customer layaway deposits.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overall inventory is stated at the lower of cost or market. We provide an inventory valuation allowance for shrinkage and cost in excess of market value. We estimate this valuation allowance through study and analysis of sales trends, inventory turnover, inventory aging, margins achieved on recent sales and shrinkage. At September 30, 2007, total inventory on hand was $37.9 million after deducting the inventory valuation allowance of $3.8 million. </w:t>
      </w:r>
    </w:p>
    <w:p>
      <w:pPr>
        <w:pStyle w:val="TextBody"/>
        <w:spacing w:before="240" w:after="283"/>
        <w:jc w:val="left"/>
        <w:rPr>
          <w:rFonts w:ascii="Helvetica;Arial;sans-serif" w:hAnsi="Helvetica;Arial;sans-serif"/>
          <w:b/>
          <w:sz w:val="17"/>
        </w:rPr>
      </w:pPr>
      <w:r>
        <w:rPr>
          <w:rFonts w:ascii="Helvetica;Arial;sans-serif" w:hAnsi="Helvetica;Arial;sans-serif"/>
          <w:b/>
          <w:sz w:val="17"/>
        </w:rPr>
        <w:t>Seasonality</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Jewelry scrapping sales are heavily influenced by the timing of decisions to scrap excess jewelry inventory. Jewelry scrapping sales generally are greatest during our fourth fiscal quarter (July through September) due to low jewelry merchandise sales in that quarter.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Signature loan fees are highest in our fourth fiscal quarter (July through September) due to a higher average loan balance during the summer lending season. Signature loan bad debt, both in dollar terms and as a percentage of related fees, is highest in the third and fourth quarters, and lowest in the second quarter due primarily to the impact of tax refunds.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income tax refund season. </w:t>
      </w:r>
    </w:p>
    <w:p>
      <w:pPr>
        <w:pStyle w:val="TextBody"/>
        <w:jc w:val="center"/>
        <w:rPr>
          <w:rFonts w:ascii="Helvetica;Arial;sans-serif" w:hAnsi="Helvetica;Arial;sans-serif"/>
          <w:sz w:val="17"/>
        </w:rPr>
      </w:pPr>
      <w:r>
        <w:rPr>
          <w:rFonts w:ascii="Helvetica;Arial;sans-serif" w:hAnsi="Helvetica;Arial;san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b/>
          <w:sz w:val="17"/>
        </w:rPr>
      </w:pPr>
      <w:r>
        <w:rPr>
          <w:rFonts w:ascii="Helvetica;Arial;sans-serif" w:hAnsi="Helvetica;Arial;sans-serif"/>
          <w:b/>
          <w:sz w:val="17"/>
        </w:rPr>
        <w:t>Operations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typical company pawn store employs approximately six full-time equivalent employees (FTEs) consisting of a store manager, an operations manager and four pawnbrokers. Each store manager is responsible for ensuring that the store is run in accordance with our policies, procedures and operating guidelines, and reports to an area manager. Area managers are responsible for the performance of all stores within their area and report to one of our EZPAWN regional directors, who in turn report to the Senior Vice President of EZPAWN Operations. Area managers, store managers and operations managers receive incentive compensation based on their area or stores performance in comparison to an operating budget. Beginning in fiscal 2008, our pawnbrokers are also eligible for this incentive compensation. The incentive compensation for EZPAWN staff typically ranges between 5% and 30% of their total compensation. Regional directors compensation is also dependent upon the performance of their region.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Signature loan stores typically employ two to three FTEs per location, consisting of a store manager and one to two customer service representatives. Each store manager is responsible for ensuring that the store is run in accordance with our policies, procedures and operating guidelines, and reports to an area manager, who is responsible for the stores within a specific operating area. Area managers report to one of the EZMONEY regional directors, who report to the Vice President  EZMONEY Division. The Vice President  EZMONEY Division reports to the President - - EZMONEY Division. Managers and regional directors receive incentive compensation based on their performance in comparison to an operating budget.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the majority of our stand-alone EZMONEY stores, store employees attempt to collect defaulted signature loans in the first 30 days after default. After the initial 30 days, our centralized collection center assumes collection responsibility. The collection center also collects defaulted signature loans for all other locations from the date of default. After attempting to collect for approximately 60 days, we then sell remaining defaulted signature loans to an outside collection agency.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an internally developed store level point of sale (POS) system that automates the recording of store-level pawn transactions. We use a separate POS specifically designed to handle signature loans. Financial data from all stores is processed at the corporate office each day and the preceding days data are available for management review via our internal network. Our communications network provides information access between the stores and the corporate office.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internal audit staff monitors the perpetual inventory system, lending practices and regulatory compliance. In addition, they ensure consistent compliance with our policies and procedures.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of September 30, 2007, we employed approximately 3,200 people. We believe that our success is dependent upon our employees ability to provide prompt and courteous customer service and to execute our operating procedures and standards. We seek to hire people who will become long-term, career employees. To achieve our long-range personnel goals, we offer a structured career development program for all of our field associates. This program encompasses computer-based training, formal structured classroom training and supervised on-the-job training. All store associates, including managers, must meet certain competency criteria prior to hire or promotion and participate in on-going training classes and intensive formal instructional programs. We anticipate store manager candidates will be promoted from the ranks of existing store employees, from our store manager in training program and hired from outside the company. Our career development plan develops and advances our employees and provides training for the efficient integration of experienced managers and associates from outside the company.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October 31, 2007, we operated our U.S. and four Mexico pawnshops under the names EZPAWN and twenty Mexico pawn stores acquired in October 2007 under the name Mister Money. Our payday loan stores operated under the names EZMONEY Payday Loans, EZ Loan Services, EZ Payday Advance and EZPAWN Payday Loans, and our credit service stores operated under the name EZMONEY Loan Services. We have registered with the United States Patent and Trademark Office the names EZPAWN, </w:t>
      </w:r>
    </w:p>
    <w:p>
      <w:pPr>
        <w:pStyle w:val="TextBody"/>
        <w:jc w:val="center"/>
        <w:rPr>
          <w:rFonts w:ascii="Helvetica;Arial;sans-serif" w:hAnsi="Helvetica;Arial;sans-serif"/>
          <w:sz w:val="17"/>
        </w:rPr>
      </w:pPr>
      <w:r>
        <w:rPr>
          <w:rFonts w:ascii="Helvetica;Arial;sans-serif" w:hAnsi="Helvetica;Arial;san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EZMONEY and EZCORP, among others. We hold a trademark in Mexico for the name Mister Money. Additionally, we operate under the trade name EZMONEY Payroll Advance. </w:t>
      </w:r>
    </w:p>
    <w:p>
      <w:pPr>
        <w:pStyle w:val="TextBody"/>
        <w:spacing w:before="240" w:after="283"/>
        <w:jc w:val="left"/>
        <w:rPr>
          <w:rFonts w:ascii="Helvetica;Arial;sans-serif" w:hAnsi="Helvetica;Arial;sans-serif"/>
          <w:b/>
          <w:sz w:val="17"/>
        </w:rPr>
      </w:pPr>
      <w:r>
        <w:rPr>
          <w:rFonts w:ascii="Helvetica;Arial;sans-serif" w:hAnsi="Helvetica;Arial;sans-serif"/>
          <w:b/>
          <w:sz w:val="17"/>
        </w:rPr>
        <w:t>Future Expansion</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plan to expand the number of locations we operate through the development of new locations and through acquisitions. We believe that in the near term the largest growth opportunities are with domestic EZMONEY stores and pawn stores in Mexico. On October 22, 2007 we acquired the operating assets of a 20-store pawn chain in Mexico. We plan to open approximately 100 new EZMONEY stores in the United States and an additional seven to ten pawn stores in Mexico in fiscal 2008.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100 new EZMONEY stores opened in fiscal 2007 required an average property and equipment investment of approximately $56,000. During fiscal 2007, we opened four Mexico pawnshops at an average property &amp; equipment investment of approximately $118,000. Although we acquired pawnshops in fiscal 2006 and 2007, we have not opened a new pawnshop location in the United States since fiscal 2000.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ability to add new stores is dependent on several variables, such as the availability of acceptable sites or acquisition candidates, the regulatory environment, local zoning ordinances and the availability of qualified personnel. </w:t>
      </w:r>
    </w:p>
    <w:p>
      <w:pPr>
        <w:pStyle w:val="TextBody"/>
        <w:spacing w:before="240" w:after="283"/>
        <w:jc w:val="left"/>
        <w:rPr>
          <w:rFonts w:ascii="Helvetica;Arial;sans-serif" w:hAnsi="Helvetica;Arial;sans-serif"/>
          <w:b/>
          <w:sz w:val="17"/>
        </w:rPr>
      </w:pPr>
      <w:r>
        <w:rPr>
          <w:rFonts w:ascii="Helvetica;Arial;sans-serif" w:hAnsi="Helvetica;Arial;sans-serif"/>
          <w:b/>
          <w:sz w:val="17"/>
        </w:rPr>
        <w:t>Competition</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encounter significant competition in connection with our lending operations. These competitive conditions may adversely affect our revenues, profitability and ability to expand. In our lending business, we compete with other pawnshops, payday lenders, credit service organizations and financial institutions, such as consumer finance companies. Other lenders may lend money on an unsecured basis, at interest rates that may be lower than our service charges and on other terms that may be more favorable than ours. We believe that the primary elements of competition are the quality of customer service and relationship management, store location and the ability to loan competitive amounts at competitive rates. In addition, we believe the ability to compete effectively will be based increasingly on strong general management, regional market focus, automated management information systems and access to capital.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competitors for merchandise sales include numerous retail and wholesale stores, including jewelry stores, discount retail stores, consumer electronics stores, other pawnshops, other resale stores, electronic commerce retailers and auction sites. Competitive factors in our retail operations include the ability to provide the customer with a variety of merchandise at an exceptional value.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pawnshop industry in the United States is large and highly fragmented. The industry consists of approximately 12,000 pawnshops owned primarily by independent operators who own one to three locations, and we consider the industry mature. With 294 domestic pawn locations, we are the second largest operator of pawnshops in the United States. The three largest pawnshop operators, including us, account for less than ten percent of the total estimated pawnshops in the United States.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pawnshop industry in Mexico is also fragmented, but less than in the United States. The industry consists of approximately 3,000 to 5,000 pawnshops owned by independent operators and chains, including two owned by not-for-profit organizations. The pawn industry remains in more of a growth stage in Mexico than in the United States.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signature loan industry in the United States is larger and more concentrated than the pawn industry. The industry consists of approximately 24,000 locations that are generally mono-line stores that offer only signature loans, and other businesses offering signature loans in addition to other products and services, such as check cashing stores and pawnshops. The ten largest signature loan companies, including us, comprise approximately 40% of the total number of locations. The signature loan industry remains in a growth stage. </w:t>
      </w:r>
    </w:p>
    <w:p>
      <w:pPr>
        <w:pStyle w:val="TextBody"/>
        <w:jc w:val="center"/>
        <w:rPr>
          <w:rFonts w:ascii="Helvetica;Arial;sans-serif" w:hAnsi="Helvetica;Arial;sans-serif"/>
          <w:sz w:val="17"/>
        </w:rPr>
      </w:pPr>
      <w:r>
        <w:rPr>
          <w:rFonts w:ascii="Helvetica;Arial;sans-serif" w:hAnsi="Helvetica;Arial;san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b/>
          <w:sz w:val="17"/>
        </w:rPr>
      </w:pPr>
      <w:r>
        <w:rPr>
          <w:rFonts w:ascii="Helvetica;Arial;sans-serif" w:hAnsi="Helvetica;Arial;sans-serif"/>
          <w:b/>
          <w:sz w:val="17"/>
        </w:rPr>
        <w:t>Strategic Investment</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September 30, 2007, we held just under 30% of the outstanding shares of Albemarle &amp; Bond Holdings plc (A&amp;B). At September 30, 2007, A&amp;B operated 112 locations in the United Kingdom that offer pawn loans, payday loans, installment loans, check cashing and retail jewelry. Prior to its July 2007 acquisition of 26 locations, A&amp;B operated 86 locations. For A&amp;Bs fiscal year ended June 30, 2007, its turnover (gross revenues) increased 12% to £33.2 million ($64.1 million), and the companys profit after tax (net income) increased 13% over the prior year to approximately £5.4 million ($10.4 million). A&amp;B is based in Bristol, England and publicly trades on the Alternative Investment Market of the London Stock Exchange. As its largest single shareholder, we and our affiliates hold three seats on A&amp;Bs board of directors.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1998, we acquired 13,276,666 shares of A&amp;Bs common stock for approximately $12.8 million. At June 30, 2007, this represented approximately 28.2% of A&amp;Bs total outstanding shares. On July 12, 2007, we acquired 3,022,209 additional shares of A&amp;Bs common stock for approximately $13.4 million as part of a private placement of stock by A&amp;B to fund an acquisition. Including these additional shares, we now own approximately 29.95% of A&amp;Bs total outstanding shares. Because we include A&amp;Bs earnings in our financial statements on a three-month lag, our incremental share of A&amp;Bs results of operations will first be reflected in our results in the quarter ending December 31,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account for our investment in A&amp;B under the equity method. In fiscal 2007, our interest in A&amp;Bs income was $2,945,000 and we received A&amp;B dividends of $1,274,000. Based on the closing price and exchange rates on October 31, 2007, the market value of our investment in A&amp;B was approximately $86.3 million compared to its book value of $35.7 million. </w:t>
      </w:r>
    </w:p>
    <w:p>
      <w:pPr>
        <w:pStyle w:val="TextBody"/>
        <w:spacing w:before="240" w:after="283"/>
        <w:jc w:val="left"/>
        <w:rPr>
          <w:rFonts w:ascii="Helvetica;Arial;sans-serif" w:hAnsi="Helvetica;Arial;sans-serif"/>
          <w:sz w:val="17"/>
        </w:rPr>
      </w:pPr>
      <w:r>
        <w:rPr>
          <w:rFonts w:ascii="Helvetica;Arial;sans-serif" w:hAnsi="Helvetica;Arial;sans-serif"/>
          <w:b/>
          <w:sz w:val="17"/>
        </w:rPr>
        <w:t>Regulation</w:t>
      </w:r>
      <w:r>
        <w:rPr>
          <w:rFonts w:ascii="Helvetica;Arial;sans-serif" w:hAnsi="Helvetica;Arial;sans-serif"/>
          <w:sz w:val="17"/>
        </w:rPr>
        <w:t xml:space="preserve"> </w:t>
      </w:r>
    </w:p>
    <w:p>
      <w:pPr>
        <w:pStyle w:val="TextBody"/>
        <w:spacing w:before="120" w:after="283"/>
        <w:jc w:val="left"/>
        <w:rPr>
          <w:rFonts w:ascii="Helvetica;Arial;sans-serif" w:hAnsi="Helvetica;Arial;sans-serif"/>
          <w:b/>
          <w:i/>
          <w:sz w:val="17"/>
        </w:rPr>
      </w:pPr>
      <w:r>
        <w:rPr>
          <w:rFonts w:ascii="Helvetica;Arial;sans-serif" w:hAnsi="Helvetica;Arial;sans-serif"/>
          <w:b/>
          <w:i/>
          <w:sz w:val="17"/>
        </w:rPr>
        <w:t>Pawn Operations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pawn operations are subject to extensive regulation, examination and licensing under various federal, state, and local statutes, ordinances, and regulations. The laws of Texas, Colorado, Oklahoma, Florida, Indiana, Alabama and Mexico govern the majority of our pawn operations. A summary of these states pawn statutes and regulations are discussed below. </w:t>
      </w:r>
    </w:p>
    <w:p>
      <w:pPr>
        <w:pStyle w:val="TextBody"/>
        <w:spacing w:before="240" w:after="283"/>
        <w:jc w:val="left"/>
        <w:rPr>
          <w:rFonts w:ascii="Helvetica;Arial;sans-serif" w:hAnsi="Helvetica;Arial;sans-serif"/>
          <w:b/>
          <w:i/>
          <w:sz w:val="17"/>
        </w:rPr>
      </w:pPr>
      <w:r>
        <w:rPr>
          <w:rFonts w:ascii="Helvetica;Arial;sans-serif" w:hAnsi="Helvetica;Arial;sans-serif"/>
          <w:b/>
          <w:i/>
          <w:sz w:val="17"/>
        </w:rPr>
        <w:t>Texas Regulations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Texas, pawnshops are regulated by the Office of the Consumer Credit Commissioner (OCCC) in accordance with Chapter 371 of the Texas Finance Code, commonly known as the Texas Pawnshop Act and Rules of Operation for Pawnshops. Pawnshops and pawnshop employees are licensed by the OCCC.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To be eligible for a license to operate a pawnshop in Texas, an applicant must: </w:t>
      </w:r>
    </w:p>
    <w:tbl>
      <w:tblPr>
        <w:tblW w:w="5000" w:type="pct"/>
        <w:jc w:val="left"/>
        <w:tblInd w:w="0" w:type="dxa"/>
        <w:tblCellMar>
          <w:top w:w="0" w:type="dxa"/>
          <w:left w:w="0" w:type="dxa"/>
          <w:bottom w:w="0" w:type="dxa"/>
          <w:right w:w="0" w:type="dxa"/>
        </w:tblCellMar>
      </w:tblPr>
      <w:tblGrid>
        <w:gridCol w:w="404"/>
        <w:gridCol w:w="352"/>
        <w:gridCol w:w="107"/>
        <w:gridCol w:w="9342"/>
      </w:tblGrid>
      <w:tr>
        <w:trPr/>
        <w:tc>
          <w:tcPr>
            <w:tcW w:w="404" w:type="dxa"/>
            <w:tcBorders/>
            <w:shd w:fill="auto" w:val="clear"/>
          </w:tcPr>
          <w:p>
            <w:pPr>
              <w:pStyle w:val="TableContents"/>
              <w:spacing w:before="0" w:after="283"/>
              <w:rPr/>
            </w:pPr>
            <w:r>
              <w:rPr/>
              <w:t> </w:t>
            </w:r>
          </w:p>
        </w:tc>
        <w:tc>
          <w:tcPr>
            <w:tcW w:w="352" w:type="dxa"/>
            <w:tcBorders/>
            <w:shd w:fill="auto" w:val="clear"/>
          </w:tcPr>
          <w:p>
            <w:pPr>
              <w:pStyle w:val="TableContents"/>
              <w:spacing w:before="0" w:after="283"/>
              <w:jc w:val="left"/>
              <w:rPr/>
            </w:pPr>
            <w:r>
              <w:rPr/>
              <w:t>(i)</w:t>
            </w:r>
          </w:p>
        </w:tc>
        <w:tc>
          <w:tcPr>
            <w:tcW w:w="107" w:type="dxa"/>
            <w:tcBorders/>
            <w:shd w:fill="auto" w:val="clear"/>
          </w:tcPr>
          <w:p>
            <w:pPr>
              <w:pStyle w:val="TableContents"/>
              <w:spacing w:before="0" w:after="283"/>
              <w:rPr/>
            </w:pPr>
            <w:r>
              <w:rPr/>
              <w:t> </w:t>
            </w:r>
          </w:p>
        </w:tc>
        <w:tc>
          <w:tcPr>
            <w:tcW w:w="9342" w:type="dxa"/>
            <w:tcBorders/>
            <w:shd w:fill="auto" w:val="clear"/>
          </w:tcPr>
          <w:p>
            <w:pPr>
              <w:pStyle w:val="TableContents"/>
              <w:spacing w:before="0" w:after="283"/>
              <w:rPr/>
            </w:pPr>
            <w:r>
              <w:rPr/>
              <w:t>be of good moral character, which in the case of a business entity applies to each officer, director, and holder of five percent or more of the entitys outstanding shares;</w:t>
            </w:r>
          </w:p>
        </w:tc>
      </w:tr>
      <w:tr>
        <w:trPr/>
        <w:tc>
          <w:tcPr>
            <w:tcW w:w="404" w:type="dxa"/>
            <w:tcBorders/>
            <w:shd w:fill="auto" w:val="clear"/>
            <w:vAlign w:val="center"/>
          </w:tcPr>
          <w:p>
            <w:pPr>
              <w:pStyle w:val="TableContents"/>
              <w:spacing w:before="0" w:after="283"/>
              <w:rPr/>
            </w:pPr>
            <w:r>
              <w:rPr/>
              <w:t> </w:t>
            </w:r>
          </w:p>
        </w:tc>
        <w:tc>
          <w:tcPr>
            <w:tcW w:w="9801" w:type="dxa"/>
            <w:gridSpan w:val="3"/>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352" w:type="dxa"/>
            <w:tcBorders/>
            <w:shd w:fill="auto" w:val="clear"/>
          </w:tcPr>
          <w:p>
            <w:pPr>
              <w:pStyle w:val="TableContents"/>
              <w:spacing w:before="0" w:after="283"/>
              <w:jc w:val="left"/>
              <w:rPr/>
            </w:pPr>
            <w:r>
              <w:rPr/>
              <w:t>(ii)</w:t>
            </w:r>
          </w:p>
        </w:tc>
        <w:tc>
          <w:tcPr>
            <w:tcW w:w="107" w:type="dxa"/>
            <w:tcBorders/>
            <w:shd w:fill="auto" w:val="clear"/>
          </w:tcPr>
          <w:p>
            <w:pPr>
              <w:pStyle w:val="TableContents"/>
              <w:spacing w:before="0" w:after="283"/>
              <w:rPr/>
            </w:pPr>
            <w:r>
              <w:rPr/>
              <w:t> </w:t>
            </w:r>
          </w:p>
        </w:tc>
        <w:tc>
          <w:tcPr>
            <w:tcW w:w="9342" w:type="dxa"/>
            <w:tcBorders/>
            <w:shd w:fill="auto" w:val="clear"/>
          </w:tcPr>
          <w:p>
            <w:pPr>
              <w:pStyle w:val="TableContents"/>
              <w:spacing w:before="0" w:after="283"/>
              <w:rPr/>
            </w:pPr>
            <w:r>
              <w:rPr/>
              <w:t>have net unencumbered assets of at least $150,000 readily available for use in conducting the business of each pawnshop;</w:t>
            </w:r>
          </w:p>
        </w:tc>
      </w:tr>
      <w:tr>
        <w:trPr/>
        <w:tc>
          <w:tcPr>
            <w:tcW w:w="404" w:type="dxa"/>
            <w:tcBorders/>
            <w:shd w:fill="auto" w:val="clear"/>
            <w:vAlign w:val="center"/>
          </w:tcPr>
          <w:p>
            <w:pPr>
              <w:pStyle w:val="TableContents"/>
              <w:spacing w:before="0" w:after="283"/>
              <w:rPr/>
            </w:pPr>
            <w:r>
              <w:rPr/>
              <w:t> </w:t>
            </w:r>
          </w:p>
        </w:tc>
        <w:tc>
          <w:tcPr>
            <w:tcW w:w="9801" w:type="dxa"/>
            <w:gridSpan w:val="3"/>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352" w:type="dxa"/>
            <w:tcBorders/>
            <w:shd w:fill="auto" w:val="clear"/>
          </w:tcPr>
          <w:p>
            <w:pPr>
              <w:pStyle w:val="TableContents"/>
              <w:spacing w:before="0" w:after="283"/>
              <w:jc w:val="left"/>
              <w:rPr/>
            </w:pPr>
            <w:r>
              <w:rPr/>
              <w:t>(iii)</w:t>
            </w:r>
          </w:p>
        </w:tc>
        <w:tc>
          <w:tcPr>
            <w:tcW w:w="107" w:type="dxa"/>
            <w:tcBorders/>
            <w:shd w:fill="auto" w:val="clear"/>
          </w:tcPr>
          <w:p>
            <w:pPr>
              <w:pStyle w:val="TableContents"/>
              <w:spacing w:before="0" w:after="283"/>
              <w:rPr/>
            </w:pPr>
            <w:r>
              <w:rPr/>
              <w:t> </w:t>
            </w:r>
          </w:p>
        </w:tc>
        <w:tc>
          <w:tcPr>
            <w:tcW w:w="9342" w:type="dxa"/>
            <w:tcBorders/>
            <w:shd w:fill="auto" w:val="clear"/>
          </w:tcPr>
          <w:p>
            <w:pPr>
              <w:pStyle w:val="TableContents"/>
              <w:spacing w:before="0" w:after="283"/>
              <w:rPr/>
            </w:pPr>
            <w:r>
              <w:rPr/>
              <w:t>demonstrate that the applicant has the financial responsibility, experience, character, and general fitness to command the confidence of the public in its operation; and</w:t>
            </w:r>
          </w:p>
        </w:tc>
      </w:tr>
      <w:tr>
        <w:trPr/>
        <w:tc>
          <w:tcPr>
            <w:tcW w:w="404" w:type="dxa"/>
            <w:tcBorders/>
            <w:shd w:fill="auto" w:val="clear"/>
            <w:vAlign w:val="center"/>
          </w:tcPr>
          <w:p>
            <w:pPr>
              <w:pStyle w:val="TableContents"/>
              <w:spacing w:before="0" w:after="283"/>
              <w:rPr/>
            </w:pPr>
            <w:r>
              <w:rPr/>
              <w:t> </w:t>
            </w:r>
          </w:p>
        </w:tc>
        <w:tc>
          <w:tcPr>
            <w:tcW w:w="9801" w:type="dxa"/>
            <w:gridSpan w:val="3"/>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352" w:type="dxa"/>
            <w:tcBorders/>
            <w:shd w:fill="auto" w:val="clear"/>
          </w:tcPr>
          <w:p>
            <w:pPr>
              <w:pStyle w:val="TableContents"/>
              <w:spacing w:before="0" w:after="283"/>
              <w:jc w:val="left"/>
              <w:rPr/>
            </w:pPr>
            <w:r>
              <w:rPr/>
              <w:t>(iv)</w:t>
            </w:r>
          </w:p>
        </w:tc>
        <w:tc>
          <w:tcPr>
            <w:tcW w:w="107" w:type="dxa"/>
            <w:tcBorders/>
            <w:shd w:fill="auto" w:val="clear"/>
          </w:tcPr>
          <w:p>
            <w:pPr>
              <w:pStyle w:val="TableContents"/>
              <w:spacing w:before="0" w:after="283"/>
              <w:rPr/>
            </w:pPr>
            <w:r>
              <w:rPr/>
              <w:t> </w:t>
            </w:r>
          </w:p>
        </w:tc>
        <w:tc>
          <w:tcPr>
            <w:tcW w:w="9342" w:type="dxa"/>
            <w:tcBorders/>
            <w:shd w:fill="auto" w:val="clear"/>
          </w:tcPr>
          <w:p>
            <w:pPr>
              <w:pStyle w:val="TableContents"/>
              <w:spacing w:before="0" w:after="283"/>
              <w:rPr/>
            </w:pPr>
            <w:r>
              <w:rPr/>
              <w:t>demonstrate that the pawnshop will be operated lawfully and fairly.</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Additionally, each pawnshop employee must qualify for and maintain a separate pawnshop employee license.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For a new license application in any Texas county, the OCCC provides notice of the application and the opportunity for a public hearing to the other licensed pawnshops in the county in which the applicant proposes to operate. In counties with 250,000 or more people, applications for new licenses are approved only at locations that are at least two miles from another licensed pawnshop and applications to relocate a license are approved only for locations that are at least one mile from another licensed pawnshop. Any existing store may relocate within one mile of its present location, regardless of the </w:t>
      </w:r>
    </w:p>
    <w:p>
      <w:pPr>
        <w:pStyle w:val="TextBody"/>
        <w:jc w:val="center"/>
        <w:rPr>
          <w:rFonts w:ascii="Helvetica;Arial;sans-serif" w:hAnsi="Helvetica;Arial;sans-serif"/>
          <w:sz w:val="17"/>
        </w:rPr>
      </w:pPr>
      <w:r>
        <w:rPr>
          <w:rFonts w:ascii="Helvetica;Arial;sans-serif" w:hAnsi="Helvetica;Arial;san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existence of other pawnshops. Our ability to open new stores or relocate existing stores may be adversely affected by these licensing provisions.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Texas Pawnshop Act also contains provisions related to the operation of pawnshops and authorizes the Rules of Operation for Pawnshops. The Rules of Operation for Pawnshops regulate the day-to-day operation of our pawnshops including the maximum pawn service charge and principal loan amount.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Pawn service charges vary based on loan amounts. Historically, the maximum allowable pawn service charge rates have not changed; however, loan amounts are adjusted annually based on fluctuations in the Consumer Price Index. A table of the maximum allowable pawn service charges under the Texas Pawnshop Act for the various loan amounts is presented in Lending Activities. Under Texas law, there is a ceiling on the maximum allowable pawn loan. For July 1, 2006 through June 30, 2007, the loan ceiling was $14,000. For July 1, 2007 through June 30, 2008, the loan ceiling is $14,250. Texas requires pawn transactions to be reported to local law enforcement.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Under the Texas Pawnshop Act and the Rules of Operation for Pawnshops, a pawnbroker may not do any of the following: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accept a pledge from a person under the age of 18 years;</w:t>
            </w:r>
          </w:p>
        </w:tc>
      </w:tr>
    </w:tbl>
    <w:tbl>
      <w:tblPr>
        <w:tblW w:w="5000" w:type="pct"/>
        <w:jc w:val="left"/>
        <w:tblInd w:w="0" w:type="dxa"/>
        <w:tblCellMar>
          <w:top w:w="0" w:type="dxa"/>
          <w:left w:w="0" w:type="dxa"/>
          <w:bottom w:w="0" w:type="dxa"/>
          <w:right w:w="0" w:type="dxa"/>
        </w:tblCellMar>
      </w:tblPr>
      <w:tblGrid>
        <w:gridCol w:w="407"/>
        <w:gridCol w:w="368"/>
        <w:gridCol w:w="110"/>
        <w:gridCol w:w="9320"/>
      </w:tblGrid>
      <w:tr>
        <w:trPr/>
        <w:tc>
          <w:tcPr>
            <w:tcW w:w="407" w:type="dxa"/>
            <w:tcBorders/>
            <w:shd w:fill="auto" w:val="clear"/>
          </w:tcPr>
          <w:p>
            <w:pPr>
              <w:pStyle w:val="TableContents"/>
              <w:spacing w:before="0" w:after="283"/>
              <w:rPr/>
            </w:pPr>
            <w:r>
              <w:rPr/>
              <w:t> </w:t>
            </w:r>
          </w:p>
        </w:tc>
        <w:tc>
          <w:tcPr>
            <w:tcW w:w="368" w:type="dxa"/>
            <w:tcBorders/>
            <w:shd w:fill="auto" w:val="clear"/>
          </w:tcPr>
          <w:p>
            <w:pPr>
              <w:pStyle w:val="TableContents"/>
              <w:spacing w:before="0" w:after="283"/>
              <w:jc w:val="left"/>
              <w:rPr/>
            </w:pPr>
            <w:r>
              <w:rPr/>
              <w:t>(ii)</w:t>
            </w:r>
          </w:p>
        </w:tc>
        <w:tc>
          <w:tcPr>
            <w:tcW w:w="110" w:type="dxa"/>
            <w:tcBorders/>
            <w:shd w:fill="auto" w:val="clear"/>
          </w:tcPr>
          <w:p>
            <w:pPr>
              <w:pStyle w:val="TableContents"/>
              <w:spacing w:before="0" w:after="283"/>
              <w:rPr/>
            </w:pPr>
            <w:r>
              <w:rPr/>
              <w:t> </w:t>
            </w:r>
          </w:p>
        </w:tc>
        <w:tc>
          <w:tcPr>
            <w:tcW w:w="9320" w:type="dxa"/>
            <w:tcBorders/>
            <w:shd w:fill="auto" w:val="clear"/>
          </w:tcPr>
          <w:p>
            <w:pPr>
              <w:pStyle w:val="TableContents"/>
              <w:spacing w:before="0" w:after="283"/>
              <w:rPr/>
            </w:pPr>
            <w:r>
              <w:rPr/>
              <w:t>make any agreement requiring the personal liability of the borrower;</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68" w:type="dxa"/>
            <w:tcBorders/>
            <w:shd w:fill="auto" w:val="clear"/>
          </w:tcPr>
          <w:p>
            <w:pPr>
              <w:pStyle w:val="TableContents"/>
              <w:spacing w:before="0" w:after="283"/>
              <w:jc w:val="left"/>
              <w:rPr/>
            </w:pPr>
            <w:r>
              <w:rPr/>
              <w:t>(iii)</w:t>
            </w:r>
          </w:p>
        </w:tc>
        <w:tc>
          <w:tcPr>
            <w:tcW w:w="110" w:type="dxa"/>
            <w:tcBorders/>
            <w:shd w:fill="auto" w:val="clear"/>
          </w:tcPr>
          <w:p>
            <w:pPr>
              <w:pStyle w:val="TableContents"/>
              <w:spacing w:before="0" w:after="283"/>
              <w:rPr/>
            </w:pPr>
            <w:r>
              <w:rPr/>
              <w:t> </w:t>
            </w:r>
          </w:p>
        </w:tc>
        <w:tc>
          <w:tcPr>
            <w:tcW w:w="9320" w:type="dxa"/>
            <w:tcBorders/>
            <w:shd w:fill="auto" w:val="clear"/>
          </w:tcPr>
          <w:p>
            <w:pPr>
              <w:pStyle w:val="TableContents"/>
              <w:spacing w:before="0" w:after="283"/>
              <w:rPr/>
            </w:pPr>
            <w:r>
              <w:rPr/>
              <w:t>accept any waiver of any right or protection accorded to a pawn customer;</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68" w:type="dxa"/>
            <w:tcBorders/>
            <w:shd w:fill="auto" w:val="clear"/>
          </w:tcPr>
          <w:p>
            <w:pPr>
              <w:pStyle w:val="TableContents"/>
              <w:spacing w:before="0" w:after="283"/>
              <w:jc w:val="left"/>
              <w:rPr/>
            </w:pPr>
            <w:r>
              <w:rPr/>
              <w:t>(iv)</w:t>
            </w:r>
          </w:p>
        </w:tc>
        <w:tc>
          <w:tcPr>
            <w:tcW w:w="110" w:type="dxa"/>
            <w:tcBorders/>
            <w:shd w:fill="auto" w:val="clear"/>
          </w:tcPr>
          <w:p>
            <w:pPr>
              <w:pStyle w:val="TableContents"/>
              <w:spacing w:before="0" w:after="283"/>
              <w:rPr/>
            </w:pPr>
            <w:r>
              <w:rPr/>
              <w:t> </w:t>
            </w:r>
          </w:p>
        </w:tc>
        <w:tc>
          <w:tcPr>
            <w:tcW w:w="9320" w:type="dxa"/>
            <w:tcBorders/>
            <w:shd w:fill="auto" w:val="clear"/>
          </w:tcPr>
          <w:p>
            <w:pPr>
              <w:pStyle w:val="TableContents"/>
              <w:spacing w:before="0" w:after="283"/>
              <w:rPr/>
            </w:pPr>
            <w:r>
              <w:rPr/>
              <w:t>fail to exercise reasonable care to protect pledged goods from loss or damage;</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(v)</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fail to return pledged goods to a pawn customer upon payment of the full amount due;</w:t>
            </w:r>
          </w:p>
        </w:tc>
      </w:tr>
    </w:tbl>
    <w:tbl>
      <w:tblPr>
        <w:tblW w:w="5000" w:type="pct"/>
        <w:jc w:val="left"/>
        <w:tblInd w:w="0" w:type="dxa"/>
        <w:tblCellMar>
          <w:top w:w="0" w:type="dxa"/>
          <w:left w:w="0" w:type="dxa"/>
          <w:bottom w:w="0" w:type="dxa"/>
          <w:right w:w="0" w:type="dxa"/>
        </w:tblCellMar>
      </w:tblPr>
      <w:tblGrid>
        <w:gridCol w:w="406"/>
        <w:gridCol w:w="350"/>
        <w:gridCol w:w="108"/>
        <w:gridCol w:w="9341"/>
      </w:tblGrid>
      <w:tr>
        <w:trPr/>
        <w:tc>
          <w:tcPr>
            <w:tcW w:w="406" w:type="dxa"/>
            <w:tcBorders/>
            <w:shd w:fill="auto" w:val="clear"/>
          </w:tcPr>
          <w:p>
            <w:pPr>
              <w:pStyle w:val="TableContents"/>
              <w:spacing w:before="0" w:after="283"/>
              <w:rPr/>
            </w:pPr>
            <w:r>
              <w:rPr/>
              <w:t> </w:t>
            </w:r>
          </w:p>
        </w:tc>
        <w:tc>
          <w:tcPr>
            <w:tcW w:w="350" w:type="dxa"/>
            <w:tcBorders/>
            <w:shd w:fill="auto" w:val="clear"/>
          </w:tcPr>
          <w:p>
            <w:pPr>
              <w:pStyle w:val="TableContents"/>
              <w:spacing w:before="0" w:after="283"/>
              <w:jc w:val="left"/>
              <w:rPr/>
            </w:pPr>
            <w:r>
              <w:rPr/>
              <w:t>(vi)</w:t>
            </w:r>
          </w:p>
        </w:tc>
        <w:tc>
          <w:tcPr>
            <w:tcW w:w="108" w:type="dxa"/>
            <w:tcBorders/>
            <w:shd w:fill="auto" w:val="clear"/>
          </w:tcPr>
          <w:p>
            <w:pPr>
              <w:pStyle w:val="TableContents"/>
              <w:spacing w:before="0" w:after="283"/>
              <w:rPr/>
            </w:pPr>
            <w:r>
              <w:rPr/>
              <w:t> </w:t>
            </w:r>
          </w:p>
        </w:tc>
        <w:tc>
          <w:tcPr>
            <w:tcW w:w="9341" w:type="dxa"/>
            <w:tcBorders/>
            <w:shd w:fill="auto" w:val="clear"/>
          </w:tcPr>
          <w:p>
            <w:pPr>
              <w:pStyle w:val="TableContents"/>
              <w:spacing w:before="0" w:after="283"/>
              <w:rPr/>
            </w:pPr>
            <w:r>
              <w:rPr/>
              <w:t>make any charge for insurance in connection with a pawn transaction;</w:t>
            </w:r>
          </w:p>
        </w:tc>
      </w:tr>
    </w:tbl>
    <w:tbl>
      <w:tblPr>
        <w:tblW w:w="5000" w:type="pct"/>
        <w:jc w:val="left"/>
        <w:tblInd w:w="0" w:type="dxa"/>
        <w:tblCellMar>
          <w:top w:w="0" w:type="dxa"/>
          <w:left w:w="0" w:type="dxa"/>
          <w:bottom w:w="0" w:type="dxa"/>
          <w:right w:w="0" w:type="dxa"/>
        </w:tblCellMar>
      </w:tblPr>
      <w:tblGrid>
        <w:gridCol w:w="405"/>
        <w:gridCol w:w="422"/>
        <w:gridCol w:w="115"/>
        <w:gridCol w:w="9263"/>
      </w:tblGrid>
      <w:tr>
        <w:trPr/>
        <w:tc>
          <w:tcPr>
            <w:tcW w:w="405"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(vii)</w:t>
            </w:r>
          </w:p>
        </w:tc>
        <w:tc>
          <w:tcPr>
            <w:tcW w:w="115" w:type="dxa"/>
            <w:tcBorders/>
            <w:shd w:fill="auto" w:val="clear"/>
          </w:tcPr>
          <w:p>
            <w:pPr>
              <w:pStyle w:val="TableContents"/>
              <w:spacing w:before="0" w:after="283"/>
              <w:rPr/>
            </w:pPr>
            <w:r>
              <w:rPr/>
              <w:t> </w:t>
            </w:r>
          </w:p>
        </w:tc>
        <w:tc>
          <w:tcPr>
            <w:tcW w:w="9263" w:type="dxa"/>
            <w:tcBorders/>
            <w:shd w:fill="auto" w:val="clear"/>
          </w:tcPr>
          <w:p>
            <w:pPr>
              <w:pStyle w:val="TableContents"/>
              <w:spacing w:before="0" w:after="283"/>
              <w:rPr/>
            </w:pPr>
            <w:r>
              <w:rPr/>
              <w:t>enter into any pawn transaction that has a maturity date of more than one month;</w:t>
            </w:r>
          </w:p>
        </w:tc>
      </w:tr>
    </w:tbl>
    <w:tbl>
      <w:tblPr>
        <w:tblW w:w="5000" w:type="pct"/>
        <w:jc w:val="left"/>
        <w:tblInd w:w="0" w:type="dxa"/>
        <w:tblCellMar>
          <w:top w:w="0" w:type="dxa"/>
          <w:left w:w="0" w:type="dxa"/>
          <w:bottom w:w="0" w:type="dxa"/>
          <w:right w:w="0" w:type="dxa"/>
        </w:tblCellMar>
      </w:tblPr>
      <w:tblGrid>
        <w:gridCol w:w="407"/>
        <w:gridCol w:w="488"/>
        <w:gridCol w:w="120"/>
        <w:gridCol w:w="9190"/>
      </w:tblGrid>
      <w:tr>
        <w:trPr/>
        <w:tc>
          <w:tcPr>
            <w:tcW w:w="407" w:type="dxa"/>
            <w:tcBorders/>
            <w:shd w:fill="auto" w:val="clear"/>
          </w:tcPr>
          <w:p>
            <w:pPr>
              <w:pStyle w:val="TableContents"/>
              <w:spacing w:before="0" w:after="283"/>
              <w:rPr/>
            </w:pPr>
            <w:r>
              <w:rPr/>
              <w:t> </w:t>
            </w:r>
          </w:p>
        </w:tc>
        <w:tc>
          <w:tcPr>
            <w:tcW w:w="488" w:type="dxa"/>
            <w:tcBorders/>
            <w:shd w:fill="auto" w:val="clear"/>
          </w:tcPr>
          <w:p>
            <w:pPr>
              <w:pStyle w:val="TableContents"/>
              <w:spacing w:before="0" w:after="283"/>
              <w:jc w:val="left"/>
              <w:rPr/>
            </w:pPr>
            <w:r>
              <w:rPr/>
              <w:t>(viii)</w:t>
            </w:r>
          </w:p>
        </w:tc>
        <w:tc>
          <w:tcPr>
            <w:tcW w:w="120" w:type="dxa"/>
            <w:tcBorders/>
            <w:shd w:fill="auto" w:val="clear"/>
          </w:tcPr>
          <w:p>
            <w:pPr>
              <w:pStyle w:val="TableContents"/>
              <w:spacing w:before="0" w:after="283"/>
              <w:rPr/>
            </w:pPr>
            <w:r>
              <w:rPr/>
              <w:t> </w:t>
            </w:r>
          </w:p>
        </w:tc>
        <w:tc>
          <w:tcPr>
            <w:tcW w:w="9190" w:type="dxa"/>
            <w:tcBorders/>
            <w:shd w:fill="auto" w:val="clear"/>
          </w:tcPr>
          <w:p>
            <w:pPr>
              <w:pStyle w:val="TableContents"/>
              <w:spacing w:before="0" w:after="283"/>
              <w:rPr/>
            </w:pPr>
            <w:r>
              <w:rPr/>
              <w:t>display pistols, swords, canes, blackjacks or similar weapons for sale in storefront windows or sidewalk display cases;</w:t>
            </w:r>
          </w:p>
        </w:tc>
      </w:tr>
    </w:tbl>
    <w:tbl>
      <w:tblPr>
        <w:tblW w:w="5000" w:type="pct"/>
        <w:jc w:val="left"/>
        <w:tblInd w:w="0" w:type="dxa"/>
        <w:tblCellMar>
          <w:top w:w="0" w:type="dxa"/>
          <w:left w:w="0" w:type="dxa"/>
          <w:bottom w:w="0" w:type="dxa"/>
          <w:right w:w="0" w:type="dxa"/>
        </w:tblCellMar>
      </w:tblPr>
      <w:tblGrid>
        <w:gridCol w:w="405"/>
        <w:gridCol w:w="364"/>
        <w:gridCol w:w="109"/>
        <w:gridCol w:w="9327"/>
      </w:tblGrid>
      <w:tr>
        <w:trPr/>
        <w:tc>
          <w:tcPr>
            <w:tcW w:w="405" w:type="dxa"/>
            <w:tcBorders/>
            <w:shd w:fill="auto" w:val="clear"/>
          </w:tcPr>
          <w:p>
            <w:pPr>
              <w:pStyle w:val="TableContents"/>
              <w:spacing w:before="0" w:after="283"/>
              <w:rPr/>
            </w:pPr>
            <w:r>
              <w:rPr/>
              <w:t> </w:t>
            </w:r>
          </w:p>
        </w:tc>
        <w:tc>
          <w:tcPr>
            <w:tcW w:w="364" w:type="dxa"/>
            <w:tcBorders/>
            <w:shd w:fill="auto" w:val="clear"/>
          </w:tcPr>
          <w:p>
            <w:pPr>
              <w:pStyle w:val="TableContents"/>
              <w:spacing w:before="0" w:after="283"/>
              <w:jc w:val="left"/>
              <w:rPr/>
            </w:pPr>
            <w:r>
              <w:rPr/>
              <w:t>(ix)</w:t>
            </w:r>
          </w:p>
        </w:tc>
        <w:tc>
          <w:tcPr>
            <w:tcW w:w="109" w:type="dxa"/>
            <w:tcBorders/>
            <w:shd w:fill="auto" w:val="clear"/>
          </w:tcPr>
          <w:p>
            <w:pPr>
              <w:pStyle w:val="TableContents"/>
              <w:spacing w:before="0" w:after="283"/>
              <w:rPr/>
            </w:pPr>
            <w:r>
              <w:rPr/>
              <w:t> </w:t>
            </w:r>
          </w:p>
        </w:tc>
        <w:tc>
          <w:tcPr>
            <w:tcW w:w="9327" w:type="dxa"/>
            <w:tcBorders/>
            <w:shd w:fill="auto" w:val="clear"/>
          </w:tcPr>
          <w:p>
            <w:pPr>
              <w:pStyle w:val="TableContents"/>
              <w:spacing w:before="0" w:after="283"/>
              <w:rPr/>
            </w:pPr>
            <w:r>
              <w:rPr/>
              <w:t>purchase used or second hand personal property unless a record is established containing the name, address, and identification of the seller, a complete description of the property, including serial number and a signed statement that the seller has the right to sell the property; or</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(x)</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accept into pawn or purchase stolen goods.</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OCCC may, after notice and hearing, suspend or revoke any license for a Texas pawnshop or employee upon finding that: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any fees or charges have not been paid;</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the licensee has knowingly or unknowingly without due care violated any provisions of the Texas Pawnshop Act or any regulation or order; or</w:t>
            </w:r>
          </w:p>
        </w:tc>
      </w:tr>
    </w:tbl>
    <w:tbl>
      <w:tblPr>
        <w:tblW w:w="5000" w:type="pct"/>
        <w:jc w:val="left"/>
        <w:tblInd w:w="0" w:type="dxa"/>
        <w:tblCellMar>
          <w:top w:w="0" w:type="dxa"/>
          <w:left w:w="0" w:type="dxa"/>
          <w:bottom w:w="0" w:type="dxa"/>
          <w:right w:w="0" w:type="dxa"/>
        </w:tblCellMar>
      </w:tblPr>
      <w:tblGrid>
        <w:gridCol w:w="406"/>
        <w:gridCol w:w="350"/>
        <w:gridCol w:w="108"/>
        <w:gridCol w:w="9341"/>
      </w:tblGrid>
      <w:tr>
        <w:trPr/>
        <w:tc>
          <w:tcPr>
            <w:tcW w:w="406" w:type="dxa"/>
            <w:tcBorders/>
            <w:shd w:fill="auto" w:val="clear"/>
          </w:tcPr>
          <w:p>
            <w:pPr>
              <w:pStyle w:val="TableContents"/>
              <w:spacing w:before="0" w:after="283"/>
              <w:rPr/>
            </w:pPr>
            <w:r>
              <w:rPr/>
              <w:t> </w:t>
            </w:r>
          </w:p>
        </w:tc>
        <w:tc>
          <w:tcPr>
            <w:tcW w:w="350" w:type="dxa"/>
            <w:tcBorders/>
            <w:shd w:fill="auto" w:val="clear"/>
          </w:tcPr>
          <w:p>
            <w:pPr>
              <w:pStyle w:val="TableContents"/>
              <w:spacing w:before="0" w:after="283"/>
              <w:jc w:val="left"/>
              <w:rPr/>
            </w:pPr>
            <w:r>
              <w:rPr/>
              <w:t>(iii)</w:t>
            </w:r>
          </w:p>
        </w:tc>
        <w:tc>
          <w:tcPr>
            <w:tcW w:w="108" w:type="dxa"/>
            <w:tcBorders/>
            <w:shd w:fill="auto" w:val="clear"/>
          </w:tcPr>
          <w:p>
            <w:pPr>
              <w:pStyle w:val="TableContents"/>
              <w:spacing w:before="0" w:after="283"/>
              <w:rPr/>
            </w:pPr>
            <w:r>
              <w:rPr/>
              <w:t> </w:t>
            </w:r>
          </w:p>
        </w:tc>
        <w:tc>
          <w:tcPr>
            <w:tcW w:w="9341" w:type="dxa"/>
            <w:tcBorders/>
            <w:shd w:fill="auto" w:val="clear"/>
          </w:tcPr>
          <w:p>
            <w:pPr>
              <w:pStyle w:val="TableContents"/>
              <w:spacing w:before="0" w:after="283"/>
              <w:rPr/>
            </w:pPr>
            <w:r>
              <w:rPr/>
              <w:t>any fact or condition exists that, if it had existed at the time the original license application was filed would have justified the OCCC in refusing the license.</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OCCC may also take other administrative action against a licensee including the assessment of fines and penalties. </w:t>
      </w:r>
    </w:p>
    <w:p>
      <w:pPr>
        <w:pStyle w:val="TextBody"/>
        <w:spacing w:before="240" w:after="283"/>
        <w:jc w:val="left"/>
        <w:rPr>
          <w:rFonts w:ascii="Helvetica;Arial;sans-serif" w:hAnsi="Helvetica;Arial;sans-serif"/>
          <w:b/>
          <w:i/>
          <w:sz w:val="17"/>
        </w:rPr>
      </w:pPr>
      <w:r>
        <w:rPr>
          <w:rFonts w:ascii="Helvetica;Arial;sans-serif" w:hAnsi="Helvetica;Arial;sans-serif"/>
          <w:b/>
          <w:i/>
          <w:sz w:val="17"/>
        </w:rPr>
        <w:t>Colorado Regulations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Colorado Pawnbroker Act is limited in scope and primarily establishes the terms and prohibitions of a pawn loan. In Colorado, local municipalities subject pawnshops to extensive and varied regulation, including licensing and bonding. Pawn transactions must be reported to local authorities and pawnbrokers must maintain certain bookkeeping records. Colorado law allows a maximum pawn service charge of 240% annually for all pawn loans regardless of the amount financed. </w:t>
      </w:r>
    </w:p>
    <w:p>
      <w:pPr>
        <w:pStyle w:val="TextBody"/>
        <w:spacing w:before="240" w:after="283"/>
        <w:jc w:val="left"/>
        <w:rPr>
          <w:rFonts w:ascii="Helvetica;Arial;sans-serif" w:hAnsi="Helvetica;Arial;sans-serif"/>
          <w:b/>
          <w:i/>
          <w:sz w:val="17"/>
        </w:rPr>
      </w:pPr>
      <w:r>
        <w:rPr>
          <w:rFonts w:ascii="Helvetica;Arial;sans-serif" w:hAnsi="Helvetica;Arial;sans-serif"/>
          <w:b/>
          <w:i/>
          <w:sz w:val="17"/>
        </w:rPr>
        <w:t>Oklahoma Regulations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Oklahoma Pawnshop Act follows a statutory scheme similar to the Texas Pawnshop Act, requires pawnshops to be licensed and bonded, and regulates their day-to-day operations. The Oklahoma Administrator of Consumer Credit administers the Oklahoma Pawnshop Act, has broad rule-making authority, and is responsible for investigating the general fitness of pawnshop applicants. Unlike Texas, Oklahoma pawnshop employees are not individually licensed. </w:t>
      </w:r>
    </w:p>
    <w:p>
      <w:pPr>
        <w:pStyle w:val="TextBody"/>
        <w:jc w:val="center"/>
        <w:rPr>
          <w:rFonts w:ascii="Helvetica;Arial;sans-serif" w:hAnsi="Helvetica;Arial;sans-serif"/>
          <w:sz w:val="17"/>
        </w:rPr>
      </w:pPr>
      <w:r>
        <w:rPr>
          <w:rFonts w:ascii="Helvetica;Arial;sans-serif" w:hAnsi="Helvetica;Arial;san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general, the Oklahoma Pawnshop Act prescribes loan amounts and maximum rates of service charges that pawnbrokers may charge. The regulations provide for a graduated rate structure, similar to the structure used for federal income tax purposes. Under this rate structure, a $500 loan, for example, earns interest as follows: </w:t>
      </w:r>
    </w:p>
    <w:tbl>
      <w:tblPr>
        <w:tblW w:w="5000" w:type="pct"/>
        <w:jc w:val="left"/>
        <w:tblInd w:w="0" w:type="dxa"/>
        <w:tblCellMar>
          <w:top w:w="0" w:type="dxa"/>
          <w:left w:w="0" w:type="dxa"/>
          <w:bottom w:w="0" w:type="dxa"/>
          <w:right w:w="0" w:type="dxa"/>
        </w:tblCellMar>
      </w:tblPr>
      <w:tblGrid>
        <w:gridCol w:w="407"/>
        <w:gridCol w:w="356"/>
        <w:gridCol w:w="109"/>
        <w:gridCol w:w="9333"/>
      </w:tblGrid>
      <w:tr>
        <w:trPr/>
        <w:tc>
          <w:tcPr>
            <w:tcW w:w="407" w:type="dxa"/>
            <w:tcBorders/>
            <w:shd w:fill="auto" w:val="clear"/>
          </w:tcPr>
          <w:p>
            <w:pPr>
              <w:pStyle w:val="TableContents"/>
              <w:spacing w:before="0" w:after="283"/>
              <w:rPr/>
            </w:pPr>
            <w:r>
              <w:rPr/>
              <w:t> </w:t>
            </w:r>
          </w:p>
        </w:tc>
        <w:tc>
          <w:tcPr>
            <w:tcW w:w="356" w:type="dxa"/>
            <w:tcBorders/>
            <w:shd w:fill="auto" w:val="clear"/>
          </w:tcPr>
          <w:p>
            <w:pPr>
              <w:pStyle w:val="TableContents"/>
              <w:spacing w:before="0" w:after="283"/>
              <w:jc w:val="left"/>
              <w:rPr/>
            </w:pPr>
            <w:r>
              <w:rPr/>
              <w:t>(i)</w:t>
            </w:r>
          </w:p>
        </w:tc>
        <w:tc>
          <w:tcPr>
            <w:tcW w:w="109" w:type="dxa"/>
            <w:tcBorders/>
            <w:shd w:fill="auto" w:val="clear"/>
          </w:tcPr>
          <w:p>
            <w:pPr>
              <w:pStyle w:val="TableContents"/>
              <w:spacing w:before="0" w:after="283"/>
              <w:rPr/>
            </w:pPr>
            <w:r>
              <w:rPr/>
              <w:t> </w:t>
            </w:r>
          </w:p>
        </w:tc>
        <w:tc>
          <w:tcPr>
            <w:tcW w:w="9333" w:type="dxa"/>
            <w:tcBorders/>
            <w:shd w:fill="auto" w:val="clear"/>
          </w:tcPr>
          <w:p>
            <w:pPr>
              <w:pStyle w:val="TableContents"/>
              <w:spacing w:before="0" w:after="283"/>
              <w:rPr/>
            </w:pPr>
            <w:r>
              <w:rPr/>
              <w:t>the first $150 at 240% annually,</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56" w:type="dxa"/>
            <w:tcBorders/>
            <w:shd w:fill="auto" w:val="clear"/>
          </w:tcPr>
          <w:p>
            <w:pPr>
              <w:pStyle w:val="TableContents"/>
              <w:spacing w:before="0" w:after="283"/>
              <w:jc w:val="left"/>
              <w:rPr/>
            </w:pPr>
            <w:r>
              <w:rPr/>
              <w:t>(ii)</w:t>
            </w:r>
          </w:p>
        </w:tc>
        <w:tc>
          <w:tcPr>
            <w:tcW w:w="109" w:type="dxa"/>
            <w:tcBorders/>
            <w:shd w:fill="auto" w:val="clear"/>
          </w:tcPr>
          <w:p>
            <w:pPr>
              <w:pStyle w:val="TableContents"/>
              <w:spacing w:before="0" w:after="283"/>
              <w:rPr/>
            </w:pPr>
            <w:r>
              <w:rPr/>
              <w:t> </w:t>
            </w:r>
          </w:p>
        </w:tc>
        <w:tc>
          <w:tcPr>
            <w:tcW w:w="9333" w:type="dxa"/>
            <w:tcBorders/>
            <w:shd w:fill="auto" w:val="clear"/>
          </w:tcPr>
          <w:p>
            <w:pPr>
              <w:pStyle w:val="TableContents"/>
              <w:spacing w:before="0" w:after="283"/>
              <w:rPr/>
            </w:pPr>
            <w:r>
              <w:rPr/>
              <w:t>the next $100 at 180% annually,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56" w:type="dxa"/>
            <w:tcBorders/>
            <w:shd w:fill="auto" w:val="clear"/>
          </w:tcPr>
          <w:p>
            <w:pPr>
              <w:pStyle w:val="TableContents"/>
              <w:spacing w:before="0" w:after="283"/>
              <w:jc w:val="left"/>
              <w:rPr/>
            </w:pPr>
            <w:r>
              <w:rPr/>
              <w:t>(iii)</w:t>
            </w:r>
          </w:p>
        </w:tc>
        <w:tc>
          <w:tcPr>
            <w:tcW w:w="109" w:type="dxa"/>
            <w:tcBorders/>
            <w:shd w:fill="auto" w:val="clear"/>
          </w:tcPr>
          <w:p>
            <w:pPr>
              <w:pStyle w:val="TableContents"/>
              <w:spacing w:before="0" w:after="283"/>
              <w:rPr/>
            </w:pPr>
            <w:r>
              <w:rPr/>
              <w:t> </w:t>
            </w:r>
          </w:p>
        </w:tc>
        <w:tc>
          <w:tcPr>
            <w:tcW w:w="9333" w:type="dxa"/>
            <w:tcBorders/>
            <w:shd w:fill="auto" w:val="clear"/>
          </w:tcPr>
          <w:p>
            <w:pPr>
              <w:pStyle w:val="TableContents"/>
              <w:spacing w:before="0" w:after="283"/>
              <w:rPr/>
            </w:pPr>
            <w:r>
              <w:rPr/>
              <w:t>the remaining $250 at 120% annually.</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maximum allowable pawn service charges for the various loan amounts in Oklahoma are as follows: </w:t>
      </w:r>
    </w:p>
    <w:tbl>
      <w:tblPr>
        <w:tblW w:w="5000" w:type="pct"/>
        <w:jc w:val="center"/>
        <w:tblInd w:w="0" w:type="dxa"/>
        <w:tblCellMar>
          <w:top w:w="0" w:type="dxa"/>
          <w:left w:w="0" w:type="dxa"/>
          <w:bottom w:w="0" w:type="dxa"/>
          <w:right w:w="0" w:type="dxa"/>
        </w:tblCellMar>
      </w:tblPr>
      <w:tblGrid>
        <w:gridCol w:w="5262"/>
        <w:gridCol w:w="409"/>
        <w:gridCol w:w="1498"/>
        <w:gridCol w:w="1059"/>
        <w:gridCol w:w="1977"/>
      </w:tblGrid>
      <w:tr>
        <w:trPr/>
        <w:tc>
          <w:tcPr>
            <w:tcW w:w="5262"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977" w:type="dxa"/>
            <w:tcBorders/>
            <w:shd w:fill="auto" w:val="clear"/>
            <w:vAlign w:val="bottom"/>
          </w:tcPr>
          <w:p>
            <w:pPr>
              <w:pStyle w:val="TableContents"/>
              <w:spacing w:before="0" w:after="283"/>
              <w:rPr/>
            </w:pPr>
            <w:r>
              <w:rPr/>
              <w:t> </w:t>
            </w:r>
          </w:p>
        </w:tc>
      </w:tr>
      <w:tr>
        <w:trPr/>
        <w:tc>
          <w:tcPr>
            <w:tcW w:w="5262" w:type="dxa"/>
            <w:tcBorders/>
            <w:shd w:fill="auto" w:val="clear"/>
            <w:vAlign w:val="bottom"/>
          </w:tcPr>
          <w:p>
            <w:pPr>
              <w:pStyle w:val="TableContents"/>
              <w:spacing w:before="0" w:after="283"/>
              <w:jc w:val="center"/>
              <w:rPr/>
            </w:pPr>
            <w:r>
              <w:rPr/>
              <w:t>Maximum Allowable</w:t>
            </w:r>
          </w:p>
        </w:tc>
        <w:tc>
          <w:tcPr>
            <w:tcW w:w="409" w:type="dxa"/>
            <w:tcBorders/>
            <w:shd w:fill="auto" w:val="clear"/>
            <w:vAlign w:val="bottom"/>
          </w:tcPr>
          <w:p>
            <w:pPr>
              <w:pStyle w:val="TableContents"/>
              <w:spacing w:before="0" w:after="283"/>
              <w:rPr/>
            </w:pPr>
            <w:r>
              <w:rPr/>
              <w:t> </w:t>
            </w:r>
          </w:p>
        </w:tc>
        <w:tc>
          <w:tcPr>
            <w:tcW w:w="4534" w:type="dxa"/>
            <w:gridSpan w:val="3"/>
            <w:tcBorders/>
            <w:shd w:fill="auto" w:val="clear"/>
            <w:vAlign w:val="bottom"/>
          </w:tcPr>
          <w:p>
            <w:pPr>
              <w:pStyle w:val="TableContents"/>
              <w:spacing w:before="0" w:after="283"/>
              <w:jc w:val="center"/>
              <w:rPr/>
            </w:pPr>
            <w:r>
              <w:rPr/>
              <w:t> </w:t>
            </w:r>
          </w:p>
        </w:tc>
      </w:tr>
      <w:tr>
        <w:trPr/>
        <w:tc>
          <w:tcPr>
            <w:tcW w:w="5262" w:type="dxa"/>
            <w:tcBorders/>
            <w:shd w:fill="auto" w:val="clear"/>
            <w:vAlign w:val="bottom"/>
          </w:tcPr>
          <w:p>
            <w:pPr>
              <w:pStyle w:val="TableContents"/>
              <w:spacing w:before="0" w:after="283"/>
              <w:jc w:val="center"/>
              <w:rPr/>
            </w:pPr>
            <w:r>
              <w:rPr/>
              <w:t>Amount Financed</w:t>
            </w:r>
          </w:p>
        </w:tc>
        <w:tc>
          <w:tcPr>
            <w:tcW w:w="409" w:type="dxa"/>
            <w:tcBorders/>
            <w:shd w:fill="auto" w:val="clear"/>
            <w:vAlign w:val="bottom"/>
          </w:tcPr>
          <w:p>
            <w:pPr>
              <w:pStyle w:val="TableContents"/>
              <w:spacing w:before="0" w:after="283"/>
              <w:rPr/>
            </w:pPr>
            <w:r>
              <w:rPr/>
              <w:t> </w:t>
            </w:r>
          </w:p>
        </w:tc>
        <w:tc>
          <w:tcPr>
            <w:tcW w:w="4534" w:type="dxa"/>
            <w:gridSpan w:val="3"/>
            <w:tcBorders/>
            <w:shd w:fill="auto" w:val="clear"/>
            <w:vAlign w:val="bottom"/>
          </w:tcPr>
          <w:p>
            <w:pPr>
              <w:pStyle w:val="TableContents"/>
              <w:spacing w:before="0" w:after="283"/>
              <w:jc w:val="center"/>
              <w:rPr/>
            </w:pPr>
            <w:r>
              <w:rPr/>
              <w:t>Annual Percentage</w:t>
            </w:r>
          </w:p>
        </w:tc>
      </w:tr>
      <w:tr>
        <w:trPr/>
        <w:tc>
          <w:tcPr>
            <w:tcW w:w="5262" w:type="dxa"/>
            <w:tcBorders>
              <w:bottom w:val="single" w:sz="2" w:space="0" w:color="000000"/>
            </w:tcBorders>
            <w:shd w:fill="auto" w:val="clear"/>
            <w:tcMar>
              <w:bottom w:w="28" w:type="dxa"/>
            </w:tcMar>
            <w:vAlign w:val="bottom"/>
          </w:tcPr>
          <w:p>
            <w:pPr>
              <w:pStyle w:val="TableContents"/>
              <w:spacing w:before="0" w:after="283"/>
              <w:jc w:val="center"/>
              <w:rPr/>
            </w:pPr>
            <w:r>
              <w:rPr/>
              <w:t>Per Pawn Loan</w:t>
            </w:r>
          </w:p>
        </w:tc>
        <w:tc>
          <w:tcPr>
            <w:tcW w:w="409" w:type="dxa"/>
            <w:tcBorders/>
            <w:shd w:fill="auto" w:val="clear"/>
            <w:vAlign w:val="bottom"/>
          </w:tcPr>
          <w:p>
            <w:pPr>
              <w:pStyle w:val="TableContents"/>
              <w:spacing w:before="0" w:after="283"/>
              <w:rPr/>
            </w:pPr>
            <w:r>
              <w:rPr/>
              <w:t> </w:t>
            </w:r>
          </w:p>
        </w:tc>
        <w:tc>
          <w:tcPr>
            <w:tcW w:w="4534" w:type="dxa"/>
            <w:gridSpan w:val="3"/>
            <w:tcBorders>
              <w:bottom w:val="single" w:sz="2" w:space="0" w:color="000000"/>
            </w:tcBorders>
            <w:shd w:fill="auto" w:val="clear"/>
            <w:tcMar>
              <w:bottom w:w="28" w:type="dxa"/>
            </w:tcMar>
            <w:vAlign w:val="bottom"/>
          </w:tcPr>
          <w:p>
            <w:pPr>
              <w:pStyle w:val="TableContents"/>
              <w:spacing w:before="0" w:after="283"/>
              <w:jc w:val="center"/>
              <w:rPr/>
            </w:pPr>
            <w:r>
              <w:rPr/>
              <w:t>Rate</w:t>
            </w:r>
          </w:p>
        </w:tc>
      </w:tr>
      <w:tr>
        <w:trPr/>
        <w:tc>
          <w:tcPr>
            <w:tcW w:w="5262" w:type="dxa"/>
            <w:tcBorders/>
            <w:shd w:fill="CCEEFF" w:val="clear"/>
          </w:tcPr>
          <w:p>
            <w:pPr>
              <w:pStyle w:val="TableContents"/>
              <w:spacing w:before="0" w:after="0"/>
              <w:ind w:left="0" w:right="1800" w:hanging="0"/>
              <w:jc w:val="right"/>
              <w:rPr/>
            </w:pPr>
            <w:r>
              <w:rPr/>
              <w:t xml:space="preserve">$1 to $150 </w:t>
            </w:r>
          </w:p>
        </w:tc>
        <w:tc>
          <w:tcPr>
            <w:tcW w:w="409" w:type="dxa"/>
            <w:tcBorders/>
            <w:shd w:fill="CCEEFF" w:val="clear"/>
            <w:vAlign w:val="bottom"/>
          </w:tcPr>
          <w:p>
            <w:pPr>
              <w:pStyle w:val="TableContents"/>
              <w:spacing w:before="0" w:after="283"/>
              <w:rPr/>
            </w:pPr>
            <w:r>
              <w:rPr/>
              <w:t> </w:t>
            </w:r>
          </w:p>
        </w:tc>
        <w:tc>
          <w:tcPr>
            <w:tcW w:w="1498" w:type="dxa"/>
            <w:tcBorders/>
            <w:shd w:fill="CCEEFF" w:val="clear"/>
          </w:tcPr>
          <w:p>
            <w:pPr>
              <w:pStyle w:val="TableContents"/>
              <w:spacing w:before="0" w:after="283"/>
              <w:jc w:val="right"/>
              <w:rPr/>
            </w:pPr>
            <w:r>
              <w:rPr/>
              <w:t> </w:t>
            </w:r>
          </w:p>
        </w:tc>
        <w:tc>
          <w:tcPr>
            <w:tcW w:w="1059" w:type="dxa"/>
            <w:tcBorders/>
            <w:shd w:fill="CCEEFF" w:val="clear"/>
          </w:tcPr>
          <w:p>
            <w:pPr>
              <w:pStyle w:val="TableContents"/>
              <w:spacing w:before="0" w:after="283"/>
              <w:jc w:val="right"/>
              <w:rPr/>
            </w:pPr>
            <w:r>
              <w:rPr/>
              <w:t>240</w:t>
            </w:r>
          </w:p>
        </w:tc>
        <w:tc>
          <w:tcPr>
            <w:tcW w:w="1977" w:type="dxa"/>
            <w:tcBorders/>
            <w:shd w:fill="CCEEFF" w:val="clear"/>
          </w:tcPr>
          <w:p>
            <w:pPr>
              <w:pStyle w:val="TableContents"/>
              <w:spacing w:before="0" w:after="283"/>
              <w:rPr/>
            </w:pPr>
            <w:r>
              <w:rPr/>
              <w:t>%</w:t>
            </w:r>
          </w:p>
        </w:tc>
      </w:tr>
      <w:tr>
        <w:trPr/>
        <w:tc>
          <w:tcPr>
            <w:tcW w:w="5262" w:type="dxa"/>
            <w:tcBorders/>
            <w:shd w:fill="auto" w:val="clear"/>
          </w:tcPr>
          <w:p>
            <w:pPr>
              <w:pStyle w:val="TableContents"/>
              <w:spacing w:before="0" w:after="0"/>
              <w:ind w:left="0" w:right="1800" w:hanging="0"/>
              <w:jc w:val="right"/>
              <w:rPr/>
            </w:pPr>
            <w:r>
              <w:rPr/>
              <w:t xml:space="preserve">$151 to $250 </w:t>
            </w:r>
          </w:p>
        </w:tc>
        <w:tc>
          <w:tcPr>
            <w:tcW w:w="409" w:type="dxa"/>
            <w:tcBorders/>
            <w:shd w:fill="auto" w:val="clear"/>
            <w:vAlign w:val="bottom"/>
          </w:tcPr>
          <w:p>
            <w:pPr>
              <w:pStyle w:val="TableContents"/>
              <w:spacing w:before="0" w:after="283"/>
              <w:rPr/>
            </w:pPr>
            <w:r>
              <w:rPr/>
              <w:t> </w:t>
            </w:r>
          </w:p>
        </w:tc>
        <w:tc>
          <w:tcPr>
            <w:tcW w:w="1498" w:type="dxa"/>
            <w:tcBorders/>
            <w:shd w:fill="auto" w:val="clear"/>
          </w:tcPr>
          <w:p>
            <w:pPr>
              <w:pStyle w:val="TableContents"/>
              <w:spacing w:before="0" w:after="283"/>
              <w:jc w:val="right"/>
              <w:rPr/>
            </w:pPr>
            <w:r>
              <w:rPr/>
              <w:t> </w:t>
            </w:r>
          </w:p>
        </w:tc>
        <w:tc>
          <w:tcPr>
            <w:tcW w:w="1059" w:type="dxa"/>
            <w:tcBorders/>
            <w:shd w:fill="auto" w:val="clear"/>
          </w:tcPr>
          <w:p>
            <w:pPr>
              <w:pStyle w:val="TableContents"/>
              <w:spacing w:before="0" w:after="283"/>
              <w:jc w:val="right"/>
              <w:rPr/>
            </w:pPr>
            <w:r>
              <w:rPr/>
              <w:t>180</w:t>
            </w:r>
          </w:p>
        </w:tc>
        <w:tc>
          <w:tcPr>
            <w:tcW w:w="1977" w:type="dxa"/>
            <w:tcBorders/>
            <w:shd w:fill="auto" w:val="clear"/>
          </w:tcPr>
          <w:p>
            <w:pPr>
              <w:pStyle w:val="TableContents"/>
              <w:spacing w:before="0" w:after="283"/>
              <w:rPr/>
            </w:pPr>
            <w:r>
              <w:rPr/>
              <w:t>%</w:t>
            </w:r>
          </w:p>
        </w:tc>
      </w:tr>
      <w:tr>
        <w:trPr/>
        <w:tc>
          <w:tcPr>
            <w:tcW w:w="5262" w:type="dxa"/>
            <w:tcBorders/>
            <w:shd w:fill="CCEEFF" w:val="clear"/>
          </w:tcPr>
          <w:p>
            <w:pPr>
              <w:pStyle w:val="TableContents"/>
              <w:spacing w:before="0" w:after="0"/>
              <w:ind w:left="0" w:right="1800" w:hanging="0"/>
              <w:jc w:val="right"/>
              <w:rPr/>
            </w:pPr>
            <w:r>
              <w:rPr/>
              <w:t xml:space="preserve">$251 to $500 </w:t>
            </w:r>
          </w:p>
        </w:tc>
        <w:tc>
          <w:tcPr>
            <w:tcW w:w="409" w:type="dxa"/>
            <w:tcBorders/>
            <w:shd w:fill="CCEEFF" w:val="clear"/>
            <w:vAlign w:val="bottom"/>
          </w:tcPr>
          <w:p>
            <w:pPr>
              <w:pStyle w:val="TableContents"/>
              <w:spacing w:before="0" w:after="283"/>
              <w:rPr/>
            </w:pPr>
            <w:r>
              <w:rPr/>
              <w:t> </w:t>
            </w:r>
          </w:p>
        </w:tc>
        <w:tc>
          <w:tcPr>
            <w:tcW w:w="1498" w:type="dxa"/>
            <w:tcBorders/>
            <w:shd w:fill="CCEEFF" w:val="clear"/>
          </w:tcPr>
          <w:p>
            <w:pPr>
              <w:pStyle w:val="TableContents"/>
              <w:spacing w:before="0" w:after="283"/>
              <w:jc w:val="right"/>
              <w:rPr/>
            </w:pPr>
            <w:r>
              <w:rPr/>
              <w:t> </w:t>
            </w:r>
          </w:p>
        </w:tc>
        <w:tc>
          <w:tcPr>
            <w:tcW w:w="1059" w:type="dxa"/>
            <w:tcBorders/>
            <w:shd w:fill="CCEEFF" w:val="clear"/>
          </w:tcPr>
          <w:p>
            <w:pPr>
              <w:pStyle w:val="TableContents"/>
              <w:spacing w:before="0" w:after="283"/>
              <w:jc w:val="right"/>
              <w:rPr/>
            </w:pPr>
            <w:r>
              <w:rPr/>
              <w:t>120</w:t>
            </w:r>
          </w:p>
        </w:tc>
        <w:tc>
          <w:tcPr>
            <w:tcW w:w="1977" w:type="dxa"/>
            <w:tcBorders/>
            <w:shd w:fill="CCEEFF" w:val="clear"/>
          </w:tcPr>
          <w:p>
            <w:pPr>
              <w:pStyle w:val="TableContents"/>
              <w:spacing w:before="0" w:after="283"/>
              <w:rPr/>
            </w:pPr>
            <w:r>
              <w:rPr/>
              <w:t>%</w:t>
            </w:r>
          </w:p>
        </w:tc>
      </w:tr>
      <w:tr>
        <w:trPr/>
        <w:tc>
          <w:tcPr>
            <w:tcW w:w="5262" w:type="dxa"/>
            <w:tcBorders/>
            <w:shd w:fill="auto" w:val="clear"/>
          </w:tcPr>
          <w:p>
            <w:pPr>
              <w:pStyle w:val="TableContents"/>
              <w:spacing w:before="0" w:after="0"/>
              <w:ind w:left="0" w:right="1800" w:hanging="0"/>
              <w:jc w:val="right"/>
              <w:rPr/>
            </w:pPr>
            <w:r>
              <w:rPr/>
              <w:t xml:space="preserve">$501 to $1,000 </w:t>
            </w:r>
          </w:p>
        </w:tc>
        <w:tc>
          <w:tcPr>
            <w:tcW w:w="409" w:type="dxa"/>
            <w:tcBorders/>
            <w:shd w:fill="auto" w:val="clear"/>
            <w:vAlign w:val="bottom"/>
          </w:tcPr>
          <w:p>
            <w:pPr>
              <w:pStyle w:val="TableContents"/>
              <w:spacing w:before="0" w:after="283"/>
              <w:rPr/>
            </w:pPr>
            <w:r>
              <w:rPr/>
              <w:t> </w:t>
            </w:r>
          </w:p>
        </w:tc>
        <w:tc>
          <w:tcPr>
            <w:tcW w:w="1498" w:type="dxa"/>
            <w:tcBorders/>
            <w:shd w:fill="auto" w:val="clear"/>
          </w:tcPr>
          <w:p>
            <w:pPr>
              <w:pStyle w:val="TableContents"/>
              <w:spacing w:before="0" w:after="283"/>
              <w:jc w:val="right"/>
              <w:rPr/>
            </w:pPr>
            <w:r>
              <w:rPr/>
              <w:t> </w:t>
            </w:r>
          </w:p>
        </w:tc>
        <w:tc>
          <w:tcPr>
            <w:tcW w:w="1059" w:type="dxa"/>
            <w:tcBorders/>
            <w:shd w:fill="auto" w:val="clear"/>
          </w:tcPr>
          <w:p>
            <w:pPr>
              <w:pStyle w:val="TableContents"/>
              <w:spacing w:before="0" w:after="283"/>
              <w:jc w:val="right"/>
              <w:rPr/>
            </w:pPr>
            <w:r>
              <w:rPr/>
              <w:t>60</w:t>
            </w:r>
          </w:p>
        </w:tc>
        <w:tc>
          <w:tcPr>
            <w:tcW w:w="1977" w:type="dxa"/>
            <w:tcBorders/>
            <w:shd w:fill="auto" w:val="clear"/>
          </w:tcPr>
          <w:p>
            <w:pPr>
              <w:pStyle w:val="TableContents"/>
              <w:spacing w:before="0" w:after="283"/>
              <w:rPr/>
            </w:pPr>
            <w:r>
              <w:rPr/>
              <w:t>%</w:t>
            </w:r>
          </w:p>
        </w:tc>
      </w:tr>
      <w:tr>
        <w:trPr/>
        <w:tc>
          <w:tcPr>
            <w:tcW w:w="5262" w:type="dxa"/>
            <w:tcBorders/>
            <w:shd w:fill="CCEEFF" w:val="clear"/>
          </w:tcPr>
          <w:p>
            <w:pPr>
              <w:pStyle w:val="TableContents"/>
              <w:spacing w:before="0" w:after="0"/>
              <w:ind w:left="0" w:right="1800" w:hanging="0"/>
              <w:jc w:val="right"/>
              <w:rPr/>
            </w:pPr>
            <w:r>
              <w:rPr/>
              <w:t xml:space="preserve">$1,001 to $25,000 </w:t>
            </w:r>
          </w:p>
        </w:tc>
        <w:tc>
          <w:tcPr>
            <w:tcW w:w="409" w:type="dxa"/>
            <w:tcBorders/>
            <w:shd w:fill="CCEEFF" w:val="clear"/>
            <w:vAlign w:val="bottom"/>
          </w:tcPr>
          <w:p>
            <w:pPr>
              <w:pStyle w:val="TableContents"/>
              <w:spacing w:before="0" w:after="283"/>
              <w:rPr/>
            </w:pPr>
            <w:r>
              <w:rPr/>
              <w:t> </w:t>
            </w:r>
          </w:p>
        </w:tc>
        <w:tc>
          <w:tcPr>
            <w:tcW w:w="1498" w:type="dxa"/>
            <w:tcBorders/>
            <w:shd w:fill="CCEEFF" w:val="clear"/>
          </w:tcPr>
          <w:p>
            <w:pPr>
              <w:pStyle w:val="TableContents"/>
              <w:spacing w:before="0" w:after="283"/>
              <w:jc w:val="right"/>
              <w:rPr/>
            </w:pPr>
            <w:r>
              <w:rPr/>
              <w:t> </w:t>
            </w:r>
          </w:p>
        </w:tc>
        <w:tc>
          <w:tcPr>
            <w:tcW w:w="1059" w:type="dxa"/>
            <w:tcBorders/>
            <w:shd w:fill="CCEEFF" w:val="clear"/>
          </w:tcPr>
          <w:p>
            <w:pPr>
              <w:pStyle w:val="TableContents"/>
              <w:spacing w:before="0" w:after="283"/>
              <w:jc w:val="right"/>
              <w:rPr/>
            </w:pPr>
            <w:r>
              <w:rPr/>
              <w:t>36</w:t>
            </w:r>
          </w:p>
        </w:tc>
        <w:tc>
          <w:tcPr>
            <w:tcW w:w="1977" w:type="dxa"/>
            <w:tcBorders/>
            <w:shd w:fill="CCEEFF" w:val="clear"/>
          </w:tcPr>
          <w:p>
            <w:pPr>
              <w:pStyle w:val="TableContents"/>
              <w:spacing w:before="0" w:after="283"/>
              <w:rPr/>
            </w:pPr>
            <w:r>
              <w:rPr/>
              <w: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principal amount of an Oklahoma pawn loan may not exceed $25,000 per transaction. </w:t>
      </w:r>
    </w:p>
    <w:p>
      <w:pPr>
        <w:pStyle w:val="TextBody"/>
        <w:spacing w:before="240" w:after="283"/>
        <w:jc w:val="left"/>
        <w:rPr>
          <w:rFonts w:ascii="Helvetica;Arial;sans-serif" w:hAnsi="Helvetica;Arial;sans-serif"/>
          <w:b/>
          <w:i/>
          <w:sz w:val="17"/>
        </w:rPr>
      </w:pPr>
      <w:r>
        <w:rPr>
          <w:rFonts w:ascii="Helvetica;Arial;sans-serif" w:hAnsi="Helvetica;Arial;sans-serif"/>
          <w:b/>
          <w:i/>
          <w:sz w:val="17"/>
        </w:rPr>
        <w:t>Florida Regulations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Florida pawnshops are governed by the Florida Pawnbroking Act and accompanying regulations. The Division of Consumer Services of the Department of Agriculture and Consumer Services licenses and regulates pawnshops.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Pawn loans in Florida have a 30-day minimum term. The pawnbroker is entitled to charge two percent of the amount financed for each 30-day period as interest, and an additional amount as pawn service charges, provided the total amount of such charges, inclusive of interest, does not exceed 25% of the amount financed for each 30-day period. The pawnbroker may charge a minimum pawn service charge of $5.00 for each 30-day period. Pawn loans may be extended by agreement, with the charge being one-thirtieth of the original total pawn service charge for each day by which the loan is extended. For loans redeemed greater than 60 days after the date made, pawn service charges continue to accrue at the daily rate of one-thirtieth of the original total pawn service charge. </w:t>
      </w:r>
    </w:p>
    <w:p>
      <w:pPr>
        <w:pStyle w:val="TextBody"/>
        <w:spacing w:before="240" w:after="283"/>
        <w:jc w:val="left"/>
        <w:rPr>
          <w:rFonts w:ascii="Helvetica;Arial;sans-serif" w:hAnsi="Helvetica;Arial;sans-serif"/>
          <w:b/>
          <w:i/>
          <w:sz w:val="17"/>
        </w:rPr>
      </w:pPr>
      <w:r>
        <w:rPr>
          <w:rFonts w:ascii="Helvetica;Arial;sans-serif" w:hAnsi="Helvetica;Arial;sans-serif"/>
          <w:b/>
          <w:i/>
          <w:sz w:val="17"/>
        </w:rPr>
        <w:t>Indiana Regulations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Indiana, the Pawnbroking Law governs pawnshops. The Department of Financial Institutions regulates our Indiana operations. The Department of Financial Institutions requires the licensing of all pawnshops and investigates the general fitness of pawn license applicants to determine whether the convenience and needs of the public will be served by granting a pawn license. The Department of Financial Institutions has broad investigatory and enforcement authority. It may grant, revoke, and suspend licenses. Pawnshops are required to keep books, accounts, and records to enable The Department of Financial Institutions to determine if the pawnshop is complying with the statute. Each pawnshop is required to give authorized agents of The Department of Financial Institutions free access to its books and accounts for these purposes.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Indiana Pawnbroking Law prescribes loan amounts and maximum interest rates that pawnbrokers in Indiana may charge. The regulations provide for a graduated rate structure similar to the structure used for federal income tax purposes. Under this rate structure, for July 1, 2006 through June 30, 2008, a $3,500 loan, for example, may earn interest as follows: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the first $1,020 at 36% annually,</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(ii)</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the next $2,380 at 21% annually, and</w:t>
            </w:r>
          </w:p>
        </w:tc>
      </w:tr>
    </w:tbl>
    <w:tbl>
      <w:tblPr>
        <w:tblW w:w="5000" w:type="pct"/>
        <w:jc w:val="left"/>
        <w:tblInd w:w="0" w:type="dxa"/>
        <w:tblCellMar>
          <w:top w:w="0" w:type="dxa"/>
          <w:left w:w="0" w:type="dxa"/>
          <w:bottom w:w="0" w:type="dxa"/>
          <w:right w:w="0" w:type="dxa"/>
        </w:tblCellMar>
      </w:tblPr>
      <w:tblGrid>
        <w:gridCol w:w="407"/>
        <w:gridCol w:w="356"/>
        <w:gridCol w:w="109"/>
        <w:gridCol w:w="9333"/>
      </w:tblGrid>
      <w:tr>
        <w:trPr/>
        <w:tc>
          <w:tcPr>
            <w:tcW w:w="407" w:type="dxa"/>
            <w:tcBorders/>
            <w:shd w:fill="auto" w:val="clear"/>
          </w:tcPr>
          <w:p>
            <w:pPr>
              <w:pStyle w:val="TableContents"/>
              <w:spacing w:before="0" w:after="283"/>
              <w:rPr/>
            </w:pPr>
            <w:r>
              <w:rPr/>
              <w:t> </w:t>
            </w:r>
          </w:p>
        </w:tc>
        <w:tc>
          <w:tcPr>
            <w:tcW w:w="356" w:type="dxa"/>
            <w:tcBorders/>
            <w:shd w:fill="auto" w:val="clear"/>
          </w:tcPr>
          <w:p>
            <w:pPr>
              <w:pStyle w:val="TableContents"/>
              <w:spacing w:before="0" w:after="283"/>
              <w:jc w:val="left"/>
              <w:rPr/>
            </w:pPr>
            <w:r>
              <w:rPr/>
              <w:t>(iii)</w:t>
            </w:r>
          </w:p>
        </w:tc>
        <w:tc>
          <w:tcPr>
            <w:tcW w:w="109" w:type="dxa"/>
            <w:tcBorders/>
            <w:shd w:fill="auto" w:val="clear"/>
          </w:tcPr>
          <w:p>
            <w:pPr>
              <w:pStyle w:val="TableContents"/>
              <w:spacing w:before="0" w:after="283"/>
              <w:rPr/>
            </w:pPr>
            <w:r>
              <w:rPr/>
              <w:t> </w:t>
            </w:r>
          </w:p>
        </w:tc>
        <w:tc>
          <w:tcPr>
            <w:tcW w:w="9333" w:type="dxa"/>
            <w:tcBorders/>
            <w:shd w:fill="auto" w:val="clear"/>
          </w:tcPr>
          <w:p>
            <w:pPr>
              <w:pStyle w:val="TableContents"/>
              <w:spacing w:before="0" w:after="283"/>
              <w:rPr/>
            </w:pPr>
            <w:r>
              <w:rPr/>
              <w:t>the remaining $100 at 15% annually.</w:t>
            </w:r>
          </w:p>
        </w:tc>
      </w:tr>
    </w:tbl>
    <w:p>
      <w:pPr>
        <w:pStyle w:val="TextBody"/>
        <w:jc w:val="center"/>
        <w:rPr>
          <w:rFonts w:ascii="Helvetica;Arial;sans-serif" w:hAnsi="Helvetica;Arial;sans-serif"/>
          <w:sz w:val="17"/>
        </w:rPr>
      </w:pPr>
      <w:r>
        <w:rPr>
          <w:rFonts w:ascii="Helvetica;Arial;sans-serif" w:hAnsi="Helvetica;Arial;san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addition to interest, we may also charge a service charge of 240% annually. The maximum combined allowable interest and service charges for the various loan amounts under the Indiana statute are as follows: </w:t>
      </w:r>
    </w:p>
    <w:tbl>
      <w:tblPr>
        <w:tblW w:w="5000" w:type="pct"/>
        <w:jc w:val="center"/>
        <w:tblInd w:w="0" w:type="dxa"/>
        <w:tblCellMar>
          <w:top w:w="0" w:type="dxa"/>
          <w:left w:w="0" w:type="dxa"/>
          <w:bottom w:w="0" w:type="dxa"/>
          <w:right w:w="0" w:type="dxa"/>
        </w:tblCellMar>
      </w:tblPr>
      <w:tblGrid>
        <w:gridCol w:w="4802"/>
        <w:gridCol w:w="600"/>
        <w:gridCol w:w="4803"/>
      </w:tblGrid>
      <w:tr>
        <w:trPr/>
        <w:tc>
          <w:tcPr>
            <w:tcW w:w="4802"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4803" w:type="dxa"/>
            <w:tcBorders/>
            <w:shd w:fill="auto" w:val="clear"/>
            <w:vAlign w:val="bottom"/>
          </w:tcPr>
          <w:p>
            <w:pPr>
              <w:pStyle w:val="TableContents"/>
              <w:spacing w:before="0" w:after="283"/>
              <w:rPr/>
            </w:pPr>
            <w:r>
              <w:rPr/>
              <w:t> </w:t>
            </w:r>
          </w:p>
        </w:tc>
      </w:tr>
      <w:tr>
        <w:trPr/>
        <w:tc>
          <w:tcPr>
            <w:tcW w:w="4802" w:type="dxa"/>
            <w:tcBorders/>
            <w:shd w:fill="auto" w:val="clear"/>
            <w:vAlign w:val="bottom"/>
          </w:tcPr>
          <w:p>
            <w:pPr>
              <w:pStyle w:val="TableContents"/>
              <w:spacing w:before="0" w:after="283"/>
              <w:jc w:val="center"/>
              <w:rPr/>
            </w:pPr>
            <w:r>
              <w:rPr/>
              <w:t>Maximum Allowable</w:t>
            </w:r>
          </w:p>
        </w:tc>
        <w:tc>
          <w:tcPr>
            <w:tcW w:w="600" w:type="dxa"/>
            <w:tcBorders/>
            <w:shd w:fill="auto" w:val="clear"/>
            <w:vAlign w:val="bottom"/>
          </w:tcPr>
          <w:p>
            <w:pPr>
              <w:pStyle w:val="TableContents"/>
              <w:spacing w:before="0" w:after="283"/>
              <w:rPr/>
            </w:pPr>
            <w:r>
              <w:rPr/>
              <w:t> </w:t>
            </w:r>
          </w:p>
        </w:tc>
        <w:tc>
          <w:tcPr>
            <w:tcW w:w="4803" w:type="dxa"/>
            <w:tcBorders/>
            <w:shd w:fill="auto" w:val="clear"/>
            <w:vAlign w:val="bottom"/>
          </w:tcPr>
          <w:p>
            <w:pPr>
              <w:pStyle w:val="TableContents"/>
              <w:spacing w:before="0" w:after="283"/>
              <w:jc w:val="center"/>
              <w:rPr/>
            </w:pPr>
            <w:r>
              <w:rPr/>
              <w:t> </w:t>
            </w:r>
          </w:p>
        </w:tc>
      </w:tr>
      <w:tr>
        <w:trPr/>
        <w:tc>
          <w:tcPr>
            <w:tcW w:w="4802" w:type="dxa"/>
            <w:tcBorders/>
            <w:shd w:fill="auto" w:val="clear"/>
            <w:vAlign w:val="bottom"/>
          </w:tcPr>
          <w:p>
            <w:pPr>
              <w:pStyle w:val="TableContents"/>
              <w:spacing w:before="0" w:after="283"/>
              <w:jc w:val="center"/>
              <w:rPr/>
            </w:pPr>
            <w:r>
              <w:rPr/>
              <w:t>Amount Financed</w:t>
            </w:r>
          </w:p>
        </w:tc>
        <w:tc>
          <w:tcPr>
            <w:tcW w:w="600" w:type="dxa"/>
            <w:tcBorders/>
            <w:shd w:fill="auto" w:val="clear"/>
            <w:vAlign w:val="bottom"/>
          </w:tcPr>
          <w:p>
            <w:pPr>
              <w:pStyle w:val="TableContents"/>
              <w:spacing w:before="0" w:after="283"/>
              <w:rPr/>
            </w:pPr>
            <w:r>
              <w:rPr/>
              <w:t> </w:t>
            </w:r>
          </w:p>
        </w:tc>
        <w:tc>
          <w:tcPr>
            <w:tcW w:w="4803" w:type="dxa"/>
            <w:tcBorders/>
            <w:shd w:fill="auto" w:val="clear"/>
            <w:vAlign w:val="bottom"/>
          </w:tcPr>
          <w:p>
            <w:pPr>
              <w:pStyle w:val="TableContents"/>
              <w:spacing w:before="0" w:after="283"/>
              <w:jc w:val="center"/>
              <w:rPr/>
            </w:pPr>
            <w:r>
              <w:rPr/>
              <w:t>Annual Percentage</w:t>
            </w:r>
          </w:p>
        </w:tc>
      </w:tr>
      <w:tr>
        <w:trPr/>
        <w:tc>
          <w:tcPr>
            <w:tcW w:w="4802" w:type="dxa"/>
            <w:tcBorders>
              <w:bottom w:val="single" w:sz="2" w:space="0" w:color="000000"/>
            </w:tcBorders>
            <w:shd w:fill="auto" w:val="clear"/>
            <w:tcMar>
              <w:bottom w:w="28" w:type="dxa"/>
            </w:tcMar>
            <w:vAlign w:val="bottom"/>
          </w:tcPr>
          <w:p>
            <w:pPr>
              <w:pStyle w:val="TableContents"/>
              <w:spacing w:before="0" w:after="283"/>
              <w:jc w:val="center"/>
              <w:rPr/>
            </w:pPr>
            <w:r>
              <w:rPr/>
              <w:t>Per Pawn Loan</w:t>
            </w:r>
          </w:p>
        </w:tc>
        <w:tc>
          <w:tcPr>
            <w:tcW w:w="600" w:type="dxa"/>
            <w:tcBorders/>
            <w:shd w:fill="auto" w:val="clear"/>
            <w:vAlign w:val="bottom"/>
          </w:tcPr>
          <w:p>
            <w:pPr>
              <w:pStyle w:val="TableContents"/>
              <w:spacing w:before="0" w:after="283"/>
              <w:rPr/>
            </w:pPr>
            <w:r>
              <w:rPr/>
              <w:t> </w:t>
            </w:r>
          </w:p>
        </w:tc>
        <w:tc>
          <w:tcPr>
            <w:tcW w:w="4803" w:type="dxa"/>
            <w:tcBorders>
              <w:bottom w:val="single" w:sz="2" w:space="0" w:color="000000"/>
            </w:tcBorders>
            <w:shd w:fill="auto" w:val="clear"/>
            <w:tcMar>
              <w:bottom w:w="28" w:type="dxa"/>
            </w:tcMar>
            <w:vAlign w:val="bottom"/>
          </w:tcPr>
          <w:p>
            <w:pPr>
              <w:pStyle w:val="TableContents"/>
              <w:spacing w:before="0" w:after="283"/>
              <w:jc w:val="center"/>
              <w:rPr/>
            </w:pPr>
            <w:r>
              <w:rPr/>
              <w:t>Rate</w:t>
            </w:r>
          </w:p>
        </w:tc>
      </w:tr>
      <w:tr>
        <w:trPr/>
        <w:tc>
          <w:tcPr>
            <w:tcW w:w="4802" w:type="dxa"/>
            <w:tcBorders/>
            <w:shd w:fill="CCEEFF" w:val="clear"/>
            <w:vAlign w:val="bottom"/>
          </w:tcPr>
          <w:p>
            <w:pPr>
              <w:pStyle w:val="TableContents"/>
              <w:spacing w:before="0" w:after="0"/>
              <w:ind w:left="0" w:right="2100" w:hanging="0"/>
              <w:jc w:val="right"/>
              <w:rPr/>
            </w:pPr>
            <w:r>
              <w:rPr/>
              <w:t>$1 to $1,020</w:t>
            </w:r>
          </w:p>
        </w:tc>
        <w:tc>
          <w:tcPr>
            <w:tcW w:w="600" w:type="dxa"/>
            <w:tcBorders/>
            <w:shd w:fill="CCEEFF" w:val="clear"/>
            <w:vAlign w:val="bottom"/>
          </w:tcPr>
          <w:p>
            <w:pPr>
              <w:pStyle w:val="TableContents"/>
              <w:spacing w:before="0" w:after="283"/>
              <w:rPr/>
            </w:pPr>
            <w:r>
              <w:rPr/>
              <w:t> </w:t>
            </w:r>
          </w:p>
        </w:tc>
        <w:tc>
          <w:tcPr>
            <w:tcW w:w="4803" w:type="dxa"/>
            <w:tcBorders/>
            <w:shd w:fill="CCEEFF" w:val="clear"/>
          </w:tcPr>
          <w:p>
            <w:pPr>
              <w:pStyle w:val="TableContents"/>
              <w:spacing w:before="0" w:after="283"/>
              <w:jc w:val="center"/>
              <w:rPr/>
            </w:pPr>
            <w:r>
              <w:rPr/>
              <w:t>276%</w:t>
            </w:r>
          </w:p>
        </w:tc>
      </w:tr>
      <w:tr>
        <w:trPr/>
        <w:tc>
          <w:tcPr>
            <w:tcW w:w="4802" w:type="dxa"/>
            <w:tcBorders/>
            <w:shd w:fill="auto" w:val="clear"/>
            <w:vAlign w:val="bottom"/>
          </w:tcPr>
          <w:p>
            <w:pPr>
              <w:pStyle w:val="TableContents"/>
              <w:spacing w:before="0" w:after="0"/>
              <w:ind w:left="0" w:right="2100" w:hanging="0"/>
              <w:jc w:val="right"/>
              <w:rPr/>
            </w:pPr>
            <w:r>
              <w:rPr/>
              <w:t>$1,021 to $3,400</w:t>
            </w:r>
          </w:p>
        </w:tc>
        <w:tc>
          <w:tcPr>
            <w:tcW w:w="600" w:type="dxa"/>
            <w:tcBorders/>
            <w:shd w:fill="auto" w:val="clear"/>
            <w:vAlign w:val="bottom"/>
          </w:tcPr>
          <w:p>
            <w:pPr>
              <w:pStyle w:val="TableContents"/>
              <w:spacing w:before="0" w:after="283"/>
              <w:rPr/>
            </w:pPr>
            <w:r>
              <w:rPr/>
              <w:t> </w:t>
            </w:r>
          </w:p>
        </w:tc>
        <w:tc>
          <w:tcPr>
            <w:tcW w:w="4803" w:type="dxa"/>
            <w:tcBorders/>
            <w:shd w:fill="auto" w:val="clear"/>
          </w:tcPr>
          <w:p>
            <w:pPr>
              <w:pStyle w:val="TableContents"/>
              <w:spacing w:before="0" w:after="283"/>
              <w:jc w:val="center"/>
              <w:rPr/>
            </w:pPr>
            <w:r>
              <w:rPr/>
              <w:t>261%</w:t>
            </w:r>
          </w:p>
        </w:tc>
      </w:tr>
      <w:tr>
        <w:trPr/>
        <w:tc>
          <w:tcPr>
            <w:tcW w:w="4802" w:type="dxa"/>
            <w:tcBorders/>
            <w:shd w:fill="CCEEFF" w:val="clear"/>
            <w:vAlign w:val="bottom"/>
          </w:tcPr>
          <w:p>
            <w:pPr>
              <w:pStyle w:val="TableContents"/>
              <w:spacing w:before="0" w:after="0"/>
              <w:ind w:left="0" w:right="2100" w:hanging="0"/>
              <w:jc w:val="right"/>
              <w:rPr/>
            </w:pPr>
            <w:r>
              <w:rPr/>
              <w:t>$3,401 and up</w:t>
            </w:r>
          </w:p>
        </w:tc>
        <w:tc>
          <w:tcPr>
            <w:tcW w:w="600" w:type="dxa"/>
            <w:tcBorders/>
            <w:shd w:fill="CCEEFF" w:val="clear"/>
            <w:vAlign w:val="bottom"/>
          </w:tcPr>
          <w:p>
            <w:pPr>
              <w:pStyle w:val="TableContents"/>
              <w:spacing w:before="0" w:after="283"/>
              <w:rPr/>
            </w:pPr>
            <w:r>
              <w:rPr/>
              <w:t> </w:t>
            </w:r>
          </w:p>
        </w:tc>
        <w:tc>
          <w:tcPr>
            <w:tcW w:w="4803" w:type="dxa"/>
            <w:tcBorders/>
            <w:shd w:fill="CCEEFF" w:val="clear"/>
          </w:tcPr>
          <w:p>
            <w:pPr>
              <w:pStyle w:val="TableContents"/>
              <w:spacing w:before="0" w:after="283"/>
              <w:jc w:val="center"/>
              <w:rPr/>
            </w:pPr>
            <w:r>
              <w:rPr/>
              <w:t>255%</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Indiana Pawnbroking Law provides for a grace period of 60 days after the initial 30-day term of the loan. During the grace period, interest and service charges continue to accrue and are prorated to the date of loan redemption. </w:t>
      </w:r>
    </w:p>
    <w:p>
      <w:pPr>
        <w:pStyle w:val="TextBody"/>
        <w:spacing w:before="240" w:after="283"/>
        <w:jc w:val="left"/>
        <w:rPr>
          <w:rFonts w:ascii="Helvetica;Arial;sans-serif" w:hAnsi="Helvetica;Arial;sans-serif"/>
          <w:b/>
          <w:i/>
          <w:sz w:val="17"/>
        </w:rPr>
      </w:pPr>
      <w:r>
        <w:rPr>
          <w:rFonts w:ascii="Helvetica;Arial;sans-serif" w:hAnsi="Helvetica;Arial;sans-serif"/>
          <w:b/>
          <w:i/>
          <w:sz w:val="17"/>
        </w:rPr>
        <w:t>Alabama Regulations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Alabama Pawnshop Act regulates the licensing and operation of Alabama pawnshops. The Supervisor of the Bureau of Loans of the State Department of Banking is responsible for licensing and investigating the general fitness of pawnshop applicants. The Alabama Pawnshop Act requires that certain bookkeeping records be maintained and made available to the Supervisor and to local law enforcement authorities. The Alabama Pawnshop Act establishes a maximum allowable pawn service charge of 300% annually. </w:t>
      </w:r>
    </w:p>
    <w:p>
      <w:pPr>
        <w:pStyle w:val="TextBody"/>
        <w:spacing w:before="240" w:after="283"/>
        <w:jc w:val="left"/>
        <w:rPr>
          <w:rFonts w:ascii="Helvetica;Arial;sans-serif" w:hAnsi="Helvetica;Arial;sans-serif"/>
          <w:b/>
          <w:i/>
          <w:sz w:val="17"/>
        </w:rPr>
      </w:pPr>
      <w:r>
        <w:rPr>
          <w:rFonts w:ascii="Helvetica;Arial;sans-serif" w:hAnsi="Helvetica;Arial;sans-serif"/>
          <w:b/>
          <w:i/>
          <w:sz w:val="17"/>
        </w:rPr>
        <w:t>Local Pawn Regulations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the local level, most of our pawnshops voluntarily or pursuant to state law or municipal ordinance, provide reports of pawn transactions and purchases from customers to local law enforcement on a regular basis. These reports are designed to provide local law enforcement with a detailed description of the goods involved, including any serial numbers and the names and addresses of the customers.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record of each transaction is provided to local law enforcement agencies to aid in the investigation of property crimes. Pawn loan collateral or goods purchased which are determined to belong to an individual other than the pawnshop customer are subject to recovery by the rightful owner. While a risk exists that pledged or purchased merchandise may be subject to claims of rightful owners, our claims experience is historically less than 0.25% of pawn loans made. Additionally, some counties and municipalities regulate pawn operations through local business licenses and zoning restrictions. </w:t>
      </w:r>
    </w:p>
    <w:p>
      <w:pPr>
        <w:pStyle w:val="TextBody"/>
        <w:spacing w:before="240" w:after="283"/>
        <w:jc w:val="left"/>
        <w:rPr>
          <w:rFonts w:ascii="Helvetica;Arial;sans-serif" w:hAnsi="Helvetica;Arial;sans-serif"/>
          <w:b/>
          <w:i/>
          <w:sz w:val="17"/>
        </w:rPr>
      </w:pPr>
      <w:r>
        <w:rPr>
          <w:rFonts w:ascii="Helvetica;Arial;sans-serif" w:hAnsi="Helvetica;Arial;sans-serif"/>
          <w:b/>
          <w:i/>
          <w:sz w:val="17"/>
        </w:rPr>
        <w:t>Mexico Regulations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Mexico has enacted federal legislation that provides for administrative regulation of the pawn industry by PROFECO, the federal consumer protection agency. Under these regulations, PROFECO regulates the form of pawn loan contracts and certain operating procedures of pawnshops. PROFECO does not currently have regulatory authority over the interest rates and fees charged to pawn customers. The pawn industry in Mexico is subject to various regulations in the areas of tax compliance, customs, consumer protections and employment matters, among others, by various federal, state and local governmental agencies. Additionally, the state of Tamaulipas has a pawn statute that purportedly requires pawnshops to be licensed and regulates the pawn operations including rate, pawn ticket and other terms of the pawn transaction; however, federal regulations are intended to supercede the Tamaulipas statute. </w:t>
      </w:r>
    </w:p>
    <w:p>
      <w:pPr>
        <w:pStyle w:val="TextBody"/>
        <w:spacing w:before="240" w:after="283"/>
        <w:jc w:val="left"/>
        <w:rPr>
          <w:rFonts w:ascii="Helvetica;Arial;sans-serif" w:hAnsi="Helvetica;Arial;sans-serif"/>
          <w:b/>
          <w:i/>
          <w:sz w:val="17"/>
        </w:rPr>
      </w:pPr>
      <w:r>
        <w:rPr>
          <w:rFonts w:ascii="Helvetica;Arial;sans-serif" w:hAnsi="Helvetica;Arial;sans-serif"/>
          <w:b/>
          <w:i/>
          <w:sz w:val="17"/>
        </w:rPr>
        <w:t>Firearms Regulations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With respect to firearm sales, each U.S. pawnshop must comply with the regulations issued by the Bureau of Alcohol, Tobacco, and Firearms (the ATF). ATF regulations require each pawnshop dealing in firearms to maintain a federal firearms license and a permanent written record of all transactions involving the receipt or disposition of firearms. </w:t>
      </w:r>
    </w:p>
    <w:p>
      <w:pPr>
        <w:pStyle w:val="TextBody"/>
        <w:jc w:val="center"/>
        <w:rPr>
          <w:rFonts w:ascii="Helvetica;Arial;sans-serif" w:hAnsi="Helvetica;Arial;sans-serif"/>
          <w:sz w:val="17"/>
        </w:rPr>
      </w:pPr>
      <w:r>
        <w:rPr>
          <w:rFonts w:ascii="Helvetica;Arial;sans-serif" w:hAnsi="Helvetica;Arial;san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Brady Handgun Violence Prevention Act and the related ATF rules require us, in either selling firearms or releasing pawned firearms, to have the customer complete appropriate forms and pass a background check through the National Instant Criminal Background Check System before we may transfer a firearm to any customer.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comply with the Brady Act and the ATF regulations. We do not believe that compliance with the Brady Act and the ATF regulations materially affects our operations. </w:t>
      </w:r>
    </w:p>
    <w:p>
      <w:pPr>
        <w:pStyle w:val="TextBody"/>
        <w:spacing w:before="240" w:after="283"/>
        <w:jc w:val="left"/>
        <w:rPr>
          <w:rFonts w:ascii="Helvetica;Arial;sans-serif" w:hAnsi="Helvetica;Arial;sans-serif"/>
          <w:b/>
          <w:i/>
          <w:sz w:val="17"/>
        </w:rPr>
      </w:pPr>
      <w:r>
        <w:rPr>
          <w:rFonts w:ascii="Helvetica;Arial;sans-serif" w:hAnsi="Helvetica;Arial;sans-serif"/>
          <w:b/>
          <w:i/>
          <w:sz w:val="17"/>
        </w:rPr>
        <w:t>Credit Service Organization Regulations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July 2005, we registered as a Credit Service Organization (CSO) in Texas and began doing business as EZMONEY Loan Services, providing customers fee-based advice, assistance, and services in obtaining loans from unaffiliated lenders. CSOs in Texas are required to register with the Texas Office of the Secretary of State pursuant to Chapter 393 of the Texas Finance Code. In order to provide credit services in Texas, we registered each location where we offer credit services and posted a surety bond in the amount of $10,000 per location. We must renew our CSO registration annually.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Texas law requires us to provide each CSO customer a disclosure statement describing the services to be provided, the fees, explanation of the customers rights, identification of the surety bond company, and other specified information. This disclosure must be delivered to the customer prior to us entering into any contract with the customer for credit services. We must enter into a written contract with each customer fully describing the services, the payment terms, our principal place of business, and agent authorized to receive service. Customers have three days to cancel a CSO contract. The CSO statute also prohibits us from making false or misleading representations or statements, receiving compensation solely for referring a customer to a lender who will or may make the loan on substantially the same terms, and engaging in fraudulent or deceptive conduct. Violations of the CSO statute could subject us to criminal and civil liability.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Texas, we do business with two unaffiliated lenders. The maximum loan currently offered by the unaffiliated lenders is $3,000. The lenders are not required to be licensed and are not regulated by a state agency, provided the interest rate charged on their loans does not exceed 10% annually. The lenders are authorized to charge a late fee for loans past due more than 10 days and an insufficient funds fee, but the lenders that we do business with do not assess late fees. The insufficient funds fee is $30. If a customer defaults on a loan, the letter of credit issued by us authorizes the unaffiliated lender to make demand on us for payment of the principal, interest, and insufficient funds fee. We are obligated to pay the lender on any demand made on the letter of credit pursuant to the terms and conditions set forth in the letter of credit. We then may recover those amounts from the borrower.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also offer credit services in eleven EZMONEY stores in Florida under a CSO statute similar to Texas. The Florida CSO statute, however, does not require registration or bonds. We do business with one unaffiliated lender in Florida. Like Texas, the Florida lender is not required to be licensed or regulated provided the interest rate charged on its loans does not exceed eighteen percent (18%) annually. </w:t>
      </w:r>
    </w:p>
    <w:p>
      <w:pPr>
        <w:pStyle w:val="TextBody"/>
        <w:spacing w:before="240" w:after="283"/>
        <w:jc w:val="left"/>
        <w:rPr>
          <w:rFonts w:ascii="Helvetica;Arial;sans-serif" w:hAnsi="Helvetica;Arial;sans-serif"/>
          <w:b/>
          <w:i/>
          <w:sz w:val="17"/>
        </w:rPr>
      </w:pPr>
      <w:r>
        <w:rPr>
          <w:rFonts w:ascii="Helvetica;Arial;sans-serif" w:hAnsi="Helvetica;Arial;sans-serif"/>
          <w:b/>
          <w:i/>
          <w:sz w:val="17"/>
        </w:rPr>
        <w:t>Payday Loan Regulations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State statutes regulate our payday lending. These statutes vary in scope, but generally require licensing, establish loan terms, provide for consumer protections and disclosures, and allow regulatory examinations. The statutes regulating payday loans generally limit the loan amount, duration, rates and fees, ability to renew or extend, and the number of loans, and allow payment plans and cooling-off periods, among other things. </w:t>
      </w:r>
    </w:p>
    <w:p>
      <w:pPr>
        <w:pStyle w:val="TextBody"/>
        <w:jc w:val="center"/>
        <w:rPr>
          <w:rFonts w:ascii="Helvetica;Arial;sans-serif" w:hAnsi="Helvetica;Arial;sans-serif"/>
          <w:sz w:val="17"/>
        </w:rPr>
      </w:pPr>
      <w:r>
        <w:rPr>
          <w:rFonts w:ascii="Helvetica;Arial;sans-serif" w:hAnsi="Helvetica;Arial;san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table below provides the key terms of the payday loan statutes that we operate under in the states in which we do business. </w:t>
      </w:r>
    </w:p>
    <w:p>
      <w:pPr>
        <w:pStyle w:val="TextBody"/>
        <w:spacing w:before="360" w:after="283"/>
        <w:jc w:val="center"/>
        <w:rPr>
          <w:rFonts w:ascii="Helvetica;Arial;sans-serif" w:hAnsi="Helvetica;Arial;sans-serif"/>
          <w:sz w:val="17"/>
        </w:rPr>
      </w:pPr>
      <w:r>
        <w:rPr>
          <w:rFonts w:ascii="Helvetica;Arial;sans-serif" w:hAnsi="Helvetica;Arial;sans-serif"/>
          <w:b/>
          <w:sz w:val="17"/>
        </w:rPr>
        <w:t>Summary Table of Payday Loan Statutes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1170"/>
        <w:gridCol w:w="82"/>
        <w:gridCol w:w="1353"/>
        <w:gridCol w:w="82"/>
        <w:gridCol w:w="1042"/>
        <w:gridCol w:w="82"/>
        <w:gridCol w:w="1568"/>
        <w:gridCol w:w="82"/>
        <w:gridCol w:w="1360"/>
        <w:gridCol w:w="81"/>
        <w:gridCol w:w="1092"/>
        <w:gridCol w:w="82"/>
        <w:gridCol w:w="1017"/>
        <w:gridCol w:w="82"/>
        <w:gridCol w:w="1030"/>
      </w:tblGrid>
      <w:tr>
        <w:trPr/>
        <w:tc>
          <w:tcPr>
            <w:tcW w:w="117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r>
      <w:tr>
        <w:trPr/>
        <w:tc>
          <w:tcPr>
            <w:tcW w:w="117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center"/>
              <w:rPr/>
            </w:pPr>
            <w:r>
              <w:rPr/>
              <w:t>Rollovers</w:t>
            </w:r>
          </w:p>
        </w:tc>
        <w:tc>
          <w:tcPr>
            <w:tcW w:w="82"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spacing w:before="0" w:after="283"/>
              <w:jc w:val="center"/>
              <w:rPr/>
            </w:pPr>
            <w:r>
              <w:rPr/>
              <w:t>Cooling-Off</w:t>
            </w:r>
          </w:p>
        </w:tc>
        <w:tc>
          <w:tcPr>
            <w:tcW w:w="82"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center"/>
              <w:rPr/>
            </w:pPr>
            <w:r>
              <w:rPr/>
              <w:t>Maximum</w:t>
            </w:r>
          </w:p>
        </w:tc>
        <w:tc>
          <w:tcPr>
            <w:tcW w:w="81"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center"/>
              <w:rPr/>
            </w:pPr>
            <w:r>
              <w:rPr/>
              <w:t>Payment</w:t>
            </w:r>
          </w:p>
        </w:tc>
        <w:tc>
          <w:tcPr>
            <w:tcW w:w="82"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center"/>
              <w:rPr/>
            </w:pPr>
            <w:r>
              <w:rPr/>
              <w:t>State</w:t>
            </w:r>
          </w:p>
        </w:tc>
      </w:tr>
      <w:tr>
        <w:trPr/>
        <w:tc>
          <w:tcPr>
            <w:tcW w:w="117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center"/>
              <w:rPr/>
            </w:pPr>
            <w:r>
              <w:rPr/>
              <w:t>Allowed</w:t>
            </w:r>
          </w:p>
        </w:tc>
        <w:tc>
          <w:tcPr>
            <w:tcW w:w="82"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spacing w:before="0" w:after="283"/>
              <w:jc w:val="center"/>
              <w:rPr/>
            </w:pPr>
            <w:r>
              <w:rPr/>
              <w:t>Period Required</w:t>
            </w:r>
          </w:p>
        </w:tc>
        <w:tc>
          <w:tcPr>
            <w:tcW w:w="82"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center"/>
              <w:rPr/>
            </w:pPr>
            <w:r>
              <w:rPr/>
              <w:t>Loan</w:t>
            </w:r>
          </w:p>
        </w:tc>
        <w:tc>
          <w:tcPr>
            <w:tcW w:w="81"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center"/>
              <w:rPr/>
            </w:pPr>
            <w:r>
              <w:rPr/>
              <w:t>Maximum</w:t>
            </w:r>
          </w:p>
        </w:tc>
        <w:tc>
          <w:tcPr>
            <w:tcW w:w="8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center"/>
              <w:rPr/>
            </w:pPr>
            <w:r>
              <w:rPr/>
              <w:t>Plan</w:t>
            </w:r>
          </w:p>
        </w:tc>
        <w:tc>
          <w:tcPr>
            <w:tcW w:w="82"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center"/>
              <w:rPr/>
            </w:pPr>
            <w:r>
              <w:rPr/>
              <w:t>Database</w:t>
            </w:r>
          </w:p>
        </w:tc>
      </w:tr>
      <w:tr>
        <w:trPr/>
        <w:tc>
          <w:tcPr>
            <w:tcW w:w="1170" w:type="dxa"/>
            <w:tcBorders>
              <w:bottom w:val="single" w:sz="2" w:space="0" w:color="000000"/>
            </w:tcBorders>
            <w:shd w:fill="auto" w:val="clear"/>
            <w:tcMar>
              <w:bottom w:w="28" w:type="dxa"/>
            </w:tcMar>
            <w:vAlign w:val="bottom"/>
          </w:tcPr>
          <w:p>
            <w:pPr>
              <w:pStyle w:val="TableContents"/>
              <w:spacing w:before="0" w:after="283"/>
              <w:jc w:val="center"/>
              <w:rPr/>
            </w:pPr>
            <w:r>
              <w:rPr/>
              <w:t>State </w:t>
            </w:r>
          </w:p>
        </w:tc>
        <w:tc>
          <w:tcPr>
            <w:tcW w:w="82" w:type="dxa"/>
            <w:tcBorders/>
            <w:shd w:fill="auto" w:val="clear"/>
            <w:vAlign w:val="bottom"/>
          </w:tcPr>
          <w:p>
            <w:pPr>
              <w:pStyle w:val="TableContents"/>
              <w:spacing w:before="0" w:after="283"/>
              <w:rPr/>
            </w:pPr>
            <w:r>
              <w:rPr/>
              <w:t> </w:t>
            </w:r>
          </w:p>
        </w:tc>
        <w:tc>
          <w:tcPr>
            <w:tcW w:w="1353" w:type="dxa"/>
            <w:tcBorders>
              <w:bottom w:val="single" w:sz="2" w:space="0" w:color="000000"/>
            </w:tcBorders>
            <w:shd w:fill="auto" w:val="clear"/>
            <w:tcMar>
              <w:bottom w:w="28" w:type="dxa"/>
            </w:tcMar>
            <w:vAlign w:val="bottom"/>
          </w:tcPr>
          <w:p>
            <w:pPr>
              <w:pStyle w:val="TableContents"/>
              <w:spacing w:before="0" w:after="283"/>
              <w:jc w:val="center"/>
              <w:rPr/>
            </w:pPr>
            <w:r>
              <w:rPr/>
              <w:t>Fees</w:t>
            </w:r>
          </w:p>
        </w:tc>
        <w:tc>
          <w:tcPr>
            <w:tcW w:w="82" w:type="dxa"/>
            <w:tcBorders/>
            <w:shd w:fill="auto" w:val="clear"/>
            <w:vAlign w:val="bottom"/>
          </w:tcPr>
          <w:p>
            <w:pPr>
              <w:pStyle w:val="TableContents"/>
              <w:spacing w:before="0" w:after="283"/>
              <w:rPr/>
            </w:pPr>
            <w:r>
              <w:rPr/>
              <w:t> </w:t>
            </w:r>
          </w:p>
        </w:tc>
        <w:tc>
          <w:tcPr>
            <w:tcW w:w="1042" w:type="dxa"/>
            <w:tcBorders>
              <w:bottom w:val="single" w:sz="2" w:space="0" w:color="000000"/>
            </w:tcBorders>
            <w:shd w:fill="auto" w:val="clear"/>
            <w:tcMar>
              <w:bottom w:w="28" w:type="dxa"/>
            </w:tcMar>
            <w:vAlign w:val="bottom"/>
          </w:tcPr>
          <w:p>
            <w:pPr>
              <w:pStyle w:val="TableContents"/>
              <w:spacing w:before="0" w:after="283"/>
              <w:jc w:val="center"/>
              <w:rPr/>
            </w:pPr>
            <w:r>
              <w:rPr/>
              <w:t>(Yes/No)</w:t>
            </w:r>
          </w:p>
        </w:tc>
        <w:tc>
          <w:tcPr>
            <w:tcW w:w="82" w:type="dxa"/>
            <w:tcBorders/>
            <w:shd w:fill="auto" w:val="clear"/>
            <w:vAlign w:val="bottom"/>
          </w:tcPr>
          <w:p>
            <w:pPr>
              <w:pStyle w:val="TableContents"/>
              <w:spacing w:before="0" w:after="283"/>
              <w:rPr/>
            </w:pPr>
            <w:r>
              <w:rPr/>
              <w:t> </w:t>
            </w:r>
          </w:p>
        </w:tc>
        <w:tc>
          <w:tcPr>
            <w:tcW w:w="1568" w:type="dxa"/>
            <w:tcBorders>
              <w:bottom w:val="single" w:sz="2" w:space="0" w:color="000000"/>
            </w:tcBorders>
            <w:shd w:fill="auto" w:val="clear"/>
            <w:tcMar>
              <w:bottom w:w="28" w:type="dxa"/>
            </w:tcMar>
            <w:vAlign w:val="bottom"/>
          </w:tcPr>
          <w:p>
            <w:pPr>
              <w:pStyle w:val="TableContents"/>
              <w:spacing w:before="0" w:after="283"/>
              <w:jc w:val="center"/>
              <w:rPr/>
            </w:pPr>
            <w:r>
              <w:rPr/>
              <w:t>(Yes/No)</w:t>
            </w:r>
          </w:p>
        </w:tc>
        <w:tc>
          <w:tcPr>
            <w:tcW w:w="82" w:type="dxa"/>
            <w:tcBorders/>
            <w:shd w:fill="auto" w:val="clear"/>
            <w:vAlign w:val="bottom"/>
          </w:tcPr>
          <w:p>
            <w:pPr>
              <w:pStyle w:val="TableContents"/>
              <w:spacing w:before="0" w:after="283"/>
              <w:rPr/>
            </w:pPr>
            <w:r>
              <w:rPr/>
              <w:t> </w:t>
            </w:r>
          </w:p>
        </w:tc>
        <w:tc>
          <w:tcPr>
            <w:tcW w:w="1360" w:type="dxa"/>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81" w:type="dxa"/>
            <w:tcBorders/>
            <w:shd w:fill="auto" w:val="clear"/>
            <w:vAlign w:val="bottom"/>
          </w:tcPr>
          <w:p>
            <w:pPr>
              <w:pStyle w:val="TableContents"/>
              <w:spacing w:before="0" w:after="283"/>
              <w:rPr/>
            </w:pPr>
            <w:r>
              <w:rPr/>
              <w:t> </w:t>
            </w:r>
          </w:p>
        </w:tc>
        <w:tc>
          <w:tcPr>
            <w:tcW w:w="1092" w:type="dxa"/>
            <w:tcBorders>
              <w:bottom w:val="single" w:sz="2" w:space="0" w:color="000000"/>
            </w:tcBorders>
            <w:shd w:fill="auto" w:val="clear"/>
            <w:tcMar>
              <w:bottom w:w="28" w:type="dxa"/>
            </w:tcMar>
            <w:vAlign w:val="bottom"/>
          </w:tcPr>
          <w:p>
            <w:pPr>
              <w:pStyle w:val="TableContents"/>
              <w:spacing w:before="0" w:after="283"/>
              <w:jc w:val="center"/>
              <w:rPr/>
            </w:pPr>
            <w:r>
              <w:rPr/>
              <w:t>Term</w:t>
            </w:r>
          </w:p>
        </w:tc>
        <w:tc>
          <w:tcPr>
            <w:tcW w:w="82" w:type="dxa"/>
            <w:tcBorders/>
            <w:shd w:fill="auto" w:val="clear"/>
            <w:vAlign w:val="bottom"/>
          </w:tcPr>
          <w:p>
            <w:pPr>
              <w:pStyle w:val="TableContents"/>
              <w:spacing w:before="0" w:after="283"/>
              <w:rPr/>
            </w:pPr>
            <w:r>
              <w:rPr/>
              <w:t> </w:t>
            </w:r>
          </w:p>
        </w:tc>
        <w:tc>
          <w:tcPr>
            <w:tcW w:w="1017" w:type="dxa"/>
            <w:tcBorders>
              <w:bottom w:val="single" w:sz="2" w:space="0" w:color="000000"/>
            </w:tcBorders>
            <w:shd w:fill="auto" w:val="clear"/>
            <w:tcMar>
              <w:bottom w:w="28" w:type="dxa"/>
            </w:tcMar>
            <w:vAlign w:val="bottom"/>
          </w:tcPr>
          <w:p>
            <w:pPr>
              <w:pStyle w:val="TableContents"/>
              <w:spacing w:before="0" w:after="283"/>
              <w:jc w:val="center"/>
              <w:rPr/>
            </w:pPr>
            <w:r>
              <w:rPr/>
              <w:t>(Yes/No)</w:t>
            </w:r>
          </w:p>
        </w:tc>
        <w:tc>
          <w:tcPr>
            <w:tcW w:w="82" w:type="dxa"/>
            <w:tcBorders/>
            <w:shd w:fill="auto" w:val="clear"/>
            <w:vAlign w:val="bottom"/>
          </w:tcPr>
          <w:p>
            <w:pPr>
              <w:pStyle w:val="TableContents"/>
              <w:spacing w:before="0" w:after="283"/>
              <w:rPr/>
            </w:pPr>
            <w:r>
              <w:rPr/>
              <w:t> </w:t>
            </w:r>
          </w:p>
        </w:tc>
        <w:tc>
          <w:tcPr>
            <w:tcW w:w="1030" w:type="dxa"/>
            <w:tcBorders>
              <w:bottom w:val="single" w:sz="2" w:space="0" w:color="000000"/>
            </w:tcBorders>
            <w:shd w:fill="auto" w:val="clear"/>
            <w:tcMar>
              <w:bottom w:w="28" w:type="dxa"/>
            </w:tcMar>
            <w:vAlign w:val="bottom"/>
          </w:tcPr>
          <w:p>
            <w:pPr>
              <w:pStyle w:val="TableContents"/>
              <w:spacing w:before="0" w:after="283"/>
              <w:jc w:val="center"/>
              <w:rPr/>
            </w:pPr>
            <w:r>
              <w:rPr/>
              <w:t>(Yes/No)</w:t>
            </w:r>
          </w:p>
        </w:tc>
      </w:tr>
      <w:tr>
        <w:trPr/>
        <w:tc>
          <w:tcPr>
            <w:tcW w:w="1170" w:type="dxa"/>
            <w:tcBorders/>
            <w:shd w:fill="CCEEFF" w:val="clear"/>
          </w:tcPr>
          <w:p>
            <w:pPr>
              <w:pStyle w:val="TableContents"/>
              <w:spacing w:before="0" w:after="283"/>
              <w:jc w:val="left"/>
              <w:rPr/>
            </w:pPr>
            <w:r>
              <w:rPr/>
              <w:t>Alabama</w:t>
            </w:r>
          </w:p>
        </w:tc>
        <w:tc>
          <w:tcPr>
            <w:tcW w:w="82"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0"/>
              <w:ind w:left="225" w:right="0" w:hanging="225"/>
              <w:jc w:val="center"/>
              <w:rPr/>
            </w:pPr>
            <w:r>
              <w:rPr/>
              <w:t>17.5% of amount advanced</w:t>
            </w:r>
          </w:p>
        </w:tc>
        <w:tc>
          <w:tcPr>
            <w:tcW w:w="82" w:type="dxa"/>
            <w:tcBorders/>
            <w:shd w:fill="CCEEFF" w:val="clear"/>
            <w:vAlign w:val="bottom"/>
          </w:tcPr>
          <w:p>
            <w:pPr>
              <w:pStyle w:val="TableContents"/>
              <w:spacing w:before="0" w:after="283"/>
              <w:rPr/>
            </w:pPr>
            <w:r>
              <w:rPr/>
              <w:t> </w:t>
            </w:r>
          </w:p>
        </w:tc>
        <w:tc>
          <w:tcPr>
            <w:tcW w:w="1042" w:type="dxa"/>
            <w:tcBorders/>
            <w:shd w:fill="CCEEFF" w:val="clear"/>
          </w:tcPr>
          <w:p>
            <w:pPr>
              <w:pStyle w:val="TableContents"/>
              <w:spacing w:before="0" w:after="283"/>
              <w:jc w:val="center"/>
              <w:rPr/>
            </w:pPr>
            <w:r>
              <w:rPr/>
              <w:t>Yes</w:t>
            </w:r>
          </w:p>
        </w:tc>
        <w:tc>
          <w:tcPr>
            <w:tcW w:w="82" w:type="dxa"/>
            <w:tcBorders/>
            <w:shd w:fill="CCEEFF" w:val="clear"/>
            <w:vAlign w:val="bottom"/>
          </w:tcPr>
          <w:p>
            <w:pPr>
              <w:pStyle w:val="TableContents"/>
              <w:spacing w:before="0" w:after="283"/>
              <w:rPr/>
            </w:pPr>
            <w:r>
              <w:rPr/>
              <w:t> </w:t>
            </w:r>
          </w:p>
        </w:tc>
        <w:tc>
          <w:tcPr>
            <w:tcW w:w="1568" w:type="dxa"/>
            <w:tcBorders/>
            <w:shd w:fill="CCEEFF" w:val="clear"/>
          </w:tcPr>
          <w:p>
            <w:pPr>
              <w:pStyle w:val="TableContents"/>
              <w:spacing w:before="0" w:after="283"/>
              <w:jc w:val="center"/>
              <w:rPr/>
            </w:pPr>
            <w:r>
              <w:rPr/>
              <w:t>Yes</w:t>
            </w:r>
          </w:p>
        </w:tc>
        <w:tc>
          <w:tcPr>
            <w:tcW w:w="82" w:type="dxa"/>
            <w:tcBorders/>
            <w:shd w:fill="CCEEFF" w:val="clear"/>
            <w:vAlign w:val="bottom"/>
          </w:tcPr>
          <w:p>
            <w:pPr>
              <w:pStyle w:val="TableContents"/>
              <w:spacing w:before="0" w:after="283"/>
              <w:rPr/>
            </w:pPr>
            <w:r>
              <w:rPr/>
              <w:t> </w:t>
            </w:r>
          </w:p>
        </w:tc>
        <w:tc>
          <w:tcPr>
            <w:tcW w:w="1360" w:type="dxa"/>
            <w:tcBorders/>
            <w:shd w:fill="CCEEFF" w:val="clear"/>
          </w:tcPr>
          <w:p>
            <w:pPr>
              <w:pStyle w:val="TableContents"/>
              <w:spacing w:before="0" w:after="283"/>
              <w:jc w:val="center"/>
              <w:rPr/>
            </w:pPr>
            <w:r>
              <w:rPr/>
              <w:t>$500</w:t>
            </w:r>
          </w:p>
        </w:tc>
        <w:tc>
          <w:tcPr>
            <w:tcW w:w="81" w:type="dxa"/>
            <w:tcBorders/>
            <w:shd w:fill="CCEEFF" w:val="clear"/>
            <w:vAlign w:val="bottom"/>
          </w:tcPr>
          <w:p>
            <w:pPr>
              <w:pStyle w:val="TableContents"/>
              <w:spacing w:before="0" w:after="283"/>
              <w:rPr/>
            </w:pPr>
            <w:r>
              <w:rPr/>
              <w:t> </w:t>
            </w:r>
          </w:p>
        </w:tc>
        <w:tc>
          <w:tcPr>
            <w:tcW w:w="1092" w:type="dxa"/>
            <w:tcBorders/>
            <w:shd w:fill="CCEEFF" w:val="clear"/>
          </w:tcPr>
          <w:p>
            <w:pPr>
              <w:pStyle w:val="TableContents"/>
              <w:spacing w:before="0" w:after="283"/>
              <w:jc w:val="center"/>
              <w:rPr/>
            </w:pPr>
            <w:r>
              <w:rPr/>
              <w:t>31 days</w:t>
            </w:r>
          </w:p>
        </w:tc>
        <w:tc>
          <w:tcPr>
            <w:tcW w:w="82" w:type="dxa"/>
            <w:tcBorders/>
            <w:shd w:fill="CCEEFF" w:val="clear"/>
            <w:vAlign w:val="bottom"/>
          </w:tcPr>
          <w:p>
            <w:pPr>
              <w:pStyle w:val="TableContents"/>
              <w:spacing w:before="0" w:after="283"/>
              <w:rPr/>
            </w:pPr>
            <w:r>
              <w:rPr/>
              <w:t> </w:t>
            </w:r>
          </w:p>
        </w:tc>
        <w:tc>
          <w:tcPr>
            <w:tcW w:w="1017" w:type="dxa"/>
            <w:tcBorders/>
            <w:shd w:fill="CCEEFF" w:val="clear"/>
          </w:tcPr>
          <w:p>
            <w:pPr>
              <w:pStyle w:val="TableContents"/>
              <w:spacing w:before="0" w:after="283"/>
              <w:jc w:val="center"/>
              <w:rPr/>
            </w:pPr>
            <w:r>
              <w:rPr/>
              <w:t>Yes</w:t>
            </w:r>
          </w:p>
        </w:tc>
        <w:tc>
          <w:tcPr>
            <w:tcW w:w="82" w:type="dxa"/>
            <w:tcBorders/>
            <w:shd w:fill="CCEEFF" w:val="clear"/>
            <w:vAlign w:val="bottom"/>
          </w:tcPr>
          <w:p>
            <w:pPr>
              <w:pStyle w:val="TableContents"/>
              <w:spacing w:before="0" w:after="283"/>
              <w:rPr/>
            </w:pPr>
            <w:r>
              <w:rPr/>
              <w:t> </w:t>
            </w:r>
          </w:p>
        </w:tc>
        <w:tc>
          <w:tcPr>
            <w:tcW w:w="1030" w:type="dxa"/>
            <w:tcBorders/>
            <w:shd w:fill="CCEEFF" w:val="clear"/>
          </w:tcPr>
          <w:p>
            <w:pPr>
              <w:pStyle w:val="TableContents"/>
              <w:spacing w:before="0" w:after="283"/>
              <w:jc w:val="center"/>
              <w:rPr/>
            </w:pPr>
            <w:r>
              <w:rPr/>
              <w:t>Yes</w:t>
            </w:r>
          </w:p>
        </w:tc>
      </w:tr>
      <w:tr>
        <w:trPr/>
        <w:tc>
          <w:tcPr>
            <w:tcW w:w="1170" w:type="dxa"/>
            <w:tcBorders/>
            <w:shd w:fill="auto" w:val="clear"/>
          </w:tcPr>
          <w:p>
            <w:pPr>
              <w:pStyle w:val="TableContents"/>
              <w:spacing w:before="0" w:after="283"/>
              <w:jc w:val="left"/>
              <w:rPr/>
            </w:pPr>
            <w:r>
              <w:rPr/>
              <w:t>Colorado</w:t>
            </w:r>
          </w:p>
        </w:tc>
        <w:tc>
          <w:tcPr>
            <w:tcW w:w="82"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0"/>
              <w:ind w:left="225" w:right="0" w:hanging="225"/>
              <w:jc w:val="center"/>
              <w:rPr/>
            </w:pPr>
            <w:r>
              <w:rPr/>
              <w:t>20% on first $300; 7.5% above $300</w:t>
            </w:r>
          </w:p>
        </w:tc>
        <w:tc>
          <w:tcPr>
            <w:tcW w:w="82" w:type="dxa"/>
            <w:tcBorders/>
            <w:shd w:fill="auto" w:val="clear"/>
            <w:vAlign w:val="bottom"/>
          </w:tcPr>
          <w:p>
            <w:pPr>
              <w:pStyle w:val="TableContents"/>
              <w:spacing w:before="0" w:after="283"/>
              <w:rPr/>
            </w:pPr>
            <w:r>
              <w:rPr/>
              <w:t> </w:t>
            </w:r>
          </w:p>
        </w:tc>
        <w:tc>
          <w:tcPr>
            <w:tcW w:w="1042" w:type="dxa"/>
            <w:tcBorders/>
            <w:shd w:fill="auto" w:val="clear"/>
          </w:tcPr>
          <w:p>
            <w:pPr>
              <w:pStyle w:val="TableContents"/>
              <w:spacing w:before="0" w:after="283"/>
              <w:jc w:val="center"/>
              <w:rPr/>
            </w:pPr>
            <w:r>
              <w:rPr/>
              <w:t>Yes</w:t>
            </w:r>
          </w:p>
        </w:tc>
        <w:tc>
          <w:tcPr>
            <w:tcW w:w="82" w:type="dxa"/>
            <w:tcBorders/>
            <w:shd w:fill="auto" w:val="clear"/>
            <w:vAlign w:val="bottom"/>
          </w:tcPr>
          <w:p>
            <w:pPr>
              <w:pStyle w:val="TableContents"/>
              <w:spacing w:before="0" w:after="283"/>
              <w:rPr/>
            </w:pPr>
            <w:r>
              <w:rPr/>
              <w:t> </w:t>
            </w:r>
          </w:p>
        </w:tc>
        <w:tc>
          <w:tcPr>
            <w:tcW w:w="1568" w:type="dxa"/>
            <w:tcBorders/>
            <w:shd w:fill="auto" w:val="clear"/>
          </w:tcPr>
          <w:p>
            <w:pPr>
              <w:pStyle w:val="TableContents"/>
              <w:spacing w:before="0" w:after="283"/>
              <w:jc w:val="center"/>
              <w:rPr/>
            </w:pPr>
            <w:r>
              <w:rPr/>
              <w:t>No</w:t>
            </w:r>
          </w:p>
        </w:tc>
        <w:tc>
          <w:tcPr>
            <w:tcW w:w="82" w:type="dxa"/>
            <w:tcBorders/>
            <w:shd w:fill="auto" w:val="clear"/>
            <w:vAlign w:val="bottom"/>
          </w:tcPr>
          <w:p>
            <w:pPr>
              <w:pStyle w:val="TableContents"/>
              <w:spacing w:before="0" w:after="283"/>
              <w:rPr/>
            </w:pPr>
            <w:r>
              <w:rPr/>
              <w:t> </w:t>
            </w:r>
          </w:p>
        </w:tc>
        <w:tc>
          <w:tcPr>
            <w:tcW w:w="1360" w:type="dxa"/>
            <w:tcBorders/>
            <w:shd w:fill="auto" w:val="clear"/>
          </w:tcPr>
          <w:p>
            <w:pPr>
              <w:pStyle w:val="TableContents"/>
              <w:spacing w:before="0" w:after="283"/>
              <w:jc w:val="center"/>
              <w:rPr/>
            </w:pPr>
            <w:r>
              <w:rPr/>
              <w:t>$500</w:t>
            </w:r>
          </w:p>
        </w:tc>
        <w:tc>
          <w:tcPr>
            <w:tcW w:w="81" w:type="dxa"/>
            <w:tcBorders/>
            <w:shd w:fill="auto" w:val="clear"/>
            <w:vAlign w:val="bottom"/>
          </w:tcPr>
          <w:p>
            <w:pPr>
              <w:pStyle w:val="TableContents"/>
              <w:spacing w:before="0" w:after="283"/>
              <w:rPr/>
            </w:pPr>
            <w:r>
              <w:rPr/>
              <w:t> </w:t>
            </w:r>
          </w:p>
        </w:tc>
        <w:tc>
          <w:tcPr>
            <w:tcW w:w="1092" w:type="dxa"/>
            <w:tcBorders/>
            <w:shd w:fill="auto" w:val="clear"/>
          </w:tcPr>
          <w:p>
            <w:pPr>
              <w:pStyle w:val="TableContents"/>
              <w:spacing w:before="0" w:after="283"/>
              <w:jc w:val="center"/>
              <w:rPr/>
            </w:pPr>
            <w:r>
              <w:rPr/>
              <w:t>40 days</w:t>
            </w:r>
          </w:p>
        </w:tc>
        <w:tc>
          <w:tcPr>
            <w:tcW w:w="8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center"/>
              <w:rPr/>
            </w:pPr>
            <w:r>
              <w:rPr/>
              <w:t>Yes</w:t>
            </w:r>
          </w:p>
        </w:tc>
        <w:tc>
          <w:tcPr>
            <w:tcW w:w="82" w:type="dxa"/>
            <w:tcBorders/>
            <w:shd w:fill="auto" w:val="clear"/>
            <w:vAlign w:val="bottom"/>
          </w:tcPr>
          <w:p>
            <w:pPr>
              <w:pStyle w:val="TableContents"/>
              <w:spacing w:before="0" w:after="283"/>
              <w:rPr/>
            </w:pPr>
            <w:r>
              <w:rPr/>
              <w:t> </w:t>
            </w:r>
          </w:p>
        </w:tc>
        <w:tc>
          <w:tcPr>
            <w:tcW w:w="1030" w:type="dxa"/>
            <w:tcBorders/>
            <w:shd w:fill="auto" w:val="clear"/>
          </w:tcPr>
          <w:p>
            <w:pPr>
              <w:pStyle w:val="TableContents"/>
              <w:spacing w:before="0" w:after="283"/>
              <w:jc w:val="center"/>
              <w:rPr/>
            </w:pPr>
            <w:r>
              <w:rPr/>
              <w:t>No</w:t>
            </w:r>
          </w:p>
        </w:tc>
      </w:tr>
      <w:tr>
        <w:trPr/>
        <w:tc>
          <w:tcPr>
            <w:tcW w:w="1170" w:type="dxa"/>
            <w:tcBorders/>
            <w:shd w:fill="CCEEFF" w:val="clear"/>
          </w:tcPr>
          <w:p>
            <w:pPr>
              <w:pStyle w:val="TableContents"/>
              <w:spacing w:before="0" w:after="283"/>
              <w:jc w:val="left"/>
              <w:rPr/>
            </w:pPr>
            <w:r>
              <w:rPr/>
              <w:t>Idaho</w:t>
            </w:r>
          </w:p>
        </w:tc>
        <w:tc>
          <w:tcPr>
            <w:tcW w:w="82" w:type="dxa"/>
            <w:tcBorders/>
            <w:shd w:fill="CCEEFF" w:val="clear"/>
            <w:vAlign w:val="bottom"/>
          </w:tcPr>
          <w:p>
            <w:pPr>
              <w:pStyle w:val="TableContents"/>
              <w:spacing w:before="0" w:after="283"/>
              <w:rPr/>
            </w:pPr>
            <w:r>
              <w:rPr/>
              <w:t> </w:t>
            </w:r>
          </w:p>
        </w:tc>
        <w:tc>
          <w:tcPr>
            <w:tcW w:w="1353" w:type="dxa"/>
            <w:tcBorders/>
            <w:shd w:fill="CCEEFF" w:val="clear"/>
          </w:tcPr>
          <w:p>
            <w:pPr>
              <w:pStyle w:val="TableContents"/>
              <w:spacing w:before="0" w:after="0"/>
              <w:ind w:left="450" w:right="0" w:hanging="225"/>
              <w:jc w:val="center"/>
              <w:rPr/>
            </w:pPr>
            <w:r>
              <w:rPr/>
              <w:t>No cap</w:t>
            </w:r>
          </w:p>
        </w:tc>
        <w:tc>
          <w:tcPr>
            <w:tcW w:w="82" w:type="dxa"/>
            <w:tcBorders/>
            <w:shd w:fill="CCEEFF" w:val="clear"/>
            <w:vAlign w:val="bottom"/>
          </w:tcPr>
          <w:p>
            <w:pPr>
              <w:pStyle w:val="TableContents"/>
              <w:spacing w:before="0" w:after="283"/>
              <w:rPr/>
            </w:pPr>
            <w:r>
              <w:rPr/>
              <w:t> </w:t>
            </w:r>
          </w:p>
        </w:tc>
        <w:tc>
          <w:tcPr>
            <w:tcW w:w="1042" w:type="dxa"/>
            <w:tcBorders/>
            <w:shd w:fill="CCEEFF" w:val="clear"/>
          </w:tcPr>
          <w:p>
            <w:pPr>
              <w:pStyle w:val="TableContents"/>
              <w:spacing w:before="0" w:after="283"/>
              <w:jc w:val="center"/>
              <w:rPr/>
            </w:pPr>
            <w:r>
              <w:rPr/>
              <w:t>Yes</w:t>
            </w:r>
          </w:p>
        </w:tc>
        <w:tc>
          <w:tcPr>
            <w:tcW w:w="82" w:type="dxa"/>
            <w:tcBorders/>
            <w:shd w:fill="CCEEFF" w:val="clear"/>
            <w:vAlign w:val="bottom"/>
          </w:tcPr>
          <w:p>
            <w:pPr>
              <w:pStyle w:val="TableContents"/>
              <w:spacing w:before="0" w:after="283"/>
              <w:rPr/>
            </w:pPr>
            <w:r>
              <w:rPr/>
              <w:t> </w:t>
            </w:r>
          </w:p>
        </w:tc>
        <w:tc>
          <w:tcPr>
            <w:tcW w:w="1568" w:type="dxa"/>
            <w:tcBorders/>
            <w:shd w:fill="CCEEFF" w:val="clear"/>
          </w:tcPr>
          <w:p>
            <w:pPr>
              <w:pStyle w:val="TableContents"/>
              <w:spacing w:before="0" w:after="283"/>
              <w:jc w:val="center"/>
              <w:rPr/>
            </w:pPr>
            <w:r>
              <w:rPr/>
              <w:t>No</w:t>
            </w:r>
          </w:p>
        </w:tc>
        <w:tc>
          <w:tcPr>
            <w:tcW w:w="82" w:type="dxa"/>
            <w:tcBorders/>
            <w:shd w:fill="CCEEFF" w:val="clear"/>
            <w:vAlign w:val="bottom"/>
          </w:tcPr>
          <w:p>
            <w:pPr>
              <w:pStyle w:val="TableContents"/>
              <w:spacing w:before="0" w:after="283"/>
              <w:rPr/>
            </w:pPr>
            <w:r>
              <w:rPr/>
              <w:t> </w:t>
            </w:r>
          </w:p>
        </w:tc>
        <w:tc>
          <w:tcPr>
            <w:tcW w:w="1360" w:type="dxa"/>
            <w:tcBorders/>
            <w:shd w:fill="CCEEFF" w:val="clear"/>
          </w:tcPr>
          <w:p>
            <w:pPr>
              <w:pStyle w:val="TableContents"/>
              <w:spacing w:before="0" w:after="283"/>
              <w:jc w:val="center"/>
              <w:rPr/>
            </w:pPr>
            <w:r>
              <w:rPr/>
              <w:t>$1,000</w:t>
            </w:r>
          </w:p>
        </w:tc>
        <w:tc>
          <w:tcPr>
            <w:tcW w:w="81" w:type="dxa"/>
            <w:tcBorders/>
            <w:shd w:fill="CCEEFF" w:val="clear"/>
            <w:vAlign w:val="bottom"/>
          </w:tcPr>
          <w:p>
            <w:pPr>
              <w:pStyle w:val="TableContents"/>
              <w:spacing w:before="0" w:after="283"/>
              <w:rPr/>
            </w:pPr>
            <w:r>
              <w:rPr/>
              <w:t> </w:t>
            </w:r>
          </w:p>
        </w:tc>
        <w:tc>
          <w:tcPr>
            <w:tcW w:w="1092" w:type="dxa"/>
            <w:tcBorders/>
            <w:shd w:fill="CCEEFF" w:val="clear"/>
          </w:tcPr>
          <w:p>
            <w:pPr>
              <w:pStyle w:val="TableContents"/>
              <w:spacing w:before="0" w:after="283"/>
              <w:jc w:val="center"/>
              <w:rPr/>
            </w:pPr>
            <w:r>
              <w:rPr/>
              <w:t>37 months</w:t>
            </w:r>
          </w:p>
        </w:tc>
        <w:tc>
          <w:tcPr>
            <w:tcW w:w="82" w:type="dxa"/>
            <w:tcBorders/>
            <w:shd w:fill="CCEEFF" w:val="clear"/>
            <w:vAlign w:val="bottom"/>
          </w:tcPr>
          <w:p>
            <w:pPr>
              <w:pStyle w:val="TableContents"/>
              <w:spacing w:before="0" w:after="283"/>
              <w:rPr/>
            </w:pPr>
            <w:r>
              <w:rPr/>
              <w:t> </w:t>
            </w:r>
          </w:p>
        </w:tc>
        <w:tc>
          <w:tcPr>
            <w:tcW w:w="1017" w:type="dxa"/>
            <w:tcBorders/>
            <w:shd w:fill="CCEEFF" w:val="clear"/>
          </w:tcPr>
          <w:p>
            <w:pPr>
              <w:pStyle w:val="TableContents"/>
              <w:spacing w:before="0" w:after="283"/>
              <w:jc w:val="center"/>
              <w:rPr/>
            </w:pPr>
            <w:r>
              <w:rPr/>
              <w:t>No</w:t>
            </w:r>
          </w:p>
        </w:tc>
        <w:tc>
          <w:tcPr>
            <w:tcW w:w="82" w:type="dxa"/>
            <w:tcBorders/>
            <w:shd w:fill="CCEEFF" w:val="clear"/>
            <w:vAlign w:val="bottom"/>
          </w:tcPr>
          <w:p>
            <w:pPr>
              <w:pStyle w:val="TableContents"/>
              <w:spacing w:before="0" w:after="283"/>
              <w:rPr/>
            </w:pPr>
            <w:r>
              <w:rPr/>
              <w:t> </w:t>
            </w:r>
          </w:p>
        </w:tc>
        <w:tc>
          <w:tcPr>
            <w:tcW w:w="1030" w:type="dxa"/>
            <w:tcBorders/>
            <w:shd w:fill="CCEEFF" w:val="clear"/>
          </w:tcPr>
          <w:p>
            <w:pPr>
              <w:pStyle w:val="TableContents"/>
              <w:spacing w:before="0" w:after="283"/>
              <w:jc w:val="center"/>
              <w:rPr/>
            </w:pPr>
            <w:r>
              <w:rPr/>
              <w:t>No</w:t>
            </w:r>
          </w:p>
        </w:tc>
      </w:tr>
      <w:tr>
        <w:trPr/>
        <w:tc>
          <w:tcPr>
            <w:tcW w:w="1170" w:type="dxa"/>
            <w:tcBorders/>
            <w:shd w:fill="auto" w:val="clear"/>
          </w:tcPr>
          <w:p>
            <w:pPr>
              <w:pStyle w:val="TableContents"/>
              <w:spacing w:before="0" w:after="283"/>
              <w:jc w:val="left"/>
              <w:rPr/>
            </w:pPr>
            <w:r>
              <w:rPr/>
              <w:t>Kansas</w:t>
            </w:r>
          </w:p>
        </w:tc>
        <w:tc>
          <w:tcPr>
            <w:tcW w:w="82"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0"/>
              <w:ind w:left="225" w:right="0" w:hanging="225"/>
              <w:jc w:val="center"/>
              <w:rPr/>
            </w:pPr>
            <w:r>
              <w:rPr/>
              <w:t>15% of amount advanced.</w:t>
            </w:r>
          </w:p>
        </w:tc>
        <w:tc>
          <w:tcPr>
            <w:tcW w:w="82" w:type="dxa"/>
            <w:tcBorders/>
            <w:shd w:fill="auto" w:val="clear"/>
            <w:vAlign w:val="bottom"/>
          </w:tcPr>
          <w:p>
            <w:pPr>
              <w:pStyle w:val="TableContents"/>
              <w:spacing w:before="0" w:after="283"/>
              <w:rPr/>
            </w:pPr>
            <w:r>
              <w:rPr/>
              <w:t> </w:t>
            </w:r>
          </w:p>
        </w:tc>
        <w:tc>
          <w:tcPr>
            <w:tcW w:w="1042" w:type="dxa"/>
            <w:tcBorders/>
            <w:shd w:fill="auto" w:val="clear"/>
          </w:tcPr>
          <w:p>
            <w:pPr>
              <w:pStyle w:val="TableContents"/>
              <w:spacing w:before="0" w:after="283"/>
              <w:jc w:val="center"/>
              <w:rPr/>
            </w:pPr>
            <w:r>
              <w:rPr/>
              <w:t>No</w:t>
            </w:r>
          </w:p>
        </w:tc>
        <w:tc>
          <w:tcPr>
            <w:tcW w:w="82" w:type="dxa"/>
            <w:tcBorders/>
            <w:shd w:fill="auto" w:val="clear"/>
            <w:vAlign w:val="bottom"/>
          </w:tcPr>
          <w:p>
            <w:pPr>
              <w:pStyle w:val="TableContents"/>
              <w:spacing w:before="0" w:after="283"/>
              <w:rPr/>
            </w:pPr>
            <w:r>
              <w:rPr/>
              <w:t> </w:t>
            </w:r>
          </w:p>
        </w:tc>
        <w:tc>
          <w:tcPr>
            <w:tcW w:w="1568" w:type="dxa"/>
            <w:tcBorders/>
            <w:shd w:fill="auto" w:val="clear"/>
          </w:tcPr>
          <w:p>
            <w:pPr>
              <w:pStyle w:val="TableContents"/>
              <w:spacing w:before="0" w:after="283"/>
              <w:jc w:val="center"/>
              <w:rPr/>
            </w:pPr>
            <w:r>
              <w:rPr/>
              <w:t>No</w:t>
            </w:r>
          </w:p>
        </w:tc>
        <w:tc>
          <w:tcPr>
            <w:tcW w:w="82" w:type="dxa"/>
            <w:tcBorders/>
            <w:shd w:fill="auto" w:val="clear"/>
            <w:vAlign w:val="bottom"/>
          </w:tcPr>
          <w:p>
            <w:pPr>
              <w:pStyle w:val="TableContents"/>
              <w:spacing w:before="0" w:after="283"/>
              <w:rPr/>
            </w:pPr>
            <w:r>
              <w:rPr/>
              <w:t> </w:t>
            </w:r>
          </w:p>
        </w:tc>
        <w:tc>
          <w:tcPr>
            <w:tcW w:w="1360" w:type="dxa"/>
            <w:tcBorders/>
            <w:shd w:fill="auto" w:val="clear"/>
          </w:tcPr>
          <w:p>
            <w:pPr>
              <w:pStyle w:val="TableContents"/>
              <w:spacing w:before="0" w:after="283"/>
              <w:jc w:val="center"/>
              <w:rPr/>
            </w:pPr>
            <w:r>
              <w:rPr/>
              <w:t>$500</w:t>
            </w:r>
          </w:p>
        </w:tc>
        <w:tc>
          <w:tcPr>
            <w:tcW w:w="81" w:type="dxa"/>
            <w:tcBorders/>
            <w:shd w:fill="auto" w:val="clear"/>
            <w:vAlign w:val="bottom"/>
          </w:tcPr>
          <w:p>
            <w:pPr>
              <w:pStyle w:val="TableContents"/>
              <w:spacing w:before="0" w:after="283"/>
              <w:rPr/>
            </w:pPr>
            <w:r>
              <w:rPr/>
              <w:t> </w:t>
            </w:r>
          </w:p>
        </w:tc>
        <w:tc>
          <w:tcPr>
            <w:tcW w:w="1092" w:type="dxa"/>
            <w:tcBorders/>
            <w:shd w:fill="auto" w:val="clear"/>
          </w:tcPr>
          <w:p>
            <w:pPr>
              <w:pStyle w:val="TableContents"/>
              <w:spacing w:before="0" w:after="283"/>
              <w:jc w:val="center"/>
              <w:rPr/>
            </w:pPr>
            <w:r>
              <w:rPr/>
              <w:t>30 days</w:t>
            </w:r>
          </w:p>
        </w:tc>
        <w:tc>
          <w:tcPr>
            <w:tcW w:w="8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center"/>
              <w:rPr/>
            </w:pPr>
            <w:r>
              <w:rPr/>
              <w:t>No</w:t>
            </w:r>
          </w:p>
        </w:tc>
        <w:tc>
          <w:tcPr>
            <w:tcW w:w="82" w:type="dxa"/>
            <w:tcBorders/>
            <w:shd w:fill="auto" w:val="clear"/>
            <w:vAlign w:val="bottom"/>
          </w:tcPr>
          <w:p>
            <w:pPr>
              <w:pStyle w:val="TableContents"/>
              <w:spacing w:before="0" w:after="283"/>
              <w:rPr/>
            </w:pPr>
            <w:r>
              <w:rPr/>
              <w:t> </w:t>
            </w:r>
          </w:p>
        </w:tc>
        <w:tc>
          <w:tcPr>
            <w:tcW w:w="1030" w:type="dxa"/>
            <w:tcBorders/>
            <w:shd w:fill="auto" w:val="clear"/>
          </w:tcPr>
          <w:p>
            <w:pPr>
              <w:pStyle w:val="TableContents"/>
              <w:spacing w:before="0" w:after="283"/>
              <w:jc w:val="center"/>
              <w:rPr/>
            </w:pPr>
            <w:r>
              <w:rPr/>
              <w:t>No</w:t>
            </w:r>
          </w:p>
        </w:tc>
      </w:tr>
      <w:tr>
        <w:trPr/>
        <w:tc>
          <w:tcPr>
            <w:tcW w:w="1170" w:type="dxa"/>
            <w:tcBorders/>
            <w:shd w:fill="CCEEFF" w:val="clear"/>
          </w:tcPr>
          <w:p>
            <w:pPr>
              <w:pStyle w:val="TableContents"/>
              <w:spacing w:before="0" w:after="283"/>
              <w:jc w:val="left"/>
              <w:rPr/>
            </w:pPr>
            <w:r>
              <w:rPr/>
              <w:t>Louisiana</w:t>
            </w:r>
          </w:p>
        </w:tc>
        <w:tc>
          <w:tcPr>
            <w:tcW w:w="82"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0"/>
              <w:ind w:left="225" w:right="0" w:hanging="225"/>
              <w:jc w:val="center"/>
              <w:rPr/>
            </w:pPr>
            <w:r>
              <w:rPr/>
              <w:t>16.75% of face amount of check ($45 maximum)</w:t>
            </w:r>
          </w:p>
        </w:tc>
        <w:tc>
          <w:tcPr>
            <w:tcW w:w="82" w:type="dxa"/>
            <w:tcBorders/>
            <w:shd w:fill="CCEEFF" w:val="clear"/>
            <w:vAlign w:val="bottom"/>
          </w:tcPr>
          <w:p>
            <w:pPr>
              <w:pStyle w:val="TableContents"/>
              <w:spacing w:before="0" w:after="283"/>
              <w:rPr/>
            </w:pPr>
            <w:r>
              <w:rPr/>
              <w:t> </w:t>
            </w:r>
          </w:p>
        </w:tc>
        <w:tc>
          <w:tcPr>
            <w:tcW w:w="1042" w:type="dxa"/>
            <w:tcBorders/>
            <w:shd w:fill="CCEEFF" w:val="clear"/>
          </w:tcPr>
          <w:p>
            <w:pPr>
              <w:pStyle w:val="TableContents"/>
              <w:spacing w:before="0" w:after="283"/>
              <w:jc w:val="center"/>
              <w:rPr/>
            </w:pPr>
            <w:r>
              <w:rPr/>
              <w:t>Yes</w:t>
            </w:r>
          </w:p>
        </w:tc>
        <w:tc>
          <w:tcPr>
            <w:tcW w:w="82" w:type="dxa"/>
            <w:tcBorders/>
            <w:shd w:fill="CCEEFF" w:val="clear"/>
            <w:vAlign w:val="bottom"/>
          </w:tcPr>
          <w:p>
            <w:pPr>
              <w:pStyle w:val="TableContents"/>
              <w:spacing w:before="0" w:after="283"/>
              <w:rPr/>
            </w:pPr>
            <w:r>
              <w:rPr/>
              <w:t> </w:t>
            </w:r>
          </w:p>
        </w:tc>
        <w:tc>
          <w:tcPr>
            <w:tcW w:w="1568" w:type="dxa"/>
            <w:tcBorders/>
            <w:shd w:fill="CCEEFF" w:val="clear"/>
          </w:tcPr>
          <w:p>
            <w:pPr>
              <w:pStyle w:val="TableContents"/>
              <w:spacing w:before="0" w:after="283"/>
              <w:jc w:val="center"/>
              <w:rPr/>
            </w:pPr>
            <w:r>
              <w:rPr/>
              <w:t>No</w:t>
            </w:r>
          </w:p>
        </w:tc>
        <w:tc>
          <w:tcPr>
            <w:tcW w:w="82" w:type="dxa"/>
            <w:tcBorders/>
            <w:shd w:fill="CCEEFF" w:val="clear"/>
            <w:vAlign w:val="bottom"/>
          </w:tcPr>
          <w:p>
            <w:pPr>
              <w:pStyle w:val="TableContents"/>
              <w:spacing w:before="0" w:after="283"/>
              <w:rPr/>
            </w:pPr>
            <w:r>
              <w:rPr/>
              <w:t> </w:t>
            </w:r>
          </w:p>
        </w:tc>
        <w:tc>
          <w:tcPr>
            <w:tcW w:w="1360" w:type="dxa"/>
            <w:tcBorders/>
            <w:shd w:fill="CCEEFF" w:val="clear"/>
          </w:tcPr>
          <w:p>
            <w:pPr>
              <w:pStyle w:val="TableContents"/>
              <w:spacing w:before="0" w:after="283"/>
              <w:jc w:val="center"/>
              <w:rPr/>
            </w:pPr>
            <w:r>
              <w:rPr/>
              <w:t>$350</w:t>
            </w:r>
          </w:p>
        </w:tc>
        <w:tc>
          <w:tcPr>
            <w:tcW w:w="81" w:type="dxa"/>
            <w:tcBorders/>
            <w:shd w:fill="CCEEFF" w:val="clear"/>
            <w:vAlign w:val="bottom"/>
          </w:tcPr>
          <w:p>
            <w:pPr>
              <w:pStyle w:val="TableContents"/>
              <w:spacing w:before="0" w:after="283"/>
              <w:rPr/>
            </w:pPr>
            <w:r>
              <w:rPr/>
              <w:t> </w:t>
            </w:r>
          </w:p>
        </w:tc>
        <w:tc>
          <w:tcPr>
            <w:tcW w:w="1092" w:type="dxa"/>
            <w:tcBorders/>
            <w:shd w:fill="CCEEFF" w:val="clear"/>
          </w:tcPr>
          <w:p>
            <w:pPr>
              <w:pStyle w:val="TableContents"/>
              <w:spacing w:before="0" w:after="283"/>
              <w:jc w:val="center"/>
              <w:rPr/>
            </w:pPr>
            <w:r>
              <w:rPr/>
              <w:t>30 days</w:t>
            </w:r>
          </w:p>
        </w:tc>
        <w:tc>
          <w:tcPr>
            <w:tcW w:w="82" w:type="dxa"/>
            <w:tcBorders/>
            <w:shd w:fill="CCEEFF" w:val="clear"/>
            <w:vAlign w:val="bottom"/>
          </w:tcPr>
          <w:p>
            <w:pPr>
              <w:pStyle w:val="TableContents"/>
              <w:spacing w:before="0" w:after="283"/>
              <w:rPr/>
            </w:pPr>
            <w:r>
              <w:rPr/>
              <w:t> </w:t>
            </w:r>
          </w:p>
        </w:tc>
        <w:tc>
          <w:tcPr>
            <w:tcW w:w="1017" w:type="dxa"/>
            <w:tcBorders/>
            <w:shd w:fill="CCEEFF" w:val="clear"/>
          </w:tcPr>
          <w:p>
            <w:pPr>
              <w:pStyle w:val="TableContents"/>
              <w:spacing w:before="0" w:after="283"/>
              <w:jc w:val="center"/>
              <w:rPr/>
            </w:pPr>
            <w:r>
              <w:rPr/>
              <w:t>No</w:t>
            </w:r>
          </w:p>
        </w:tc>
        <w:tc>
          <w:tcPr>
            <w:tcW w:w="82" w:type="dxa"/>
            <w:tcBorders/>
            <w:shd w:fill="CCEEFF" w:val="clear"/>
            <w:vAlign w:val="bottom"/>
          </w:tcPr>
          <w:p>
            <w:pPr>
              <w:pStyle w:val="TableContents"/>
              <w:spacing w:before="0" w:after="283"/>
              <w:rPr/>
            </w:pPr>
            <w:r>
              <w:rPr/>
              <w:t> </w:t>
            </w:r>
          </w:p>
        </w:tc>
        <w:tc>
          <w:tcPr>
            <w:tcW w:w="1030" w:type="dxa"/>
            <w:tcBorders/>
            <w:shd w:fill="CCEEFF" w:val="clear"/>
          </w:tcPr>
          <w:p>
            <w:pPr>
              <w:pStyle w:val="TableContents"/>
              <w:spacing w:before="0" w:after="283"/>
              <w:jc w:val="center"/>
              <w:rPr/>
            </w:pPr>
            <w:r>
              <w:rPr/>
              <w:t>No</w:t>
            </w:r>
          </w:p>
        </w:tc>
      </w:tr>
      <w:tr>
        <w:trPr/>
        <w:tc>
          <w:tcPr>
            <w:tcW w:w="1170" w:type="dxa"/>
            <w:tcBorders/>
            <w:shd w:fill="auto" w:val="clear"/>
          </w:tcPr>
          <w:p>
            <w:pPr>
              <w:pStyle w:val="TableContents"/>
              <w:spacing w:before="0" w:after="283"/>
              <w:jc w:val="left"/>
              <w:rPr/>
            </w:pPr>
            <w:r>
              <w:rPr/>
              <w:t>Nebraska</w:t>
            </w:r>
          </w:p>
        </w:tc>
        <w:tc>
          <w:tcPr>
            <w:tcW w:w="82"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0"/>
              <w:ind w:left="225" w:right="0" w:hanging="225"/>
              <w:jc w:val="center"/>
              <w:rPr/>
            </w:pPr>
            <w:r>
              <w:rPr/>
              <w:t>15% of face amount of check</w:t>
            </w:r>
          </w:p>
        </w:tc>
        <w:tc>
          <w:tcPr>
            <w:tcW w:w="82" w:type="dxa"/>
            <w:tcBorders/>
            <w:shd w:fill="auto" w:val="clear"/>
            <w:vAlign w:val="bottom"/>
          </w:tcPr>
          <w:p>
            <w:pPr>
              <w:pStyle w:val="TableContents"/>
              <w:spacing w:before="0" w:after="283"/>
              <w:rPr/>
            </w:pPr>
            <w:r>
              <w:rPr/>
              <w:t> </w:t>
            </w:r>
          </w:p>
        </w:tc>
        <w:tc>
          <w:tcPr>
            <w:tcW w:w="1042" w:type="dxa"/>
            <w:tcBorders/>
            <w:shd w:fill="auto" w:val="clear"/>
          </w:tcPr>
          <w:p>
            <w:pPr>
              <w:pStyle w:val="TableContents"/>
              <w:spacing w:before="0" w:after="283"/>
              <w:jc w:val="center"/>
              <w:rPr/>
            </w:pPr>
            <w:r>
              <w:rPr/>
              <w:t>No</w:t>
            </w:r>
          </w:p>
        </w:tc>
        <w:tc>
          <w:tcPr>
            <w:tcW w:w="82" w:type="dxa"/>
            <w:tcBorders/>
            <w:shd w:fill="auto" w:val="clear"/>
            <w:vAlign w:val="bottom"/>
          </w:tcPr>
          <w:p>
            <w:pPr>
              <w:pStyle w:val="TableContents"/>
              <w:spacing w:before="0" w:after="283"/>
              <w:rPr/>
            </w:pPr>
            <w:r>
              <w:rPr/>
              <w:t> </w:t>
            </w:r>
          </w:p>
        </w:tc>
        <w:tc>
          <w:tcPr>
            <w:tcW w:w="1568" w:type="dxa"/>
            <w:tcBorders/>
            <w:shd w:fill="auto" w:val="clear"/>
          </w:tcPr>
          <w:p>
            <w:pPr>
              <w:pStyle w:val="TableContents"/>
              <w:spacing w:before="0" w:after="283"/>
              <w:jc w:val="center"/>
              <w:rPr/>
            </w:pPr>
            <w:r>
              <w:rPr/>
              <w:t>Yes</w:t>
            </w:r>
          </w:p>
        </w:tc>
        <w:tc>
          <w:tcPr>
            <w:tcW w:w="82" w:type="dxa"/>
            <w:tcBorders/>
            <w:shd w:fill="auto" w:val="clear"/>
            <w:vAlign w:val="bottom"/>
          </w:tcPr>
          <w:p>
            <w:pPr>
              <w:pStyle w:val="TableContents"/>
              <w:spacing w:before="0" w:after="283"/>
              <w:rPr/>
            </w:pPr>
            <w:r>
              <w:rPr/>
              <w:t> </w:t>
            </w:r>
          </w:p>
        </w:tc>
        <w:tc>
          <w:tcPr>
            <w:tcW w:w="1360" w:type="dxa"/>
            <w:tcBorders/>
            <w:shd w:fill="auto" w:val="clear"/>
          </w:tcPr>
          <w:p>
            <w:pPr>
              <w:pStyle w:val="TableContents"/>
              <w:spacing w:before="0" w:after="283"/>
              <w:jc w:val="center"/>
              <w:rPr/>
            </w:pPr>
            <w:r>
              <w:rPr/>
              <w:t>$500 (maximum check)</w:t>
            </w:r>
          </w:p>
        </w:tc>
        <w:tc>
          <w:tcPr>
            <w:tcW w:w="81" w:type="dxa"/>
            <w:tcBorders/>
            <w:shd w:fill="auto" w:val="clear"/>
            <w:vAlign w:val="bottom"/>
          </w:tcPr>
          <w:p>
            <w:pPr>
              <w:pStyle w:val="TableContents"/>
              <w:spacing w:before="0" w:after="283"/>
              <w:rPr/>
            </w:pPr>
            <w:r>
              <w:rPr/>
              <w:t> </w:t>
            </w:r>
          </w:p>
        </w:tc>
        <w:tc>
          <w:tcPr>
            <w:tcW w:w="1092" w:type="dxa"/>
            <w:tcBorders/>
            <w:shd w:fill="auto" w:val="clear"/>
          </w:tcPr>
          <w:p>
            <w:pPr>
              <w:pStyle w:val="TableContents"/>
              <w:spacing w:before="0" w:after="283"/>
              <w:jc w:val="center"/>
              <w:rPr/>
            </w:pPr>
            <w:r>
              <w:rPr/>
              <w:t>34 days</w:t>
            </w:r>
          </w:p>
        </w:tc>
        <w:tc>
          <w:tcPr>
            <w:tcW w:w="8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center"/>
              <w:rPr/>
            </w:pPr>
            <w:r>
              <w:rPr/>
              <w:t>No</w:t>
            </w:r>
          </w:p>
        </w:tc>
        <w:tc>
          <w:tcPr>
            <w:tcW w:w="82" w:type="dxa"/>
            <w:tcBorders/>
            <w:shd w:fill="auto" w:val="clear"/>
            <w:vAlign w:val="bottom"/>
          </w:tcPr>
          <w:p>
            <w:pPr>
              <w:pStyle w:val="TableContents"/>
              <w:spacing w:before="0" w:after="283"/>
              <w:rPr/>
            </w:pPr>
            <w:r>
              <w:rPr/>
              <w:t> </w:t>
            </w:r>
          </w:p>
        </w:tc>
        <w:tc>
          <w:tcPr>
            <w:tcW w:w="1030" w:type="dxa"/>
            <w:tcBorders/>
            <w:shd w:fill="auto" w:val="clear"/>
          </w:tcPr>
          <w:p>
            <w:pPr>
              <w:pStyle w:val="TableContents"/>
              <w:spacing w:before="0" w:after="283"/>
              <w:jc w:val="center"/>
              <w:rPr/>
            </w:pPr>
            <w:r>
              <w:rPr/>
              <w:t>No</w:t>
            </w:r>
          </w:p>
        </w:tc>
      </w:tr>
      <w:tr>
        <w:trPr/>
        <w:tc>
          <w:tcPr>
            <w:tcW w:w="1170" w:type="dxa"/>
            <w:tcBorders/>
            <w:shd w:fill="CCEEFF" w:val="clear"/>
          </w:tcPr>
          <w:p>
            <w:pPr>
              <w:pStyle w:val="TableContents"/>
              <w:spacing w:before="0" w:after="283"/>
              <w:jc w:val="left"/>
              <w:rPr/>
            </w:pPr>
            <w:r>
              <w:rPr/>
              <w:t>Nevada</w:t>
            </w:r>
          </w:p>
        </w:tc>
        <w:tc>
          <w:tcPr>
            <w:tcW w:w="82" w:type="dxa"/>
            <w:tcBorders/>
            <w:shd w:fill="CCEEFF" w:val="clear"/>
            <w:vAlign w:val="bottom"/>
          </w:tcPr>
          <w:p>
            <w:pPr>
              <w:pStyle w:val="TableContents"/>
              <w:spacing w:before="0" w:after="283"/>
              <w:rPr/>
            </w:pPr>
            <w:r>
              <w:rPr/>
              <w:t> </w:t>
            </w:r>
          </w:p>
        </w:tc>
        <w:tc>
          <w:tcPr>
            <w:tcW w:w="1353" w:type="dxa"/>
            <w:tcBorders/>
            <w:shd w:fill="CCEEFF" w:val="clear"/>
          </w:tcPr>
          <w:p>
            <w:pPr>
              <w:pStyle w:val="TableContents"/>
              <w:spacing w:before="0" w:after="0"/>
              <w:ind w:left="450" w:right="0" w:hanging="225"/>
              <w:jc w:val="center"/>
              <w:rPr/>
            </w:pPr>
            <w:r>
              <w:rPr/>
              <w:t>No cap</w:t>
            </w:r>
          </w:p>
        </w:tc>
        <w:tc>
          <w:tcPr>
            <w:tcW w:w="82" w:type="dxa"/>
            <w:tcBorders/>
            <w:shd w:fill="CCEEFF" w:val="clear"/>
            <w:vAlign w:val="bottom"/>
          </w:tcPr>
          <w:p>
            <w:pPr>
              <w:pStyle w:val="TableContents"/>
              <w:spacing w:before="0" w:after="283"/>
              <w:rPr/>
            </w:pPr>
            <w:r>
              <w:rPr/>
              <w:t> </w:t>
            </w:r>
          </w:p>
        </w:tc>
        <w:tc>
          <w:tcPr>
            <w:tcW w:w="1042" w:type="dxa"/>
            <w:tcBorders/>
            <w:shd w:fill="CCEEFF" w:val="clear"/>
          </w:tcPr>
          <w:p>
            <w:pPr>
              <w:pStyle w:val="TableContents"/>
              <w:spacing w:before="0" w:after="283"/>
              <w:jc w:val="center"/>
              <w:rPr/>
            </w:pPr>
            <w:r>
              <w:rPr/>
              <w:t>Yes</w:t>
            </w:r>
          </w:p>
        </w:tc>
        <w:tc>
          <w:tcPr>
            <w:tcW w:w="82" w:type="dxa"/>
            <w:tcBorders/>
            <w:shd w:fill="CCEEFF" w:val="clear"/>
            <w:vAlign w:val="bottom"/>
          </w:tcPr>
          <w:p>
            <w:pPr>
              <w:pStyle w:val="TableContents"/>
              <w:spacing w:before="0" w:after="283"/>
              <w:rPr/>
            </w:pPr>
            <w:r>
              <w:rPr/>
              <w:t> </w:t>
            </w:r>
          </w:p>
        </w:tc>
        <w:tc>
          <w:tcPr>
            <w:tcW w:w="1568" w:type="dxa"/>
            <w:tcBorders/>
            <w:shd w:fill="CCEEFF" w:val="clear"/>
          </w:tcPr>
          <w:p>
            <w:pPr>
              <w:pStyle w:val="TableContents"/>
              <w:spacing w:before="0" w:after="283"/>
              <w:jc w:val="center"/>
              <w:rPr/>
            </w:pPr>
            <w:r>
              <w:rPr/>
              <w:t>No</w:t>
            </w:r>
          </w:p>
        </w:tc>
        <w:tc>
          <w:tcPr>
            <w:tcW w:w="82" w:type="dxa"/>
            <w:tcBorders/>
            <w:shd w:fill="CCEEFF" w:val="clear"/>
            <w:vAlign w:val="bottom"/>
          </w:tcPr>
          <w:p>
            <w:pPr>
              <w:pStyle w:val="TableContents"/>
              <w:spacing w:before="0" w:after="283"/>
              <w:rPr/>
            </w:pPr>
            <w:r>
              <w:rPr/>
              <w:t> </w:t>
            </w:r>
          </w:p>
        </w:tc>
        <w:tc>
          <w:tcPr>
            <w:tcW w:w="1360" w:type="dxa"/>
            <w:tcBorders/>
            <w:shd w:fill="CCEEFF" w:val="clear"/>
          </w:tcPr>
          <w:p>
            <w:pPr>
              <w:pStyle w:val="TableContents"/>
              <w:spacing w:before="0" w:after="283"/>
              <w:jc w:val="center"/>
              <w:rPr/>
            </w:pPr>
            <w:r>
              <w:rPr/>
              <w:t>25% of gross monthly income</w:t>
            </w:r>
          </w:p>
        </w:tc>
        <w:tc>
          <w:tcPr>
            <w:tcW w:w="81" w:type="dxa"/>
            <w:tcBorders/>
            <w:shd w:fill="CCEEFF" w:val="clear"/>
            <w:vAlign w:val="bottom"/>
          </w:tcPr>
          <w:p>
            <w:pPr>
              <w:pStyle w:val="TableContents"/>
              <w:spacing w:before="0" w:after="283"/>
              <w:rPr/>
            </w:pPr>
            <w:r>
              <w:rPr/>
              <w:t> </w:t>
            </w:r>
          </w:p>
        </w:tc>
        <w:tc>
          <w:tcPr>
            <w:tcW w:w="1092" w:type="dxa"/>
            <w:tcBorders/>
            <w:shd w:fill="CCEEFF" w:val="clear"/>
          </w:tcPr>
          <w:p>
            <w:pPr>
              <w:pStyle w:val="TableContents"/>
              <w:spacing w:before="0" w:after="283"/>
              <w:jc w:val="center"/>
              <w:rPr/>
            </w:pPr>
            <w:r>
              <w:rPr/>
              <w:t>None</w:t>
            </w:r>
          </w:p>
        </w:tc>
        <w:tc>
          <w:tcPr>
            <w:tcW w:w="82" w:type="dxa"/>
            <w:tcBorders/>
            <w:shd w:fill="CCEEFF" w:val="clear"/>
            <w:vAlign w:val="bottom"/>
          </w:tcPr>
          <w:p>
            <w:pPr>
              <w:pStyle w:val="TableContents"/>
              <w:spacing w:before="0" w:after="283"/>
              <w:rPr/>
            </w:pPr>
            <w:r>
              <w:rPr/>
              <w:t> </w:t>
            </w:r>
          </w:p>
        </w:tc>
        <w:tc>
          <w:tcPr>
            <w:tcW w:w="1017" w:type="dxa"/>
            <w:tcBorders/>
            <w:shd w:fill="CCEEFF" w:val="clear"/>
          </w:tcPr>
          <w:p>
            <w:pPr>
              <w:pStyle w:val="TableContents"/>
              <w:spacing w:before="0" w:after="283"/>
              <w:jc w:val="center"/>
              <w:rPr/>
            </w:pPr>
            <w:r>
              <w:rPr/>
              <w:t>No</w:t>
            </w:r>
          </w:p>
        </w:tc>
        <w:tc>
          <w:tcPr>
            <w:tcW w:w="82" w:type="dxa"/>
            <w:tcBorders/>
            <w:shd w:fill="CCEEFF" w:val="clear"/>
            <w:vAlign w:val="bottom"/>
          </w:tcPr>
          <w:p>
            <w:pPr>
              <w:pStyle w:val="TableContents"/>
              <w:spacing w:before="0" w:after="283"/>
              <w:rPr/>
            </w:pPr>
            <w:r>
              <w:rPr/>
              <w:t> </w:t>
            </w:r>
          </w:p>
        </w:tc>
        <w:tc>
          <w:tcPr>
            <w:tcW w:w="1030" w:type="dxa"/>
            <w:tcBorders/>
            <w:shd w:fill="CCEEFF" w:val="clear"/>
          </w:tcPr>
          <w:p>
            <w:pPr>
              <w:pStyle w:val="TableContents"/>
              <w:spacing w:before="0" w:after="283"/>
              <w:jc w:val="center"/>
              <w:rPr/>
            </w:pPr>
            <w:r>
              <w:rPr/>
              <w:t>No</w:t>
            </w:r>
          </w:p>
        </w:tc>
      </w:tr>
      <w:tr>
        <w:trPr/>
        <w:tc>
          <w:tcPr>
            <w:tcW w:w="1170" w:type="dxa"/>
            <w:tcBorders/>
            <w:shd w:fill="auto" w:val="clear"/>
          </w:tcPr>
          <w:p>
            <w:pPr>
              <w:pStyle w:val="TableContents"/>
              <w:spacing w:before="0" w:after="283"/>
              <w:jc w:val="left"/>
              <w:rPr/>
            </w:pPr>
            <w:r>
              <w:rPr/>
              <w:t>Oklahoma</w:t>
            </w:r>
          </w:p>
        </w:tc>
        <w:tc>
          <w:tcPr>
            <w:tcW w:w="82"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0"/>
              <w:ind w:left="225" w:right="0" w:hanging="225"/>
              <w:jc w:val="center"/>
              <w:rPr/>
            </w:pPr>
            <w:r>
              <w:rPr/>
              <w:t>15% of amount advanced up to first $300; 10% for amounts in excess of $300</w:t>
            </w:r>
          </w:p>
        </w:tc>
        <w:tc>
          <w:tcPr>
            <w:tcW w:w="82" w:type="dxa"/>
            <w:tcBorders/>
            <w:shd w:fill="auto" w:val="clear"/>
            <w:vAlign w:val="bottom"/>
          </w:tcPr>
          <w:p>
            <w:pPr>
              <w:pStyle w:val="TableContents"/>
              <w:spacing w:before="0" w:after="283"/>
              <w:rPr/>
            </w:pPr>
            <w:r>
              <w:rPr/>
              <w:t> </w:t>
            </w:r>
          </w:p>
        </w:tc>
        <w:tc>
          <w:tcPr>
            <w:tcW w:w="1042" w:type="dxa"/>
            <w:tcBorders/>
            <w:shd w:fill="auto" w:val="clear"/>
          </w:tcPr>
          <w:p>
            <w:pPr>
              <w:pStyle w:val="TableContents"/>
              <w:spacing w:before="0" w:after="283"/>
              <w:jc w:val="center"/>
              <w:rPr/>
            </w:pPr>
            <w:r>
              <w:rPr/>
              <w:t>No</w:t>
            </w:r>
          </w:p>
        </w:tc>
        <w:tc>
          <w:tcPr>
            <w:tcW w:w="82" w:type="dxa"/>
            <w:tcBorders/>
            <w:shd w:fill="auto" w:val="clear"/>
            <w:vAlign w:val="bottom"/>
          </w:tcPr>
          <w:p>
            <w:pPr>
              <w:pStyle w:val="TableContents"/>
              <w:spacing w:before="0" w:after="283"/>
              <w:rPr/>
            </w:pPr>
            <w:r>
              <w:rPr/>
              <w:t> </w:t>
            </w:r>
          </w:p>
        </w:tc>
        <w:tc>
          <w:tcPr>
            <w:tcW w:w="1568" w:type="dxa"/>
            <w:tcBorders/>
            <w:shd w:fill="auto" w:val="clear"/>
          </w:tcPr>
          <w:p>
            <w:pPr>
              <w:pStyle w:val="TableContents"/>
              <w:spacing w:before="0" w:after="283"/>
              <w:jc w:val="center"/>
              <w:rPr/>
            </w:pPr>
            <w:r>
              <w:rPr/>
              <w:t>Yes</w:t>
            </w:r>
          </w:p>
        </w:tc>
        <w:tc>
          <w:tcPr>
            <w:tcW w:w="82" w:type="dxa"/>
            <w:tcBorders/>
            <w:shd w:fill="auto" w:val="clear"/>
            <w:vAlign w:val="bottom"/>
          </w:tcPr>
          <w:p>
            <w:pPr>
              <w:pStyle w:val="TableContents"/>
              <w:spacing w:before="0" w:after="283"/>
              <w:rPr/>
            </w:pPr>
            <w:r>
              <w:rPr/>
              <w:t> </w:t>
            </w:r>
          </w:p>
        </w:tc>
        <w:tc>
          <w:tcPr>
            <w:tcW w:w="1360" w:type="dxa"/>
            <w:tcBorders/>
            <w:shd w:fill="auto" w:val="clear"/>
          </w:tcPr>
          <w:p>
            <w:pPr>
              <w:pStyle w:val="TableContents"/>
              <w:spacing w:before="0" w:after="283"/>
              <w:jc w:val="center"/>
              <w:rPr/>
            </w:pPr>
            <w:r>
              <w:rPr/>
              <w:t>$500</w:t>
            </w:r>
          </w:p>
        </w:tc>
        <w:tc>
          <w:tcPr>
            <w:tcW w:w="81" w:type="dxa"/>
            <w:tcBorders/>
            <w:shd w:fill="auto" w:val="clear"/>
            <w:vAlign w:val="bottom"/>
          </w:tcPr>
          <w:p>
            <w:pPr>
              <w:pStyle w:val="TableContents"/>
              <w:spacing w:before="0" w:after="283"/>
              <w:rPr/>
            </w:pPr>
            <w:r>
              <w:rPr/>
              <w:t> </w:t>
            </w:r>
          </w:p>
        </w:tc>
        <w:tc>
          <w:tcPr>
            <w:tcW w:w="1092" w:type="dxa"/>
            <w:tcBorders/>
            <w:shd w:fill="auto" w:val="clear"/>
          </w:tcPr>
          <w:p>
            <w:pPr>
              <w:pStyle w:val="TableContents"/>
              <w:spacing w:before="0" w:after="283"/>
              <w:jc w:val="center"/>
              <w:rPr/>
            </w:pPr>
            <w:r>
              <w:rPr/>
              <w:t>45 days</w:t>
            </w:r>
          </w:p>
        </w:tc>
        <w:tc>
          <w:tcPr>
            <w:tcW w:w="8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center"/>
              <w:rPr/>
            </w:pPr>
            <w:r>
              <w:rPr/>
              <w:t>Yes</w:t>
            </w:r>
          </w:p>
        </w:tc>
        <w:tc>
          <w:tcPr>
            <w:tcW w:w="82" w:type="dxa"/>
            <w:tcBorders/>
            <w:shd w:fill="auto" w:val="clear"/>
            <w:vAlign w:val="bottom"/>
          </w:tcPr>
          <w:p>
            <w:pPr>
              <w:pStyle w:val="TableContents"/>
              <w:spacing w:before="0" w:after="283"/>
              <w:rPr/>
            </w:pPr>
            <w:r>
              <w:rPr/>
              <w:t> </w:t>
            </w:r>
          </w:p>
        </w:tc>
        <w:tc>
          <w:tcPr>
            <w:tcW w:w="1030" w:type="dxa"/>
            <w:tcBorders/>
            <w:shd w:fill="auto" w:val="clear"/>
          </w:tcPr>
          <w:p>
            <w:pPr>
              <w:pStyle w:val="TableContents"/>
              <w:spacing w:before="0" w:after="283"/>
              <w:jc w:val="center"/>
              <w:rPr/>
            </w:pPr>
            <w:r>
              <w:rPr/>
              <w:t>Yes</w:t>
            </w:r>
          </w:p>
        </w:tc>
      </w:tr>
      <w:tr>
        <w:trPr/>
        <w:tc>
          <w:tcPr>
            <w:tcW w:w="1170" w:type="dxa"/>
            <w:tcBorders/>
            <w:shd w:fill="CCEEFF" w:val="clear"/>
          </w:tcPr>
          <w:p>
            <w:pPr>
              <w:pStyle w:val="TableContents"/>
              <w:spacing w:before="0" w:after="283"/>
              <w:jc w:val="left"/>
              <w:rPr/>
            </w:pPr>
            <w:r>
              <w:rPr/>
              <w:t>South Dakota</w:t>
            </w:r>
          </w:p>
        </w:tc>
        <w:tc>
          <w:tcPr>
            <w:tcW w:w="82"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0"/>
              <w:ind w:left="450" w:right="0" w:hanging="225"/>
              <w:jc w:val="center"/>
              <w:rPr/>
            </w:pPr>
            <w:r>
              <w:rPr/>
              <w:t>No cap</w:t>
            </w:r>
          </w:p>
        </w:tc>
        <w:tc>
          <w:tcPr>
            <w:tcW w:w="82" w:type="dxa"/>
            <w:tcBorders/>
            <w:shd w:fill="CCEEFF" w:val="clear"/>
            <w:vAlign w:val="bottom"/>
          </w:tcPr>
          <w:p>
            <w:pPr>
              <w:pStyle w:val="TableContents"/>
              <w:spacing w:before="0" w:after="283"/>
              <w:rPr/>
            </w:pPr>
            <w:r>
              <w:rPr/>
              <w:t> </w:t>
            </w:r>
          </w:p>
        </w:tc>
        <w:tc>
          <w:tcPr>
            <w:tcW w:w="1042" w:type="dxa"/>
            <w:tcBorders/>
            <w:shd w:fill="CCEEFF" w:val="clear"/>
          </w:tcPr>
          <w:p>
            <w:pPr>
              <w:pStyle w:val="TableContents"/>
              <w:spacing w:before="0" w:after="283"/>
              <w:jc w:val="center"/>
              <w:rPr/>
            </w:pPr>
            <w:r>
              <w:rPr/>
              <w:t>Yes</w:t>
            </w:r>
          </w:p>
        </w:tc>
        <w:tc>
          <w:tcPr>
            <w:tcW w:w="82" w:type="dxa"/>
            <w:tcBorders/>
            <w:shd w:fill="CCEEFF" w:val="clear"/>
            <w:vAlign w:val="bottom"/>
          </w:tcPr>
          <w:p>
            <w:pPr>
              <w:pStyle w:val="TableContents"/>
              <w:spacing w:before="0" w:after="283"/>
              <w:rPr/>
            </w:pPr>
            <w:r>
              <w:rPr/>
              <w:t> </w:t>
            </w:r>
          </w:p>
        </w:tc>
        <w:tc>
          <w:tcPr>
            <w:tcW w:w="1568" w:type="dxa"/>
            <w:tcBorders/>
            <w:shd w:fill="CCEEFF" w:val="clear"/>
          </w:tcPr>
          <w:p>
            <w:pPr>
              <w:pStyle w:val="TableContents"/>
              <w:spacing w:before="0" w:after="283"/>
              <w:jc w:val="center"/>
              <w:rPr/>
            </w:pPr>
            <w:r>
              <w:rPr/>
              <w:t>No</w:t>
            </w:r>
          </w:p>
        </w:tc>
        <w:tc>
          <w:tcPr>
            <w:tcW w:w="82" w:type="dxa"/>
            <w:tcBorders/>
            <w:shd w:fill="CCEEFF" w:val="clear"/>
            <w:vAlign w:val="bottom"/>
          </w:tcPr>
          <w:p>
            <w:pPr>
              <w:pStyle w:val="TableContents"/>
              <w:spacing w:before="0" w:after="283"/>
              <w:rPr/>
            </w:pPr>
            <w:r>
              <w:rPr/>
              <w:t> </w:t>
            </w:r>
          </w:p>
        </w:tc>
        <w:tc>
          <w:tcPr>
            <w:tcW w:w="1360" w:type="dxa"/>
            <w:tcBorders/>
            <w:shd w:fill="CCEEFF" w:val="clear"/>
          </w:tcPr>
          <w:p>
            <w:pPr>
              <w:pStyle w:val="TableContents"/>
              <w:spacing w:before="0" w:after="283"/>
              <w:jc w:val="center"/>
              <w:rPr/>
            </w:pPr>
            <w:r>
              <w:rPr/>
              <w:t>$500</w:t>
            </w:r>
          </w:p>
        </w:tc>
        <w:tc>
          <w:tcPr>
            <w:tcW w:w="81" w:type="dxa"/>
            <w:tcBorders/>
            <w:shd w:fill="CCEEFF" w:val="clear"/>
            <w:vAlign w:val="bottom"/>
          </w:tcPr>
          <w:p>
            <w:pPr>
              <w:pStyle w:val="TableContents"/>
              <w:spacing w:before="0" w:after="283"/>
              <w:rPr/>
            </w:pPr>
            <w:r>
              <w:rPr/>
              <w:t> </w:t>
            </w:r>
          </w:p>
        </w:tc>
        <w:tc>
          <w:tcPr>
            <w:tcW w:w="1092" w:type="dxa"/>
            <w:tcBorders/>
            <w:shd w:fill="CCEEFF" w:val="clear"/>
          </w:tcPr>
          <w:p>
            <w:pPr>
              <w:pStyle w:val="TableContents"/>
              <w:spacing w:before="0" w:after="283"/>
              <w:jc w:val="center"/>
              <w:rPr/>
            </w:pPr>
            <w:r>
              <w:rPr/>
              <w:t>None</w:t>
            </w:r>
          </w:p>
        </w:tc>
        <w:tc>
          <w:tcPr>
            <w:tcW w:w="82" w:type="dxa"/>
            <w:tcBorders/>
            <w:shd w:fill="CCEEFF" w:val="clear"/>
            <w:vAlign w:val="bottom"/>
          </w:tcPr>
          <w:p>
            <w:pPr>
              <w:pStyle w:val="TableContents"/>
              <w:spacing w:before="0" w:after="283"/>
              <w:rPr/>
            </w:pPr>
            <w:r>
              <w:rPr/>
              <w:t> </w:t>
            </w:r>
          </w:p>
        </w:tc>
        <w:tc>
          <w:tcPr>
            <w:tcW w:w="1017" w:type="dxa"/>
            <w:tcBorders/>
            <w:shd w:fill="CCEEFF" w:val="clear"/>
          </w:tcPr>
          <w:p>
            <w:pPr>
              <w:pStyle w:val="TableContents"/>
              <w:spacing w:before="0" w:after="283"/>
              <w:jc w:val="center"/>
              <w:rPr/>
            </w:pPr>
            <w:r>
              <w:rPr/>
              <w:t>No</w:t>
            </w:r>
          </w:p>
        </w:tc>
        <w:tc>
          <w:tcPr>
            <w:tcW w:w="82" w:type="dxa"/>
            <w:tcBorders/>
            <w:shd w:fill="CCEEFF" w:val="clear"/>
            <w:vAlign w:val="bottom"/>
          </w:tcPr>
          <w:p>
            <w:pPr>
              <w:pStyle w:val="TableContents"/>
              <w:spacing w:before="0" w:after="283"/>
              <w:rPr/>
            </w:pPr>
            <w:r>
              <w:rPr/>
              <w:t> </w:t>
            </w:r>
          </w:p>
        </w:tc>
        <w:tc>
          <w:tcPr>
            <w:tcW w:w="1030" w:type="dxa"/>
            <w:tcBorders/>
            <w:shd w:fill="CCEEFF" w:val="clear"/>
          </w:tcPr>
          <w:p>
            <w:pPr>
              <w:pStyle w:val="TableContents"/>
              <w:spacing w:before="0" w:after="283"/>
              <w:jc w:val="center"/>
              <w:rPr/>
            </w:pPr>
            <w:r>
              <w:rPr/>
              <w:t>No</w:t>
            </w:r>
          </w:p>
        </w:tc>
      </w:tr>
      <w:tr>
        <w:trPr/>
        <w:tc>
          <w:tcPr>
            <w:tcW w:w="1170" w:type="dxa"/>
            <w:tcBorders/>
            <w:shd w:fill="auto" w:val="clear"/>
          </w:tcPr>
          <w:p>
            <w:pPr>
              <w:pStyle w:val="TableContents"/>
              <w:spacing w:before="0" w:after="283"/>
              <w:jc w:val="left"/>
              <w:rPr/>
            </w:pPr>
            <w:r>
              <w:rPr/>
              <w:t>Utah</w:t>
            </w:r>
          </w:p>
        </w:tc>
        <w:tc>
          <w:tcPr>
            <w:tcW w:w="82"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0"/>
              <w:ind w:left="450" w:right="0" w:hanging="225"/>
              <w:jc w:val="center"/>
              <w:rPr/>
            </w:pPr>
            <w:r>
              <w:rPr/>
              <w:t>No cap</w:t>
            </w:r>
          </w:p>
        </w:tc>
        <w:tc>
          <w:tcPr>
            <w:tcW w:w="82" w:type="dxa"/>
            <w:tcBorders/>
            <w:shd w:fill="auto" w:val="clear"/>
            <w:vAlign w:val="bottom"/>
          </w:tcPr>
          <w:p>
            <w:pPr>
              <w:pStyle w:val="TableContents"/>
              <w:spacing w:before="0" w:after="283"/>
              <w:rPr/>
            </w:pPr>
            <w:r>
              <w:rPr/>
              <w:t> </w:t>
            </w:r>
          </w:p>
        </w:tc>
        <w:tc>
          <w:tcPr>
            <w:tcW w:w="1042" w:type="dxa"/>
            <w:tcBorders/>
            <w:shd w:fill="auto" w:val="clear"/>
          </w:tcPr>
          <w:p>
            <w:pPr>
              <w:pStyle w:val="TableContents"/>
              <w:spacing w:before="0" w:after="283"/>
              <w:jc w:val="center"/>
              <w:rPr/>
            </w:pPr>
            <w:r>
              <w:rPr/>
              <w:t>Yes</w:t>
            </w:r>
          </w:p>
        </w:tc>
        <w:tc>
          <w:tcPr>
            <w:tcW w:w="82" w:type="dxa"/>
            <w:tcBorders/>
            <w:shd w:fill="auto" w:val="clear"/>
            <w:vAlign w:val="bottom"/>
          </w:tcPr>
          <w:p>
            <w:pPr>
              <w:pStyle w:val="TableContents"/>
              <w:spacing w:before="0" w:after="283"/>
              <w:rPr/>
            </w:pPr>
            <w:r>
              <w:rPr/>
              <w:t> </w:t>
            </w:r>
          </w:p>
        </w:tc>
        <w:tc>
          <w:tcPr>
            <w:tcW w:w="1568" w:type="dxa"/>
            <w:tcBorders/>
            <w:shd w:fill="auto" w:val="clear"/>
          </w:tcPr>
          <w:p>
            <w:pPr>
              <w:pStyle w:val="TableContents"/>
              <w:spacing w:before="0" w:after="283"/>
              <w:jc w:val="center"/>
              <w:rPr/>
            </w:pPr>
            <w:r>
              <w:rPr/>
              <w:t>No</w:t>
            </w:r>
          </w:p>
        </w:tc>
        <w:tc>
          <w:tcPr>
            <w:tcW w:w="82" w:type="dxa"/>
            <w:tcBorders/>
            <w:shd w:fill="auto" w:val="clear"/>
            <w:vAlign w:val="bottom"/>
          </w:tcPr>
          <w:p>
            <w:pPr>
              <w:pStyle w:val="TableContents"/>
              <w:spacing w:before="0" w:after="283"/>
              <w:rPr/>
            </w:pPr>
            <w:r>
              <w:rPr/>
              <w:t> </w:t>
            </w:r>
          </w:p>
        </w:tc>
        <w:tc>
          <w:tcPr>
            <w:tcW w:w="1360" w:type="dxa"/>
            <w:tcBorders/>
            <w:shd w:fill="auto" w:val="clear"/>
          </w:tcPr>
          <w:p>
            <w:pPr>
              <w:pStyle w:val="TableContents"/>
              <w:spacing w:before="0" w:after="283"/>
              <w:jc w:val="center"/>
              <w:rPr/>
            </w:pPr>
            <w:r>
              <w:rPr/>
              <w:t>None</w:t>
            </w:r>
          </w:p>
        </w:tc>
        <w:tc>
          <w:tcPr>
            <w:tcW w:w="81" w:type="dxa"/>
            <w:tcBorders/>
            <w:shd w:fill="auto" w:val="clear"/>
            <w:vAlign w:val="bottom"/>
          </w:tcPr>
          <w:p>
            <w:pPr>
              <w:pStyle w:val="TableContents"/>
              <w:spacing w:before="0" w:after="283"/>
              <w:rPr/>
            </w:pPr>
            <w:r>
              <w:rPr/>
              <w:t> </w:t>
            </w:r>
          </w:p>
        </w:tc>
        <w:tc>
          <w:tcPr>
            <w:tcW w:w="1092" w:type="dxa"/>
            <w:tcBorders/>
            <w:shd w:fill="auto" w:val="clear"/>
          </w:tcPr>
          <w:p>
            <w:pPr>
              <w:pStyle w:val="TableContents"/>
              <w:spacing w:before="0" w:after="283"/>
              <w:jc w:val="center"/>
              <w:rPr/>
            </w:pPr>
            <w:r>
              <w:rPr/>
              <w:t>None</w:t>
            </w:r>
          </w:p>
        </w:tc>
        <w:tc>
          <w:tcPr>
            <w:tcW w:w="8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center"/>
              <w:rPr/>
            </w:pPr>
            <w:r>
              <w:rPr/>
              <w:t>No</w:t>
            </w:r>
          </w:p>
        </w:tc>
        <w:tc>
          <w:tcPr>
            <w:tcW w:w="82" w:type="dxa"/>
            <w:tcBorders/>
            <w:shd w:fill="auto" w:val="clear"/>
            <w:vAlign w:val="bottom"/>
          </w:tcPr>
          <w:p>
            <w:pPr>
              <w:pStyle w:val="TableContents"/>
              <w:spacing w:before="0" w:after="283"/>
              <w:rPr/>
            </w:pPr>
            <w:r>
              <w:rPr/>
              <w:t> </w:t>
            </w:r>
          </w:p>
        </w:tc>
        <w:tc>
          <w:tcPr>
            <w:tcW w:w="1030" w:type="dxa"/>
            <w:tcBorders/>
            <w:shd w:fill="auto" w:val="clear"/>
          </w:tcPr>
          <w:p>
            <w:pPr>
              <w:pStyle w:val="TableContents"/>
              <w:spacing w:before="0" w:after="283"/>
              <w:jc w:val="center"/>
              <w:rPr/>
            </w:pPr>
            <w:r>
              <w:rPr/>
              <w:t>No</w:t>
            </w:r>
          </w:p>
        </w:tc>
      </w:tr>
      <w:tr>
        <w:trPr/>
        <w:tc>
          <w:tcPr>
            <w:tcW w:w="1170" w:type="dxa"/>
            <w:tcBorders/>
            <w:shd w:fill="CCEEFF" w:val="clear"/>
          </w:tcPr>
          <w:p>
            <w:pPr>
              <w:pStyle w:val="TableContents"/>
              <w:spacing w:before="0" w:after="283"/>
              <w:jc w:val="left"/>
              <w:rPr/>
            </w:pPr>
            <w:r>
              <w:rPr/>
              <w:t>Wisconsin</w:t>
            </w:r>
          </w:p>
        </w:tc>
        <w:tc>
          <w:tcPr>
            <w:tcW w:w="82"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0"/>
              <w:ind w:left="450" w:right="0" w:hanging="225"/>
              <w:jc w:val="center"/>
              <w:rPr/>
            </w:pPr>
            <w:r>
              <w:rPr/>
              <w:t>No cap</w:t>
            </w:r>
          </w:p>
        </w:tc>
        <w:tc>
          <w:tcPr>
            <w:tcW w:w="82" w:type="dxa"/>
            <w:tcBorders/>
            <w:shd w:fill="CCEEFF" w:val="clear"/>
            <w:vAlign w:val="bottom"/>
          </w:tcPr>
          <w:p>
            <w:pPr>
              <w:pStyle w:val="TableContents"/>
              <w:spacing w:before="0" w:after="283"/>
              <w:rPr/>
            </w:pPr>
            <w:r>
              <w:rPr/>
              <w:t> </w:t>
            </w:r>
          </w:p>
        </w:tc>
        <w:tc>
          <w:tcPr>
            <w:tcW w:w="1042" w:type="dxa"/>
            <w:tcBorders/>
            <w:shd w:fill="CCEEFF" w:val="clear"/>
          </w:tcPr>
          <w:p>
            <w:pPr>
              <w:pStyle w:val="TableContents"/>
              <w:spacing w:before="0" w:after="283"/>
              <w:jc w:val="center"/>
              <w:rPr/>
            </w:pPr>
            <w:r>
              <w:rPr/>
              <w:t>Yes</w:t>
            </w:r>
          </w:p>
        </w:tc>
        <w:tc>
          <w:tcPr>
            <w:tcW w:w="82" w:type="dxa"/>
            <w:tcBorders/>
            <w:shd w:fill="CCEEFF" w:val="clear"/>
            <w:vAlign w:val="bottom"/>
          </w:tcPr>
          <w:p>
            <w:pPr>
              <w:pStyle w:val="TableContents"/>
              <w:spacing w:before="0" w:after="283"/>
              <w:rPr/>
            </w:pPr>
            <w:r>
              <w:rPr/>
              <w:t> </w:t>
            </w:r>
          </w:p>
        </w:tc>
        <w:tc>
          <w:tcPr>
            <w:tcW w:w="1568" w:type="dxa"/>
            <w:tcBorders/>
            <w:shd w:fill="CCEEFF" w:val="clear"/>
          </w:tcPr>
          <w:p>
            <w:pPr>
              <w:pStyle w:val="TableContents"/>
              <w:spacing w:before="0" w:after="283"/>
              <w:jc w:val="center"/>
              <w:rPr/>
            </w:pPr>
            <w:r>
              <w:rPr/>
              <w:t>No</w:t>
            </w:r>
          </w:p>
        </w:tc>
        <w:tc>
          <w:tcPr>
            <w:tcW w:w="82" w:type="dxa"/>
            <w:tcBorders/>
            <w:shd w:fill="CCEEFF" w:val="clear"/>
            <w:vAlign w:val="bottom"/>
          </w:tcPr>
          <w:p>
            <w:pPr>
              <w:pStyle w:val="TableContents"/>
              <w:spacing w:before="0" w:after="283"/>
              <w:rPr/>
            </w:pPr>
            <w:r>
              <w:rPr/>
              <w:t> </w:t>
            </w:r>
          </w:p>
        </w:tc>
        <w:tc>
          <w:tcPr>
            <w:tcW w:w="1360" w:type="dxa"/>
            <w:tcBorders/>
            <w:shd w:fill="CCEEFF" w:val="clear"/>
          </w:tcPr>
          <w:p>
            <w:pPr>
              <w:pStyle w:val="TableContents"/>
              <w:spacing w:before="0" w:after="283"/>
              <w:jc w:val="center"/>
              <w:rPr/>
            </w:pPr>
            <w:r>
              <w:rPr/>
              <w:t>None</w:t>
            </w:r>
          </w:p>
        </w:tc>
        <w:tc>
          <w:tcPr>
            <w:tcW w:w="81" w:type="dxa"/>
            <w:tcBorders/>
            <w:shd w:fill="CCEEFF" w:val="clear"/>
            <w:vAlign w:val="bottom"/>
          </w:tcPr>
          <w:p>
            <w:pPr>
              <w:pStyle w:val="TableContents"/>
              <w:spacing w:before="0" w:after="283"/>
              <w:rPr/>
            </w:pPr>
            <w:r>
              <w:rPr/>
              <w:t> </w:t>
            </w:r>
          </w:p>
        </w:tc>
        <w:tc>
          <w:tcPr>
            <w:tcW w:w="1092" w:type="dxa"/>
            <w:tcBorders/>
            <w:shd w:fill="CCEEFF" w:val="clear"/>
          </w:tcPr>
          <w:p>
            <w:pPr>
              <w:pStyle w:val="TableContents"/>
              <w:spacing w:before="0" w:after="283"/>
              <w:jc w:val="center"/>
              <w:rPr/>
            </w:pPr>
            <w:r>
              <w:rPr/>
              <w:t>None</w:t>
            </w:r>
          </w:p>
        </w:tc>
        <w:tc>
          <w:tcPr>
            <w:tcW w:w="82" w:type="dxa"/>
            <w:tcBorders/>
            <w:shd w:fill="CCEEFF" w:val="clear"/>
            <w:vAlign w:val="bottom"/>
          </w:tcPr>
          <w:p>
            <w:pPr>
              <w:pStyle w:val="TableContents"/>
              <w:spacing w:before="0" w:after="283"/>
              <w:rPr/>
            </w:pPr>
            <w:r>
              <w:rPr/>
              <w:t> </w:t>
            </w:r>
          </w:p>
        </w:tc>
        <w:tc>
          <w:tcPr>
            <w:tcW w:w="1017" w:type="dxa"/>
            <w:tcBorders/>
            <w:shd w:fill="CCEEFF" w:val="clear"/>
          </w:tcPr>
          <w:p>
            <w:pPr>
              <w:pStyle w:val="TableContents"/>
              <w:spacing w:before="0" w:after="283"/>
              <w:jc w:val="center"/>
              <w:rPr/>
            </w:pPr>
            <w:r>
              <w:rPr/>
              <w:t>No</w:t>
            </w:r>
          </w:p>
        </w:tc>
        <w:tc>
          <w:tcPr>
            <w:tcW w:w="82" w:type="dxa"/>
            <w:tcBorders/>
            <w:shd w:fill="CCEEFF" w:val="clear"/>
            <w:vAlign w:val="bottom"/>
          </w:tcPr>
          <w:p>
            <w:pPr>
              <w:pStyle w:val="TableContents"/>
              <w:spacing w:before="0" w:after="283"/>
              <w:rPr/>
            </w:pPr>
            <w:r>
              <w:rPr/>
              <w:t> </w:t>
            </w:r>
          </w:p>
        </w:tc>
        <w:tc>
          <w:tcPr>
            <w:tcW w:w="1030" w:type="dxa"/>
            <w:tcBorders/>
            <w:shd w:fill="CCEEFF" w:val="clear"/>
          </w:tcPr>
          <w:p>
            <w:pPr>
              <w:pStyle w:val="TableContents"/>
              <w:spacing w:before="0" w:after="283"/>
              <w:jc w:val="center"/>
              <w:rPr/>
            </w:pPr>
            <w:r>
              <w:rPr/>
              <w:t>No</w:t>
            </w:r>
          </w:p>
        </w:tc>
      </w:tr>
    </w:tbl>
    <w:p>
      <w:pPr>
        <w:pStyle w:val="TextBody"/>
        <w:spacing w:before="240" w:after="283"/>
        <w:jc w:val="left"/>
        <w:rPr>
          <w:rFonts w:ascii="Helvetica;Arial;sans-serif" w:hAnsi="Helvetica;Arial;sans-serif"/>
          <w:b/>
          <w:i/>
          <w:sz w:val="17"/>
        </w:rPr>
      </w:pPr>
      <w:r>
        <w:rPr>
          <w:rFonts w:ascii="Helvetica;Arial;sans-serif" w:hAnsi="Helvetica;Arial;sans-serif"/>
          <w:b/>
          <w:i/>
          <w:sz w:val="17"/>
        </w:rPr>
        <w:t>Local Payday Loan Regulation</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are also subject to various local rules and regulations primarily related to zoning and licensing that affect our business. These local rules and regulations vary from city to city and state to state. The existence of these local rules has been increasing and may affect our ability to expand our operations or do business. We comply with these local rules and regulations and regularly monitor their impact on our business. </w:t>
      </w:r>
    </w:p>
    <w:p>
      <w:pPr>
        <w:pStyle w:val="TextBody"/>
        <w:spacing w:before="240" w:after="283"/>
        <w:jc w:val="left"/>
        <w:rPr>
          <w:rFonts w:ascii="Helvetica;Arial;sans-serif" w:hAnsi="Helvetica;Arial;sans-serif"/>
          <w:sz w:val="17"/>
        </w:rPr>
      </w:pPr>
      <w:r>
        <w:rPr>
          <w:rFonts w:ascii="Helvetica;Arial;sans-serif" w:hAnsi="Helvetica;Arial;sans-serif"/>
          <w:b/>
          <w:i/>
          <w:sz w:val="17"/>
        </w:rPr>
        <w:t>Miscellaneous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Privacy: </w:t>
      </w:r>
      <w:r>
        <w:rPr>
          <w:rFonts w:ascii="Helvetica;Arial;sans-serif" w:hAnsi="Helvetica;Arial;sans-serif"/>
          <w:sz w:val="17"/>
        </w:rPr>
        <w:t xml:space="preserve">We are subject to a variety of federal and state laws and regulations intended to protect customer non-public personal information. We disclose our privacy policies to our customers and have policies, procedures, and systems in place intended to safeguard this information to the extent required by law. </w:t>
      </w:r>
    </w:p>
    <w:p>
      <w:pPr>
        <w:pStyle w:val="TextBody"/>
        <w:spacing w:before="120" w:after="283"/>
        <w:jc w:val="left"/>
        <w:rPr>
          <w:rFonts w:ascii="Helvetica;Arial;sans-serif" w:hAnsi="Helvetica;Arial;sans-serif"/>
          <w:sz w:val="17"/>
        </w:rPr>
      </w:pPr>
      <w:r>
        <w:rPr>
          <w:rFonts w:ascii="Helvetica;Arial;sans-serif" w:hAnsi="Helvetica;Arial;sans-serif"/>
          <w:b/>
          <w:i/>
          <w:sz w:val="17"/>
        </w:rPr>
        <w:t>Federal:</w:t>
      </w:r>
      <w:r>
        <w:rPr>
          <w:rFonts w:ascii="Helvetica;Arial;sans-serif" w:hAnsi="Helvetica;Arial;sans-serif"/>
          <w:i/>
          <w:sz w:val="17"/>
        </w:rPr>
        <w:t xml:space="preserve"> </w:t>
      </w:r>
      <w:r>
        <w:rPr>
          <w:rFonts w:ascii="Helvetica;Arial;sans-serif" w:hAnsi="Helvetica;Arial;sans-serif"/>
          <w:sz w:val="17"/>
        </w:rPr>
        <w:t xml:space="preserve">Our pawn, CSO, and payday loan operations are subject to extensive state and federal statutes and regulations such as the federal Equal Credit Opportunity Act, the Fair Credit Reporting Act, the Truth in Lending Act, the Gramm-Leach-Bliley Act, the Fair Debt Collection Practices Act and the regulations promulgated for each. We comply with the requirements of these federal and state statutes and their regulations. </w:t>
      </w:r>
    </w:p>
    <w:p>
      <w:pPr>
        <w:pStyle w:val="TextBody"/>
        <w:jc w:val="center"/>
        <w:rPr>
          <w:rFonts w:ascii="Helvetica;Arial;sans-serif" w:hAnsi="Helvetica;Arial;sans-serif"/>
          <w:sz w:val="17"/>
        </w:rPr>
      </w:pPr>
      <w:r>
        <w:rPr>
          <w:rFonts w:ascii="Helvetica;Arial;sans-serif" w:hAnsi="Helvetica;Arial;san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5" w:name="103"/>
      <w:bookmarkStart w:id="6" w:name="tocpage1"/>
      <w:bookmarkEnd w:id="5"/>
      <w:bookmarkEnd w:id="6"/>
      <w:r>
        <w:rPr>
          <w:rFonts w:ascii="Helvetica;Arial;sans-serif" w:hAnsi="Helvetica;Arial;sans-serif"/>
          <w:b/>
          <w:smallCaps/>
          <w:sz w:val="17"/>
        </w:rPr>
        <w:t>Item</w:t>
      </w:r>
      <w:r>
        <w:rPr>
          <w:rFonts w:ascii="Helvetica;Arial;sans-serif" w:hAnsi="Helvetica;Arial;sans-serif"/>
          <w:sz w:val="17"/>
        </w:rPr>
        <w:t xml:space="preserve"> </w:t>
      </w:r>
      <w:r>
        <w:rPr>
          <w:rFonts w:ascii="Helvetica;Arial;sans-serif" w:hAnsi="Helvetica;Arial;sans-serif"/>
          <w:b/>
          <w:sz w:val="17"/>
        </w:rPr>
        <w:t xml:space="preserve">1A. </w:t>
      </w:r>
      <w:r>
        <w:rPr>
          <w:rFonts w:ascii="Helvetica;Arial;sans-serif" w:hAnsi="Helvetica;Arial;sans-serif"/>
          <w:b/>
          <w:smallCaps/>
          <w:sz w:val="17"/>
        </w:rPr>
        <w:t>Risk Factors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Important risk factors that could cause results or events to differ from current expectations are described below. These factors are not intended to be an all-encompassing list of risks and uncertainties that may affect the operations, performance, development and results of our business. You are cautioned not to place undue reliance on this discussion, which speaks only as of the date hereof. We undertake no obligation to release publicly the results of any revisions to these risk factors which may be made to reflect events or circumstances after the date hereon, including without limitation, changes in our business strategy or planned capital expenditures, store growth plans, or to reflect the occurrence of unanticipated events. </w:t>
      </w:r>
    </w:p>
    <w:p>
      <w:pPr>
        <w:pStyle w:val="TextBody"/>
        <w:spacing w:before="120" w:after="283"/>
        <w:ind w:left="225" w:right="0" w:hanging="225"/>
        <w:jc w:val="left"/>
        <w:rPr>
          <w:rFonts w:ascii="Helvetica;Arial;sans-serif" w:hAnsi="Helvetica;Arial;sans-serif"/>
          <w:sz w:val="17"/>
        </w:rPr>
      </w:pPr>
      <w:r>
        <w:rPr>
          <w:rFonts w:ascii="Helvetica;Arial;sans-serif" w:hAnsi="Helvetica;Arial;sans-serif"/>
          <w:sz w:val="17"/>
        </w:rPr>
        <w:t>  </w:t>
      </w:r>
      <w:r>
        <w:rPr>
          <w:rFonts w:ascii="Helvetica;Arial;sans-serif" w:hAnsi="Helvetica;Arial;sans-serif"/>
          <w:b/>
          <w:sz w:val="17"/>
        </w:rPr>
        <w:t xml:space="preserve">Our earnings and financial position are affected by changes in gold values and the resulting impact on pawn lending and jewelry sales; a significant or sudden decrease in gold values may have a material impact on our earnings. </w:t>
      </w:r>
      <w:r>
        <w:rPr>
          <w:rFonts w:ascii="Helvetica;Arial;sans-serif" w:hAnsi="Helvetica;Arial;sans-serif"/>
          <w:sz w:val="17"/>
        </w:rPr>
        <w:t xml:space="preserve">Pawn service charge, sales proceeds and our ability to liquidate excess jewelry inventory at an acceptable margin are dependent upon gold values. We periodically change our lending guidelines on jewelry in response to gold values and other market factors, such as competitor loan values. Gold scrapping revenues were $51.9 million and gross profit from gold scrapping was $17.4 million in fiscal 2007. The impact on our financial position and results of operations of a hypothetical decrease in gold values cannot be reasonably estimated because the market and competitive response to changes in gold values is not known; however, changes in gold values would lead to changes in sales, sales margins, and pawn service charge revenues. </w:t>
      </w:r>
    </w:p>
    <w:p>
      <w:pPr>
        <w:pStyle w:val="TextBody"/>
        <w:spacing w:before="120" w:after="283"/>
        <w:ind w:left="225" w:right="0" w:hanging="225"/>
        <w:jc w:val="left"/>
        <w:rPr>
          <w:rFonts w:ascii="Helvetica;Arial;sans-serif" w:hAnsi="Helvetica;Arial;sans-serif"/>
          <w:sz w:val="17"/>
        </w:rPr>
      </w:pPr>
      <w:r>
        <w:rPr>
          <w:rFonts w:ascii="Helvetica;Arial;sans-serif" w:hAnsi="Helvetica;Arial;sans-serif"/>
          <w:sz w:val="17"/>
        </w:rPr>
        <w:t>  </w:t>
      </w:r>
      <w:r>
        <w:rPr>
          <w:rFonts w:ascii="Helvetica;Arial;sans-serif" w:hAnsi="Helvetica;Arial;sans-serif"/>
          <w:b/>
          <w:sz w:val="17"/>
        </w:rPr>
        <w:t xml:space="preserve">Changes in laws, governmental rules or regulations applicable to the specialty financial services industry could have a negative impact on our lending activities. </w:t>
      </w:r>
      <w:r>
        <w:rPr>
          <w:rFonts w:ascii="Helvetica;Arial;sans-serif" w:hAnsi="Helvetica;Arial;sans-serif"/>
          <w:sz w:val="17"/>
        </w:rPr>
        <w:t xml:space="preserve">The passage of new laws and regulations or changes in existing laws and regulations could have a negative impact on our lending activities, including our ability to provide credit services in Texas, where a majority of our signature loans are made. Our lending is subject to extensive regulation and licensing requirements under various federal, state and local laws, ordinances and regulations. Recent legislative action has concentrated on attempts to regulate, prohibit, or severely restrict payday lending, including applicable rates, the ability for customers to renew their loans, and the ability to lend to military personnel. Although we have not operated in any states where legislative activity has prohibited or severely restricted our business, we can give no assurance that additional local, state, or federal legislation will not be enacted or that existing laws and regulations will not be changed or amended or that events of noncompliance may occur which would materially, adversely impact our operations, financial condition, and the ability to expand our operations. </w:t>
      </w:r>
    </w:p>
    <w:p>
      <w:pPr>
        <w:pStyle w:val="TextBody"/>
        <w:spacing w:before="120" w:after="283"/>
        <w:ind w:left="225" w:right="0" w:hanging="225"/>
        <w:jc w:val="left"/>
        <w:rPr>
          <w:rFonts w:ascii="Helvetica;Arial;sans-serif" w:hAnsi="Helvetica;Arial;sans-serif"/>
          <w:sz w:val="17"/>
        </w:rPr>
      </w:pPr>
      <w:r>
        <w:rPr>
          <w:rFonts w:ascii="Helvetica;Arial;sans-serif" w:hAnsi="Helvetica;Arial;sans-serif"/>
          <w:sz w:val="17"/>
        </w:rPr>
        <w:t>  </w:t>
      </w:r>
      <w:r>
        <w:rPr>
          <w:rFonts w:ascii="Helvetica;Arial;sans-serif" w:hAnsi="Helvetica;Arial;sans-serif"/>
          <w:b/>
          <w:sz w:val="17"/>
        </w:rPr>
        <w:t xml:space="preserve">Our CSO revenues are dependent upon unaffiliated lenders ability and willingness to make loans to our customers. </w:t>
      </w:r>
      <w:r>
        <w:rPr>
          <w:rFonts w:ascii="Helvetica;Arial;sans-serif" w:hAnsi="Helvetica;Arial;sans-serif"/>
          <w:sz w:val="17"/>
        </w:rPr>
        <w:t xml:space="preserve">The loss of the relationships with our unaffiliated lenders or a decrease in those lenders ability to lend money could significantly decrease our revenues and earnings. </w:t>
      </w:r>
    </w:p>
    <w:p>
      <w:pPr>
        <w:pStyle w:val="TextBody"/>
        <w:spacing w:before="120" w:after="283"/>
        <w:ind w:left="225" w:right="0" w:hanging="225"/>
        <w:jc w:val="left"/>
        <w:rPr>
          <w:rFonts w:ascii="Helvetica;Arial;sans-serif" w:hAnsi="Helvetica;Arial;sans-serif"/>
          <w:sz w:val="17"/>
        </w:rPr>
      </w:pPr>
      <w:r>
        <w:rPr>
          <w:rFonts w:ascii="Helvetica;Arial;sans-serif" w:hAnsi="Helvetica;Arial;sans-serif"/>
          <w:sz w:val="17"/>
        </w:rPr>
        <w:t>  </w:t>
      </w:r>
      <w:r>
        <w:rPr>
          <w:rFonts w:ascii="Helvetica;Arial;sans-serif" w:hAnsi="Helvetica;Arial;sans-serif"/>
          <w:b/>
          <w:sz w:val="17"/>
        </w:rPr>
        <w:t xml:space="preserve">Achievement of our growth objectives is dependent upon our ability to open and acquire new stores. </w:t>
      </w:r>
      <w:r>
        <w:rPr>
          <w:rFonts w:ascii="Helvetica;Arial;sans-serif" w:hAnsi="Helvetica;Arial;sans-serif"/>
          <w:sz w:val="17"/>
        </w:rPr>
        <w:t xml:space="preserve">Our expansion program is subject to numerous factors that cannot be predicted or controlled, such as identifying acceptable locations or attractive acquisition targets and our ability to attract, train and retain qualified associates. </w:t>
      </w:r>
    </w:p>
    <w:p>
      <w:pPr>
        <w:pStyle w:val="TextBody"/>
        <w:spacing w:before="120" w:after="283"/>
        <w:ind w:left="225" w:right="0" w:hanging="225"/>
        <w:jc w:val="left"/>
        <w:rPr>
          <w:rFonts w:ascii="Helvetica;Arial;sans-serif" w:hAnsi="Helvetica;Arial;sans-serif"/>
          <w:sz w:val="17"/>
        </w:rPr>
      </w:pPr>
      <w:r>
        <w:rPr>
          <w:rFonts w:ascii="Helvetica;Arial;sans-serif" w:hAnsi="Helvetica;Arial;sans-serif"/>
          <w:sz w:val="17"/>
        </w:rPr>
        <w:t>  </w:t>
      </w:r>
      <w:r>
        <w:rPr>
          <w:rFonts w:ascii="Helvetica;Arial;sans-serif" w:hAnsi="Helvetica;Arial;sans-serif"/>
          <w:b/>
          <w:sz w:val="17"/>
        </w:rPr>
        <w:t xml:space="preserve">Fluctuations in our sales, pawn loan balances, sales margins, pawn redemption rates, and signature loan default and collection rates could have a material adverse impact on our operating results. </w:t>
      </w:r>
      <w:r>
        <w:rPr>
          <w:rFonts w:ascii="Helvetica;Arial;sans-serif" w:hAnsi="Helvetica;Arial;sans-serif"/>
          <w:sz w:val="17"/>
        </w:rPr>
        <w:t xml:space="preserve">We regularly experience fluctuations in these operating metrics. Changes in any of these factors, as might be caused by changes in the economic environment, competitive pressures, changes in customers tastes and preferences or a significant decrease in gold prices, could materially and adversely affect our profitability and ability to achieve our planned results. </w:t>
      </w:r>
    </w:p>
    <w:p>
      <w:pPr>
        <w:pStyle w:val="TextBody"/>
        <w:jc w:val="center"/>
        <w:rPr>
          <w:rFonts w:ascii="Helvetica;Arial;sans-serif" w:hAnsi="Helvetica;Arial;sans-serif"/>
          <w:sz w:val="17"/>
        </w:rPr>
      </w:pPr>
      <w:r>
        <w:rPr>
          <w:rFonts w:ascii="Helvetica;Arial;sans-serif" w:hAnsi="Helvetica;Arial;san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ind w:left="225" w:right="0" w:hanging="225"/>
        <w:jc w:val="left"/>
        <w:rPr>
          <w:rFonts w:ascii="Helvetica;Arial;sans-serif" w:hAnsi="Helvetica;Arial;sans-serif"/>
          <w:sz w:val="17"/>
        </w:rPr>
      </w:pPr>
      <w:r>
        <w:rPr>
          <w:rFonts w:ascii="Helvetica;Arial;sans-serif" w:hAnsi="Helvetica;Arial;sans-serif"/>
          <w:sz w:val="17"/>
        </w:rPr>
        <w:t>  </w:t>
      </w:r>
      <w:r>
        <w:rPr>
          <w:rFonts w:ascii="Helvetica;Arial;sans-serif" w:hAnsi="Helvetica;Arial;sans-serif"/>
          <w:b/>
          <w:sz w:val="17"/>
        </w:rPr>
        <w:t xml:space="preserve">Changes in the business, regulatory, or political climate in Mexico could affect our Mexico operations and growth plans. </w:t>
      </w:r>
      <w:r>
        <w:rPr>
          <w:rFonts w:ascii="Helvetica;Arial;sans-serif" w:hAnsi="Helvetica;Arial;sans-serif"/>
          <w:sz w:val="17"/>
        </w:rPr>
        <w:t xml:space="preserve">We have begun expanding our Mexico pawn operations, and our plans include further growth in Mexico. Significant changes in the business, regulatory or political climate in Mexico, or significant fluctuations in currency exchange rates could limit or cease our ability to continue operating and growing our operations in Mexico, which could have a material impact on our financial position, results of operations, and cash flows. </w:t>
      </w:r>
    </w:p>
    <w:p>
      <w:pPr>
        <w:pStyle w:val="TextBody"/>
        <w:spacing w:before="120" w:after="283"/>
        <w:ind w:left="225" w:right="0" w:hanging="225"/>
        <w:jc w:val="left"/>
        <w:rPr>
          <w:rFonts w:ascii="Helvetica;Arial;sans-serif" w:hAnsi="Helvetica;Arial;sans-serif"/>
          <w:sz w:val="17"/>
        </w:rPr>
      </w:pPr>
      <w:r>
        <w:rPr>
          <w:rFonts w:ascii="Helvetica;Arial;sans-serif" w:hAnsi="Helvetica;Arial;sans-serif"/>
          <w:sz w:val="17"/>
        </w:rPr>
        <w:t>  </w:t>
      </w:r>
      <w:r>
        <w:rPr>
          <w:rFonts w:ascii="Helvetica;Arial;sans-serif" w:hAnsi="Helvetica;Arial;sans-serif"/>
          <w:b/>
          <w:sz w:val="17"/>
        </w:rPr>
        <w:t xml:space="preserve">Changes in our liquidity and capital requirements could limit our ability to achieve our plans. </w:t>
      </w:r>
      <w:r>
        <w:rPr>
          <w:rFonts w:ascii="Helvetica;Arial;sans-serif" w:hAnsi="Helvetica;Arial;sans-serif"/>
          <w:sz w:val="17"/>
        </w:rPr>
        <w:t xml:space="preserve">We require continued access to capital; a significant reduction in cash flows from operations or the availability of credit could materially and adversely affect our ability to achieve our planned growth and operating results. </w:t>
      </w:r>
    </w:p>
    <w:p>
      <w:pPr>
        <w:pStyle w:val="TextBody"/>
        <w:spacing w:before="120" w:after="283"/>
        <w:ind w:left="225" w:right="0" w:hanging="225"/>
        <w:jc w:val="left"/>
        <w:rPr>
          <w:rFonts w:ascii="Helvetica;Arial;sans-serif" w:hAnsi="Helvetica;Arial;sans-serif"/>
          <w:sz w:val="17"/>
        </w:rPr>
      </w:pPr>
      <w:r>
        <w:rPr>
          <w:rFonts w:ascii="Helvetica;Arial;sans-serif" w:hAnsi="Helvetica;Arial;sans-serif"/>
          <w:sz w:val="17"/>
        </w:rPr>
        <w:t>  </w:t>
      </w:r>
      <w:r>
        <w:rPr>
          <w:rFonts w:ascii="Helvetica;Arial;sans-serif" w:hAnsi="Helvetica;Arial;sans-serif"/>
          <w:b/>
          <w:sz w:val="17"/>
        </w:rPr>
        <w:t xml:space="preserve">Changes in competition from various sources could have a material adverse impact on our ability to achieve our plans. </w:t>
      </w:r>
      <w:r>
        <w:rPr>
          <w:rFonts w:ascii="Helvetica;Arial;sans-serif" w:hAnsi="Helvetica;Arial;sans-serif"/>
          <w:sz w:val="17"/>
        </w:rPr>
        <w:t xml:space="preserve">We encounter significant competition in connection with our lending and retail operations from other pawnshops, cash advance companies and other forms of financial institutions and other retailers, many of which have significantly greater financial resources than us. Significant increases in these competitive influences could adversely affect our operations through a decrease in the number or quality of signature loan and pawn loans or our ability to liquidate forfeited collateral at acceptable margins. </w:t>
      </w:r>
    </w:p>
    <w:p>
      <w:pPr>
        <w:pStyle w:val="TextBody"/>
        <w:spacing w:before="120" w:after="283"/>
        <w:ind w:left="225" w:right="0" w:hanging="225"/>
        <w:jc w:val="left"/>
        <w:rPr>
          <w:rFonts w:ascii="Helvetica;Arial;sans-serif" w:hAnsi="Helvetica;Arial;sans-serif"/>
          <w:sz w:val="17"/>
        </w:rPr>
      </w:pPr>
      <w:r>
        <w:rPr>
          <w:rFonts w:ascii="Helvetica;Arial;sans-serif" w:hAnsi="Helvetica;Arial;sans-serif"/>
          <w:sz w:val="17"/>
        </w:rPr>
        <w:t>  </w:t>
      </w:r>
      <w:r>
        <w:rPr>
          <w:rFonts w:ascii="Helvetica;Arial;sans-serif" w:hAnsi="Helvetica;Arial;sans-serif"/>
          <w:b/>
          <w:sz w:val="17"/>
        </w:rPr>
        <w:t xml:space="preserve">One person holds voting control of our stock and controls the outcome of all matters requiring a vote of stockholders, which may influence the value of our publicly traded stock. </w:t>
      </w:r>
      <w:r>
        <w:rPr>
          <w:rFonts w:ascii="Helvetica;Arial;sans-serif" w:hAnsi="Helvetica;Arial;sans-serif"/>
          <w:sz w:val="17"/>
        </w:rPr>
        <w:t xml:space="preserve">Mr. Phillip E. Cohen controls all of our Class B Voting Common Stock. He controls the outcome of all issues requiring a vote of stockholders, including the election of our directors. </w:t>
      </w:r>
    </w:p>
    <w:p>
      <w:pPr>
        <w:pStyle w:val="TextBody"/>
        <w:spacing w:before="120" w:after="283"/>
        <w:ind w:left="225" w:right="0" w:hanging="225"/>
        <w:jc w:val="left"/>
        <w:rPr>
          <w:rFonts w:ascii="Helvetica;Arial;sans-serif" w:hAnsi="Helvetica;Arial;sans-serif"/>
          <w:sz w:val="17"/>
        </w:rPr>
      </w:pPr>
      <w:r>
        <w:rPr>
          <w:rFonts w:ascii="Helvetica;Arial;sans-serif" w:hAnsi="Helvetica;Arial;sans-serif"/>
          <w:sz w:val="17"/>
        </w:rPr>
        <w:t>  </w:t>
      </w:r>
      <w:r>
        <w:rPr>
          <w:rFonts w:ascii="Helvetica;Arial;sans-serif" w:hAnsi="Helvetica;Arial;sans-serif"/>
          <w:b/>
          <w:sz w:val="17"/>
        </w:rPr>
        <w:t>We face other risks discussed under Qualitative and Quantitative Disclosures about Market Risk in Item 7A of this Form 10-K.</w:t>
      </w:r>
      <w:r>
        <w:rPr>
          <w:rFonts w:ascii="Helvetica;Arial;sans-serif" w:hAnsi="Helvetica;Arial;sans-serif"/>
          <w:sz w:val="17"/>
        </w:rPr>
        <w:t xml:space="preserve"> </w:t>
      </w:r>
    </w:p>
    <w:p>
      <w:pPr>
        <w:pStyle w:val="TextBody"/>
        <w:jc w:val="center"/>
        <w:rPr>
          <w:rFonts w:ascii="Helvetica;Arial;sans-serif" w:hAnsi="Helvetica;Arial;sans-serif"/>
          <w:sz w:val="17"/>
        </w:rPr>
      </w:pPr>
      <w:r>
        <w:rPr>
          <w:rFonts w:ascii="Helvetica;Arial;sans-serif" w:hAnsi="Helvetica;Arial;san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7" w:name="104"/>
      <w:bookmarkEnd w:id="7"/>
      <w:r>
        <w:rPr>
          <w:rFonts w:ascii="Helvetica;Arial;sans-serif" w:hAnsi="Helvetica;Arial;sans-serif"/>
          <w:b/>
          <w:smallCaps/>
          <w:sz w:val="17"/>
        </w:rPr>
        <w:t>Item 2. Properties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typical pawnshop is a freestanding building or part of a retail strip center with contiguous parking. Store interiors are designed to resemble small retail operations and attractively display merchandise by category. Distinctive exterior design and attractive in-store signage provide an appealing atmosphere to customers. The typical pawn store has approximately 1,800 square feet of retail space and approximately 3,200 square feet dedicated to collateral storage. An EZMONEY signature loan store is designed to resemble a bank interior and offers payday loans or credit services to help customers obtain short-term signature loans. The typical EZMONEY store is approximately 1,000 to 1,500 square feet and is located in a retail strip center. Some of our EZMONEY stores adjoin an EZPAWN location and occupy approximately 300 to 500 square feet, with a different entrance, signage, décor, and staffing. From the customers perspective, these are viewed as a separate business. We maintain property and general liability insurance for each of our stores. Our stores are open six or seven days a week.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of October 31, 2007, we owned the real estate and building for one location containing an EZPAWN and an adjoining EZMONEY, leased 293 U.S. and 24 Mexico locations containing EZPAWNs and 169 adjoining EZMONEYs, and leased 261 EZMONEY locations. In three additional EZMONEY locations, we lease the land, but own the portable modular EZMONEY store. We also own the real estate and building for one non-operating location. We generally lease facilities for a term of three to ten years with one or more renewal options. Our existing leases expire on dates ranging between December 20, 2007 and July 31, 2026,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unless we find what we believe is a superior location at an attractive price.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Below is a summary of changes in the number of store locations during fiscal 2005, 2006 and 2007. </w:t>
      </w:r>
    </w:p>
    <w:tbl>
      <w:tblPr>
        <w:tblW w:w="5000" w:type="pct"/>
        <w:jc w:val="center"/>
        <w:tblInd w:w="0" w:type="dxa"/>
        <w:tblCellMar>
          <w:top w:w="0" w:type="dxa"/>
          <w:left w:w="0" w:type="dxa"/>
          <w:bottom w:w="0" w:type="dxa"/>
          <w:right w:w="0" w:type="dxa"/>
        </w:tblCellMar>
      </w:tblPr>
      <w:tblGrid>
        <w:gridCol w:w="5463"/>
        <w:gridCol w:w="416"/>
        <w:gridCol w:w="145"/>
        <w:gridCol w:w="825"/>
        <w:gridCol w:w="186"/>
        <w:gridCol w:w="450"/>
        <w:gridCol w:w="145"/>
        <w:gridCol w:w="825"/>
        <w:gridCol w:w="186"/>
        <w:gridCol w:w="450"/>
        <w:gridCol w:w="145"/>
        <w:gridCol w:w="828"/>
        <w:gridCol w:w="141"/>
      </w:tblGrid>
      <w:tr>
        <w:trPr/>
        <w:tc>
          <w:tcPr>
            <w:tcW w:w="5463"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4185"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c>
          <w:tcPr>
            <w:tcW w:w="141" w:type="dxa"/>
            <w:tcBorders/>
            <w:shd w:fill="auto"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97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8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97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8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97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41" w:type="dxa"/>
            <w:tcBorders/>
            <w:shd w:fill="auto" w:val="clear"/>
            <w:vAlign w:val="bottom"/>
          </w:tcPr>
          <w:p>
            <w:pPr>
              <w:pStyle w:val="TableContents"/>
              <w:spacing w:before="0" w:after="283"/>
              <w:rPr/>
            </w:pPr>
            <w:r>
              <w:rPr/>
              <w:t> </w:t>
            </w:r>
          </w:p>
        </w:tc>
      </w:tr>
      <w:tr>
        <w:trPr/>
        <w:tc>
          <w:tcPr>
            <w:tcW w:w="5463" w:type="dxa"/>
            <w:tcBorders/>
            <w:shd w:fill="CCEEFF" w:val="clear"/>
            <w:vAlign w:val="bottom"/>
          </w:tcPr>
          <w:p>
            <w:pPr>
              <w:pStyle w:val="TableContents"/>
              <w:spacing w:before="0" w:after="0"/>
              <w:ind w:left="225" w:right="0" w:hanging="225"/>
              <w:rPr/>
            </w:pPr>
            <w:r>
              <w:rPr/>
              <w:t>Store count at beginning of fiscal year</w:t>
            </w:r>
          </w:p>
        </w:tc>
        <w:tc>
          <w:tcPr>
            <w:tcW w:w="41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405</w:t>
            </w:r>
          </w:p>
        </w:tc>
        <w:tc>
          <w:tcPr>
            <w:tcW w:w="186"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514</w:t>
            </w:r>
          </w:p>
        </w:tc>
        <w:tc>
          <w:tcPr>
            <w:tcW w:w="186"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614</w:t>
            </w:r>
          </w:p>
        </w:tc>
        <w:tc>
          <w:tcPr>
            <w:tcW w:w="141" w:type="dxa"/>
            <w:tcBorders/>
            <w:shd w:fill="CCEEFF"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0"/>
              <w:ind w:left="225" w:right="0" w:hanging="225"/>
              <w:rPr/>
            </w:pPr>
            <w:r>
              <w:rPr/>
              <w:t>New stores opened</w:t>
            </w:r>
          </w:p>
        </w:tc>
        <w:tc>
          <w:tcPr>
            <w:tcW w:w="41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110</w:t>
            </w:r>
          </w:p>
        </w:tc>
        <w:tc>
          <w:tcPr>
            <w:tcW w:w="18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101</w:t>
            </w:r>
          </w:p>
        </w:tc>
        <w:tc>
          <w:tcPr>
            <w:tcW w:w="18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104</w:t>
            </w:r>
          </w:p>
        </w:tc>
        <w:tc>
          <w:tcPr>
            <w:tcW w:w="141" w:type="dxa"/>
            <w:tcBorders/>
            <w:shd w:fill="auto" w:val="clear"/>
            <w:vAlign w:val="bottom"/>
          </w:tcPr>
          <w:p>
            <w:pPr>
              <w:pStyle w:val="TableContents"/>
              <w:spacing w:before="0" w:after="283"/>
              <w:rPr/>
            </w:pPr>
            <w:r>
              <w:rPr/>
              <w:t> </w:t>
            </w:r>
          </w:p>
        </w:tc>
      </w:tr>
      <w:tr>
        <w:trPr/>
        <w:tc>
          <w:tcPr>
            <w:tcW w:w="5463" w:type="dxa"/>
            <w:tcBorders/>
            <w:shd w:fill="CCEEFF" w:val="clear"/>
            <w:vAlign w:val="bottom"/>
          </w:tcPr>
          <w:p>
            <w:pPr>
              <w:pStyle w:val="TableContents"/>
              <w:spacing w:before="0" w:after="0"/>
              <w:ind w:left="225" w:right="0" w:hanging="225"/>
              <w:rPr/>
            </w:pPr>
            <w:r>
              <w:rPr/>
              <w:t>Acquired stores</w:t>
            </w:r>
          </w:p>
        </w:tc>
        <w:tc>
          <w:tcPr>
            <w:tcW w:w="41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w:t>
            </w:r>
          </w:p>
        </w:tc>
        <w:tc>
          <w:tcPr>
            <w:tcW w:w="186"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3</w:t>
            </w:r>
          </w:p>
        </w:tc>
        <w:tc>
          <w:tcPr>
            <w:tcW w:w="186"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16</w:t>
            </w:r>
          </w:p>
        </w:tc>
        <w:tc>
          <w:tcPr>
            <w:tcW w:w="141" w:type="dxa"/>
            <w:tcBorders/>
            <w:shd w:fill="CCEEFF" w:val="clear"/>
            <w:vAlign w:val="bottom"/>
          </w:tcPr>
          <w:p>
            <w:pPr>
              <w:pStyle w:val="TableContents"/>
              <w:spacing w:before="0" w:after="283"/>
              <w:rPr/>
            </w:pPr>
            <w:r>
              <w:rPr/>
              <w:t> </w:t>
            </w:r>
          </w:p>
        </w:tc>
      </w:tr>
      <w:tr>
        <w:trPr/>
        <w:tc>
          <w:tcPr>
            <w:tcW w:w="5463" w:type="dxa"/>
            <w:tcBorders/>
            <w:shd w:fill="auto" w:val="clear"/>
            <w:vAlign w:val="bottom"/>
          </w:tcPr>
          <w:p>
            <w:pPr>
              <w:pStyle w:val="TableContents"/>
              <w:spacing w:before="0" w:after="0"/>
              <w:ind w:left="225" w:right="0" w:hanging="225"/>
              <w:rPr/>
            </w:pPr>
            <w:r>
              <w:rPr/>
              <w:t>Stores closed or consolidated</w:t>
            </w:r>
          </w:p>
        </w:tc>
        <w:tc>
          <w:tcPr>
            <w:tcW w:w="41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(1</w:t>
            </w:r>
          </w:p>
        </w:tc>
        <w:tc>
          <w:tcPr>
            <w:tcW w:w="186"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(4</w:t>
            </w:r>
          </w:p>
        </w:tc>
        <w:tc>
          <w:tcPr>
            <w:tcW w:w="186"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jc w:val="left"/>
              <w:rPr/>
            </w:pPr>
            <w:r>
              <w:rPr/>
              <w:t> </w:t>
            </w:r>
          </w:p>
        </w:tc>
        <w:tc>
          <w:tcPr>
            <w:tcW w:w="828" w:type="dxa"/>
            <w:tcBorders/>
            <w:shd w:fill="auto" w:val="clear"/>
            <w:vAlign w:val="bottom"/>
          </w:tcPr>
          <w:p>
            <w:pPr>
              <w:pStyle w:val="TableContents"/>
              <w:spacing w:before="0" w:after="283"/>
              <w:jc w:val="right"/>
              <w:rPr/>
            </w:pPr>
            <w:r>
              <w:rPr/>
              <w:t>(3</w:t>
            </w:r>
          </w:p>
        </w:tc>
        <w:tc>
          <w:tcPr>
            <w:tcW w:w="141" w:type="dxa"/>
            <w:tcBorders/>
            <w:shd w:fill="auto" w:val="clear"/>
            <w:vAlign w:val="bottom"/>
          </w:tcPr>
          <w:p>
            <w:pPr>
              <w:pStyle w:val="TableContents"/>
              <w:spacing w:before="0" w:after="283"/>
              <w:rPr/>
            </w:pPr>
            <w:r>
              <w:rPr/>
              <w:t>)</w:t>
            </w:r>
          </w:p>
        </w:tc>
      </w:tr>
      <w:tr>
        <w:trPr/>
        <w:tc>
          <w:tcPr>
            <w:tcW w:w="5463"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9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6"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9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6"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5463" w:type="dxa"/>
            <w:tcBorders/>
            <w:shd w:fill="CCEEFF" w:val="clear"/>
            <w:vAlign w:val="bottom"/>
          </w:tcPr>
          <w:p>
            <w:pPr>
              <w:pStyle w:val="TableContents"/>
              <w:spacing w:before="0" w:after="0"/>
              <w:ind w:left="225" w:right="0" w:hanging="225"/>
              <w:rPr/>
            </w:pPr>
            <w:r>
              <w:rPr/>
              <w:t>Store count at end of fiscal year</w:t>
            </w:r>
          </w:p>
        </w:tc>
        <w:tc>
          <w:tcPr>
            <w:tcW w:w="41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514</w:t>
            </w:r>
          </w:p>
        </w:tc>
        <w:tc>
          <w:tcPr>
            <w:tcW w:w="186"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614</w:t>
            </w:r>
          </w:p>
        </w:tc>
        <w:tc>
          <w:tcPr>
            <w:tcW w:w="186"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731</w:t>
            </w:r>
          </w:p>
        </w:tc>
        <w:tc>
          <w:tcPr>
            <w:tcW w:w="141" w:type="dxa"/>
            <w:tcBorders/>
            <w:shd w:fill="CCEEFF" w:val="clear"/>
            <w:vAlign w:val="bottom"/>
          </w:tcPr>
          <w:p>
            <w:pPr>
              <w:pStyle w:val="TableContents"/>
              <w:spacing w:before="0" w:after="283"/>
              <w:rPr/>
            </w:pPr>
            <w:r>
              <w:rPr/>
              <w:t> </w:t>
            </w:r>
          </w:p>
        </w:tc>
      </w:tr>
      <w:tr>
        <w:trPr/>
        <w:tc>
          <w:tcPr>
            <w:tcW w:w="5463"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9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6"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9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6"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Included in the new stores opened in 2005, 2006 and 2007 are 63, 7 and 6 EZMONEY stores adjoining existing pawnshop locations. In 2007, we opened four EZPAWN stores in Mexico. All other new stores are separate EZMONEY locations. We also acquired fifteen pawn stores and one signature loan store during fiscal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an ongoing basis, we may close or consolidate under-performing store locations. In fiscal 2006, we closed one EZMONEY store and one EZPAWN store, and consolidated two existing EZPAWN stores into two newly acquired stores. In fiscal 2007, we closed one EZMONEY store, consolidated one EZMONEY store into another existing EZMONEY store, and consolidated one existing EZPAWN store into a newly acquired store. </w:t>
      </w:r>
    </w:p>
    <w:p>
      <w:pPr>
        <w:pStyle w:val="TextBody"/>
        <w:jc w:val="center"/>
        <w:rPr>
          <w:rFonts w:ascii="Helvetica;Arial;sans-serif" w:hAnsi="Helvetica;Arial;sans-serif"/>
          <w:sz w:val="17"/>
        </w:rPr>
      </w:pPr>
      <w:r>
        <w:rPr>
          <w:rFonts w:ascii="Helvetica;Arial;sans-serif" w:hAnsi="Helvetica;Arial;san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the number of locations serving each metropolitan area or region as of October 31, 2007: </w:t>
      </w:r>
    </w:p>
    <w:tbl>
      <w:tblPr>
        <w:tblW w:w="5000" w:type="pct"/>
        <w:jc w:val="center"/>
        <w:tblInd w:w="0" w:type="dxa"/>
        <w:tblCellMar>
          <w:top w:w="0" w:type="dxa"/>
          <w:left w:w="0" w:type="dxa"/>
          <w:bottom w:w="0" w:type="dxa"/>
          <w:right w:w="0" w:type="dxa"/>
        </w:tblCellMar>
      </w:tblPr>
      <w:tblGrid>
        <w:gridCol w:w="6327"/>
        <w:gridCol w:w="396"/>
        <w:gridCol w:w="320"/>
        <w:gridCol w:w="813"/>
        <w:gridCol w:w="322"/>
        <w:gridCol w:w="396"/>
        <w:gridCol w:w="341"/>
        <w:gridCol w:w="942"/>
        <w:gridCol w:w="348"/>
      </w:tblGrid>
      <w:tr>
        <w:trPr/>
        <w:tc>
          <w:tcPr>
            <w:tcW w:w="6327"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r>
      <w:tr>
        <w:trPr/>
        <w:tc>
          <w:tcPr>
            <w:tcW w:w="6327"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455" w:type="dxa"/>
            <w:gridSpan w:val="3"/>
            <w:tcBorders/>
            <w:shd w:fill="auto" w:val="clear"/>
            <w:vAlign w:val="bottom"/>
          </w:tcPr>
          <w:p>
            <w:pPr>
              <w:pStyle w:val="TableContents"/>
              <w:spacing w:before="0" w:after="283"/>
              <w:jc w:val="center"/>
              <w:rPr/>
            </w:pPr>
            <w:r>
              <w:rPr/>
              <w:t>EZPAWN</w:t>
            </w:r>
          </w:p>
        </w:tc>
        <w:tc>
          <w:tcPr>
            <w:tcW w:w="396" w:type="dxa"/>
            <w:tcBorders/>
            <w:shd w:fill="auto" w:val="clear"/>
            <w:vAlign w:val="bottom"/>
          </w:tcPr>
          <w:p>
            <w:pPr>
              <w:pStyle w:val="TableContents"/>
              <w:spacing w:before="0" w:after="283"/>
              <w:rPr/>
            </w:pPr>
            <w:r>
              <w:rPr/>
              <w:t> </w:t>
            </w:r>
          </w:p>
        </w:tc>
        <w:tc>
          <w:tcPr>
            <w:tcW w:w="1631" w:type="dxa"/>
            <w:gridSpan w:val="3"/>
            <w:tcBorders/>
            <w:shd w:fill="auto" w:val="clear"/>
            <w:vAlign w:val="bottom"/>
          </w:tcPr>
          <w:p>
            <w:pPr>
              <w:pStyle w:val="TableContents"/>
              <w:spacing w:before="0" w:after="283"/>
              <w:jc w:val="center"/>
              <w:rPr/>
            </w:pPr>
            <w:r>
              <w:rPr/>
              <w:t>EZMONEY</w:t>
            </w:r>
          </w:p>
        </w:tc>
      </w:tr>
      <w:tr>
        <w:trPr/>
        <w:tc>
          <w:tcPr>
            <w:tcW w:w="6327"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455" w:type="dxa"/>
            <w:gridSpan w:val="3"/>
            <w:tcBorders/>
            <w:shd w:fill="auto" w:val="clear"/>
            <w:vAlign w:val="bottom"/>
          </w:tcPr>
          <w:p>
            <w:pPr>
              <w:pStyle w:val="TableContents"/>
              <w:spacing w:before="0" w:after="283"/>
              <w:jc w:val="center"/>
              <w:rPr/>
            </w:pPr>
            <w:r>
              <w:rPr/>
              <w:t>Stores in</w:t>
            </w:r>
          </w:p>
        </w:tc>
        <w:tc>
          <w:tcPr>
            <w:tcW w:w="396" w:type="dxa"/>
            <w:tcBorders/>
            <w:shd w:fill="auto" w:val="clear"/>
            <w:vAlign w:val="bottom"/>
          </w:tcPr>
          <w:p>
            <w:pPr>
              <w:pStyle w:val="TableContents"/>
              <w:spacing w:before="0" w:after="283"/>
              <w:rPr/>
            </w:pPr>
            <w:r>
              <w:rPr/>
              <w:t> </w:t>
            </w:r>
          </w:p>
        </w:tc>
        <w:tc>
          <w:tcPr>
            <w:tcW w:w="1631" w:type="dxa"/>
            <w:gridSpan w:val="3"/>
            <w:tcBorders/>
            <w:shd w:fill="auto" w:val="clear"/>
            <w:vAlign w:val="bottom"/>
          </w:tcPr>
          <w:p>
            <w:pPr>
              <w:pStyle w:val="TableContents"/>
              <w:spacing w:before="0" w:after="283"/>
              <w:jc w:val="center"/>
              <w:rPr/>
            </w:pPr>
            <w:r>
              <w:rPr/>
              <w:t>Stores in</w:t>
            </w:r>
          </w:p>
        </w:tc>
      </w:tr>
      <w:tr>
        <w:trPr/>
        <w:tc>
          <w:tcPr>
            <w:tcW w:w="6327" w:type="dxa"/>
            <w:tcBorders>
              <w:bottom w:val="single" w:sz="2" w:space="0" w:color="000000"/>
            </w:tcBorders>
            <w:shd w:fill="auto" w:val="clear"/>
            <w:tcMar>
              <w:bottom w:w="28" w:type="dxa"/>
            </w:tcMar>
            <w:vAlign w:val="bottom"/>
          </w:tcPr>
          <w:p>
            <w:pPr>
              <w:pStyle w:val="TableContents"/>
              <w:spacing w:before="0" w:after="283"/>
              <w:jc w:val="left"/>
              <w:rPr/>
            </w:pPr>
            <w:r>
              <w:rPr/>
              <w:t>Region/Area</w:t>
            </w:r>
          </w:p>
        </w:tc>
        <w:tc>
          <w:tcPr>
            <w:tcW w:w="396" w:type="dxa"/>
            <w:tcBorders/>
            <w:shd w:fill="auto" w:val="clear"/>
            <w:vAlign w:val="bottom"/>
          </w:tcPr>
          <w:p>
            <w:pPr>
              <w:pStyle w:val="TableContents"/>
              <w:spacing w:before="0" w:after="283"/>
              <w:rPr/>
            </w:pPr>
            <w:r>
              <w:rPr/>
              <w:t> </w:t>
            </w:r>
          </w:p>
        </w:tc>
        <w:tc>
          <w:tcPr>
            <w:tcW w:w="1455" w:type="dxa"/>
            <w:gridSpan w:val="3"/>
            <w:tcBorders>
              <w:bottom w:val="single" w:sz="2" w:space="0" w:color="000000"/>
            </w:tcBorders>
            <w:shd w:fill="auto" w:val="clear"/>
            <w:tcMar>
              <w:bottom w:w="28" w:type="dxa"/>
            </w:tcMar>
            <w:vAlign w:val="bottom"/>
          </w:tcPr>
          <w:p>
            <w:pPr>
              <w:pStyle w:val="TableContents"/>
              <w:spacing w:before="0" w:after="283"/>
              <w:jc w:val="center"/>
              <w:rPr/>
            </w:pPr>
            <w:r>
              <w:rPr/>
              <w:t>Each Area</w:t>
            </w:r>
          </w:p>
        </w:tc>
        <w:tc>
          <w:tcPr>
            <w:tcW w:w="396" w:type="dxa"/>
            <w:tcBorders/>
            <w:shd w:fill="auto" w:val="clear"/>
            <w:vAlign w:val="bottom"/>
          </w:tcPr>
          <w:p>
            <w:pPr>
              <w:pStyle w:val="TableContents"/>
              <w:spacing w:before="0" w:after="283"/>
              <w:rPr/>
            </w:pPr>
            <w:r>
              <w:rPr/>
              <w:t> </w:t>
            </w:r>
          </w:p>
        </w:tc>
        <w:tc>
          <w:tcPr>
            <w:tcW w:w="1631" w:type="dxa"/>
            <w:gridSpan w:val="3"/>
            <w:tcBorders>
              <w:bottom w:val="single" w:sz="2" w:space="0" w:color="000000"/>
            </w:tcBorders>
            <w:shd w:fill="auto" w:val="clear"/>
            <w:tcMar>
              <w:bottom w:w="28" w:type="dxa"/>
            </w:tcMar>
            <w:vAlign w:val="bottom"/>
          </w:tcPr>
          <w:p>
            <w:pPr>
              <w:pStyle w:val="TableContents"/>
              <w:spacing w:before="0" w:after="283"/>
              <w:jc w:val="center"/>
              <w:rPr/>
            </w:pPr>
            <w:r>
              <w:rPr/>
              <w:t>Each Area</w:t>
            </w:r>
          </w:p>
        </w:tc>
      </w:tr>
      <w:tr>
        <w:trPr/>
        <w:tc>
          <w:tcPr>
            <w:tcW w:w="6327" w:type="dxa"/>
            <w:tcBorders/>
            <w:shd w:fill="CCEEFF" w:val="clear"/>
          </w:tcPr>
          <w:p>
            <w:pPr>
              <w:pStyle w:val="TableContents"/>
              <w:spacing w:before="0" w:after="0"/>
              <w:ind w:left="225" w:right="0" w:hanging="225"/>
              <w:rPr/>
            </w:pPr>
            <w:r>
              <w:rPr/>
              <w:t>Texas:</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 </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 </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Houston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60</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86</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Dallas / Ft. Worth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17</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66</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San Antonio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21</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29</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West and Southwest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19</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16</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Valley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20</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10</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Austin Area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7</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20</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Panhandle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9</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9</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Central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10</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7</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Corpus Christi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8</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8</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Laredo Area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11</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2</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top w:val="single" w:sz="2" w:space="0" w:color="000000"/>
            </w:tcBorders>
            <w:shd w:fill="auto" w:val="clear"/>
            <w:tcMar>
              <w:top w:w="28" w:type="dxa"/>
            </w:tcM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top w:val="single" w:sz="2" w:space="0" w:color="000000"/>
            </w:tcBorders>
            <w:shd w:fill="auto" w:val="clear"/>
            <w:tcMar>
              <w:top w:w="28" w:type="dxa"/>
            </w:tcM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675" w:right="0" w:hanging="225"/>
              <w:rPr/>
            </w:pPr>
            <w:r>
              <w:rPr/>
              <w:t xml:space="preserve">Total Texas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182</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253</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225" w:right="0" w:hanging="225"/>
              <w:rPr/>
            </w:pPr>
            <w:r>
              <w:rPr/>
              <w:t>Colorado:</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 </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 </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Denver Area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29</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38</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Colorado Springs Area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9</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10</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Other Areas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3</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top w:val="single" w:sz="2" w:space="0" w:color="000000"/>
            </w:tcBorders>
            <w:shd w:fill="auto" w:val="clear"/>
            <w:tcMar>
              <w:top w:w="28" w:type="dxa"/>
            </w:tcM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top w:val="single" w:sz="2" w:space="0" w:color="000000"/>
            </w:tcBorders>
            <w:shd w:fill="auto" w:val="clear"/>
            <w:tcMar>
              <w:top w:w="28" w:type="dxa"/>
            </w:tcM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675" w:right="0" w:hanging="225"/>
              <w:rPr/>
            </w:pPr>
            <w:r>
              <w:rPr/>
              <w:t xml:space="preserve">Total Colorado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38</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51</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225" w:right="0" w:hanging="225"/>
              <w:rPr/>
            </w:pPr>
            <w:r>
              <w:rPr/>
              <w:t>Wisconsin:</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Milwaukee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10</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Green Bay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9</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Madison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7</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Central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7</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Other Areas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8</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top w:val="single" w:sz="2" w:space="0" w:color="000000"/>
            </w:tcBorders>
            <w:shd w:fill="auto" w:val="clear"/>
            <w:tcMar>
              <w:top w:w="28" w:type="dxa"/>
            </w:tcM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top w:val="single" w:sz="2" w:space="0" w:color="000000"/>
            </w:tcBorders>
            <w:shd w:fill="auto" w:val="clear"/>
            <w:tcMar>
              <w:top w:w="28" w:type="dxa"/>
            </w:tcM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675" w:right="0" w:hanging="225"/>
              <w:rPr/>
            </w:pPr>
            <w:r>
              <w:rPr/>
              <w:t xml:space="preserve">Total Wisconsin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41</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225" w:right="0" w:hanging="225"/>
              <w:rPr/>
            </w:pPr>
            <w:r>
              <w:rPr/>
              <w:t>Florida:</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 </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 </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Tampa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9</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7</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Orlando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8</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4</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Other Areas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1</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83" w:type="dxa"/>
            <w:gridSpan w:val="2"/>
            <w:tcBorders/>
            <w:shd w:fill="auto" w:val="clear"/>
          </w:tcPr>
          <w:p>
            <w:pPr>
              <w:pStyle w:val="TableContents"/>
              <w:spacing w:before="0" w:after="283"/>
              <w:jc w:val="right"/>
              <w:rPr/>
            </w:pPr>
            <w:r>
              <w:rPr/>
              <w:t xml:space="preserve"> </w:t>
            </w:r>
          </w:p>
        </w:tc>
        <w:tc>
          <w:tcPr>
            <w:tcW w:w="348" w:type="dxa"/>
            <w:tcBorders/>
            <w:shd w:fill="auto" w:val="clear"/>
            <w:vAlign w:val="bottom"/>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top w:val="single" w:sz="2" w:space="0" w:color="000000"/>
            </w:tcBorders>
            <w:shd w:fill="auto" w:val="clear"/>
            <w:tcMar>
              <w:top w:w="28" w:type="dxa"/>
            </w:tcM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top w:val="single" w:sz="2" w:space="0" w:color="000000"/>
            </w:tcBorders>
            <w:shd w:fill="auto" w:val="clear"/>
            <w:tcMar>
              <w:top w:w="28" w:type="dxa"/>
            </w:tcM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675" w:right="0" w:hanging="225"/>
              <w:rPr/>
            </w:pPr>
            <w:r>
              <w:rPr/>
              <w:t xml:space="preserve">Total Florida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18</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11</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225" w:right="0" w:hanging="225"/>
              <w:rPr/>
            </w:pPr>
            <w:r>
              <w:rPr/>
              <w:t>Oklahoma:</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Tulsa Area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10</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3</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Oklahoma City Area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9</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3</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Other Areas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1</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83" w:type="dxa"/>
            <w:gridSpan w:val="2"/>
            <w:tcBorders/>
            <w:shd w:fill="CCEEFF" w:val="clear"/>
          </w:tcPr>
          <w:p>
            <w:pPr>
              <w:pStyle w:val="TableContents"/>
              <w:spacing w:before="0" w:after="283"/>
              <w:jc w:val="right"/>
              <w:rPr/>
            </w:pPr>
            <w:r>
              <w:rPr/>
              <w:t xml:space="preserve"> </w:t>
            </w:r>
          </w:p>
        </w:tc>
        <w:tc>
          <w:tcPr>
            <w:tcW w:w="348" w:type="dxa"/>
            <w:tcBorders/>
            <w:shd w:fill="CCEEFF" w:val="clear"/>
            <w:vAlign w:val="bottom"/>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top w:val="single" w:sz="2" w:space="0" w:color="000000"/>
            </w:tcBorders>
            <w:shd w:fill="auto" w:val="clear"/>
            <w:tcMar>
              <w:top w:w="28" w:type="dxa"/>
            </w:tcM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top w:val="single" w:sz="2" w:space="0" w:color="000000"/>
            </w:tcBorders>
            <w:shd w:fill="auto" w:val="clear"/>
            <w:tcMar>
              <w:top w:w="28" w:type="dxa"/>
            </w:tcM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675" w:right="0" w:hanging="225"/>
              <w:rPr/>
            </w:pPr>
            <w:r>
              <w:rPr/>
              <w:t xml:space="preserve">Total Oklahoma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20</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6</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225" w:right="0" w:hanging="225"/>
              <w:rPr/>
            </w:pPr>
            <w:r>
              <w:rPr/>
              <w:t>Utah:</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 </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 </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Salt Lake City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13</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Provo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6</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Other Areas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1</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top w:val="single" w:sz="2" w:space="0" w:color="000000"/>
            </w:tcBorders>
            <w:shd w:fill="auto" w:val="clear"/>
            <w:tcMar>
              <w:top w:w="28" w:type="dxa"/>
            </w:tcM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top w:val="single" w:sz="2" w:space="0" w:color="000000"/>
            </w:tcBorders>
            <w:shd w:fill="auto" w:val="clear"/>
            <w:tcMar>
              <w:top w:w="28" w:type="dxa"/>
            </w:tcM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675" w:right="0" w:hanging="225"/>
              <w:rPr/>
            </w:pPr>
            <w:r>
              <w:rPr/>
              <w:t xml:space="preserve">Total Utah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20</w:t>
            </w:r>
          </w:p>
        </w:tc>
        <w:tc>
          <w:tcPr>
            <w:tcW w:w="348" w:type="dxa"/>
            <w:tcBorders/>
            <w:shd w:fill="CCEEFF" w:val="clear"/>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6357"/>
        <w:gridCol w:w="398"/>
        <w:gridCol w:w="357"/>
        <w:gridCol w:w="725"/>
        <w:gridCol w:w="358"/>
        <w:gridCol w:w="398"/>
        <w:gridCol w:w="383"/>
        <w:gridCol w:w="839"/>
        <w:gridCol w:w="390"/>
      </w:tblGrid>
      <w:tr>
        <w:trPr/>
        <w:tc>
          <w:tcPr>
            <w:tcW w:w="635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r>
      <w:tr>
        <w:trPr/>
        <w:tc>
          <w:tcPr>
            <w:tcW w:w="635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440" w:type="dxa"/>
            <w:gridSpan w:val="3"/>
            <w:tcBorders/>
            <w:shd w:fill="auto" w:val="clear"/>
            <w:vAlign w:val="bottom"/>
          </w:tcPr>
          <w:p>
            <w:pPr>
              <w:pStyle w:val="TableContents"/>
              <w:spacing w:before="0" w:after="283"/>
              <w:jc w:val="center"/>
              <w:rPr/>
            </w:pPr>
            <w:r>
              <w:rPr/>
              <w:t>EZPAWN</w:t>
            </w:r>
          </w:p>
        </w:tc>
        <w:tc>
          <w:tcPr>
            <w:tcW w:w="398" w:type="dxa"/>
            <w:tcBorders/>
            <w:shd w:fill="auto" w:val="clear"/>
            <w:vAlign w:val="bottom"/>
          </w:tcPr>
          <w:p>
            <w:pPr>
              <w:pStyle w:val="TableContents"/>
              <w:spacing w:before="0" w:after="283"/>
              <w:rPr/>
            </w:pPr>
            <w:r>
              <w:rPr/>
              <w:t> </w:t>
            </w:r>
          </w:p>
        </w:tc>
        <w:tc>
          <w:tcPr>
            <w:tcW w:w="1612" w:type="dxa"/>
            <w:gridSpan w:val="3"/>
            <w:tcBorders/>
            <w:shd w:fill="auto" w:val="clear"/>
            <w:vAlign w:val="bottom"/>
          </w:tcPr>
          <w:p>
            <w:pPr>
              <w:pStyle w:val="TableContents"/>
              <w:spacing w:before="0" w:after="283"/>
              <w:jc w:val="center"/>
              <w:rPr/>
            </w:pPr>
            <w:r>
              <w:rPr/>
              <w:t>EZMONEY</w:t>
            </w:r>
          </w:p>
        </w:tc>
      </w:tr>
      <w:tr>
        <w:trPr/>
        <w:tc>
          <w:tcPr>
            <w:tcW w:w="635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440" w:type="dxa"/>
            <w:gridSpan w:val="3"/>
            <w:tcBorders/>
            <w:shd w:fill="auto" w:val="clear"/>
            <w:vAlign w:val="bottom"/>
          </w:tcPr>
          <w:p>
            <w:pPr>
              <w:pStyle w:val="TableContents"/>
              <w:spacing w:before="0" w:after="283"/>
              <w:jc w:val="center"/>
              <w:rPr/>
            </w:pPr>
            <w:r>
              <w:rPr/>
              <w:t>Stores in</w:t>
            </w:r>
          </w:p>
        </w:tc>
        <w:tc>
          <w:tcPr>
            <w:tcW w:w="398" w:type="dxa"/>
            <w:tcBorders/>
            <w:shd w:fill="auto" w:val="clear"/>
            <w:vAlign w:val="bottom"/>
          </w:tcPr>
          <w:p>
            <w:pPr>
              <w:pStyle w:val="TableContents"/>
              <w:spacing w:before="0" w:after="283"/>
              <w:rPr/>
            </w:pPr>
            <w:r>
              <w:rPr/>
              <w:t> </w:t>
            </w:r>
          </w:p>
        </w:tc>
        <w:tc>
          <w:tcPr>
            <w:tcW w:w="1612" w:type="dxa"/>
            <w:gridSpan w:val="3"/>
            <w:tcBorders/>
            <w:shd w:fill="auto" w:val="clear"/>
            <w:vAlign w:val="bottom"/>
          </w:tcPr>
          <w:p>
            <w:pPr>
              <w:pStyle w:val="TableContents"/>
              <w:spacing w:before="0" w:after="283"/>
              <w:jc w:val="center"/>
              <w:rPr/>
            </w:pPr>
            <w:r>
              <w:rPr/>
              <w:t>Stores in</w:t>
            </w:r>
          </w:p>
        </w:tc>
      </w:tr>
      <w:tr>
        <w:trPr/>
        <w:tc>
          <w:tcPr>
            <w:tcW w:w="6357" w:type="dxa"/>
            <w:tcBorders>
              <w:bottom w:val="single" w:sz="2" w:space="0" w:color="000000"/>
            </w:tcBorders>
            <w:shd w:fill="auto" w:val="clear"/>
            <w:tcMar>
              <w:bottom w:w="28" w:type="dxa"/>
            </w:tcMar>
            <w:vAlign w:val="bottom"/>
          </w:tcPr>
          <w:p>
            <w:pPr>
              <w:pStyle w:val="TableContents"/>
              <w:spacing w:before="0" w:after="283"/>
              <w:jc w:val="left"/>
              <w:rPr/>
            </w:pPr>
            <w:r>
              <w:rPr/>
              <w:t>Region/Area</w:t>
            </w:r>
          </w:p>
        </w:tc>
        <w:tc>
          <w:tcPr>
            <w:tcW w:w="398" w:type="dxa"/>
            <w:tcBorders/>
            <w:shd w:fill="auto" w:val="clear"/>
            <w:vAlign w:val="bottom"/>
          </w:tcPr>
          <w:p>
            <w:pPr>
              <w:pStyle w:val="TableContents"/>
              <w:spacing w:before="0" w:after="283"/>
              <w:rPr/>
            </w:pPr>
            <w:r>
              <w:rPr/>
              <w:t> </w:t>
            </w:r>
          </w:p>
        </w:tc>
        <w:tc>
          <w:tcPr>
            <w:tcW w:w="1440" w:type="dxa"/>
            <w:gridSpan w:val="3"/>
            <w:tcBorders>
              <w:bottom w:val="single" w:sz="2" w:space="0" w:color="000000"/>
            </w:tcBorders>
            <w:shd w:fill="auto" w:val="clear"/>
            <w:tcMar>
              <w:bottom w:w="28" w:type="dxa"/>
            </w:tcMar>
            <w:vAlign w:val="bottom"/>
          </w:tcPr>
          <w:p>
            <w:pPr>
              <w:pStyle w:val="TableContents"/>
              <w:spacing w:before="0" w:after="283"/>
              <w:jc w:val="center"/>
              <w:rPr/>
            </w:pPr>
            <w:r>
              <w:rPr/>
              <w:t>Each Area</w:t>
            </w:r>
          </w:p>
        </w:tc>
        <w:tc>
          <w:tcPr>
            <w:tcW w:w="398" w:type="dxa"/>
            <w:tcBorders/>
            <w:shd w:fill="auto" w:val="clear"/>
            <w:vAlign w:val="bottom"/>
          </w:tcPr>
          <w:p>
            <w:pPr>
              <w:pStyle w:val="TableContents"/>
              <w:spacing w:before="0" w:after="283"/>
              <w:rPr/>
            </w:pPr>
            <w:r>
              <w:rPr/>
              <w:t> </w:t>
            </w:r>
          </w:p>
        </w:tc>
        <w:tc>
          <w:tcPr>
            <w:tcW w:w="1612" w:type="dxa"/>
            <w:gridSpan w:val="3"/>
            <w:tcBorders>
              <w:bottom w:val="single" w:sz="2" w:space="0" w:color="000000"/>
            </w:tcBorders>
            <w:shd w:fill="auto" w:val="clear"/>
            <w:tcMar>
              <w:bottom w:w="28" w:type="dxa"/>
            </w:tcMar>
            <w:vAlign w:val="bottom"/>
          </w:tcPr>
          <w:p>
            <w:pPr>
              <w:pStyle w:val="TableContents"/>
              <w:spacing w:before="0" w:after="283"/>
              <w:jc w:val="center"/>
              <w:rPr/>
            </w:pPr>
            <w:r>
              <w:rPr/>
              <w:t>Each Area</w:t>
            </w:r>
          </w:p>
        </w:tc>
      </w:tr>
      <w:tr>
        <w:trPr/>
        <w:tc>
          <w:tcPr>
            <w:tcW w:w="6357" w:type="dxa"/>
            <w:tcBorders/>
            <w:shd w:fill="auto" w:val="clear"/>
          </w:tcPr>
          <w:p>
            <w:pPr>
              <w:pStyle w:val="TableContents"/>
              <w:spacing w:before="0" w:after="0"/>
              <w:ind w:left="225" w:right="0" w:hanging="225"/>
              <w:rPr/>
            </w:pPr>
            <w:r>
              <w:rPr/>
              <w:t>Nebraska:</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450" w:right="0" w:hanging="225"/>
              <w:rPr/>
            </w:pPr>
            <w:r>
              <w:rPr/>
              <w:t xml:space="preserve">Omaha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8</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450" w:right="0" w:hanging="225"/>
              <w:rPr/>
            </w:pPr>
            <w:r>
              <w:rPr/>
              <w:t xml:space="preserve">Lincoln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4</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450" w:right="0" w:hanging="225"/>
              <w:rPr/>
            </w:pPr>
            <w:r>
              <w:rPr/>
              <w:t xml:space="preserve">Other Areas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3</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center"/>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top w:val="single" w:sz="2" w:space="0" w:color="000000"/>
            </w:tcBorders>
            <w:shd w:fill="auto" w:val="clear"/>
            <w:tcMar>
              <w:top w:w="28" w:type="dxa"/>
            </w:tcM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top w:val="single" w:sz="2" w:space="0" w:color="000000"/>
            </w:tcBorders>
            <w:shd w:fill="auto" w:val="clear"/>
            <w:tcMar>
              <w:top w:w="28" w:type="dxa"/>
            </w:tcM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675" w:right="0" w:hanging="225"/>
              <w:rPr/>
            </w:pPr>
            <w:r>
              <w:rPr/>
              <w:t xml:space="preserve">Total Nebraska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15</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225" w:right="0" w:hanging="225"/>
              <w:rPr/>
            </w:pPr>
            <w:r>
              <w:rPr/>
              <w:t>Indiana:</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 </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 </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450" w:right="0" w:hanging="225"/>
              <w:rPr/>
            </w:pPr>
            <w:r>
              <w:rPr/>
              <w:t xml:space="preserve">Indianapolis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8</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12" w:type="dxa"/>
            <w:gridSpan w:val="3"/>
            <w:tcBorders/>
            <w:shd w:fill="auto" w:val="clear"/>
          </w:tcPr>
          <w:p>
            <w:pPr>
              <w:pStyle w:val="TableContents"/>
              <w:spacing w:before="0" w:after="283"/>
              <w:jc w:val="center"/>
              <w:rPr/>
            </w:pPr>
            <w:r>
              <w:rPr/>
              <w:t xml:space="preserve"> </w:t>
            </w:r>
          </w:p>
        </w:tc>
      </w:tr>
      <w:tr>
        <w:trPr/>
        <w:tc>
          <w:tcPr>
            <w:tcW w:w="6357" w:type="dxa"/>
            <w:tcBorders/>
            <w:shd w:fill="CCEEFF" w:val="clear"/>
          </w:tcPr>
          <w:p>
            <w:pPr>
              <w:pStyle w:val="TableContents"/>
              <w:spacing w:before="0" w:after="0"/>
              <w:ind w:left="450" w:right="0" w:hanging="225"/>
              <w:rPr/>
            </w:pPr>
            <w:r>
              <w:rPr/>
              <w:t xml:space="preserve">Other Areas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7</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12" w:type="dxa"/>
            <w:gridSpan w:val="3"/>
            <w:tcBorders/>
            <w:shd w:fill="CCEEFF" w:val="clear"/>
          </w:tcPr>
          <w:p>
            <w:pPr>
              <w:pStyle w:val="TableContents"/>
              <w:spacing w:before="0" w:after="283"/>
              <w:jc w:val="center"/>
              <w:rPr/>
            </w:pPr>
            <w:r>
              <w:rPr/>
              <w:t xml:space="preserve">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center"/>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top w:val="single" w:sz="2" w:space="0" w:color="000000"/>
            </w:tcBorders>
            <w:shd w:fill="auto" w:val="clear"/>
            <w:tcMar>
              <w:top w:w="28" w:type="dxa"/>
            </w:tcM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top w:val="single" w:sz="2" w:space="0" w:color="000000"/>
            </w:tcBorders>
            <w:shd w:fill="auto" w:val="clear"/>
            <w:tcMar>
              <w:top w:w="28" w:type="dxa"/>
            </w:tcM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675" w:right="0" w:hanging="225"/>
              <w:rPr/>
            </w:pPr>
            <w:r>
              <w:rPr/>
              <w:t xml:space="preserve">Total Indiana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15</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12" w:type="dxa"/>
            <w:gridSpan w:val="3"/>
            <w:tcBorders/>
            <w:shd w:fill="auto" w:val="clear"/>
          </w:tcPr>
          <w:p>
            <w:pPr>
              <w:pStyle w:val="TableContents"/>
              <w:spacing w:before="0" w:after="283"/>
              <w:jc w:val="center"/>
              <w:rPr/>
            </w:pPr>
            <w:r>
              <w:rPr/>
              <w:t xml:space="preserve">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225" w:right="0" w:hanging="225"/>
              <w:rPr/>
            </w:pPr>
            <w:r>
              <w:rPr/>
              <w:t>Kansas:</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 </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 </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450" w:right="0" w:hanging="225"/>
              <w:rPr/>
            </w:pPr>
            <w:r>
              <w:rPr/>
              <w:t xml:space="preserve">Topeka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4</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450" w:right="0" w:hanging="225"/>
              <w:rPr/>
            </w:pPr>
            <w:r>
              <w:rPr/>
              <w:t xml:space="preserve">Kansas City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4</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450" w:right="0" w:hanging="225"/>
              <w:rPr/>
            </w:pPr>
            <w:r>
              <w:rPr/>
              <w:t xml:space="preserve">Wichita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4</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450" w:right="0" w:hanging="225"/>
              <w:rPr/>
            </w:pPr>
            <w:r>
              <w:rPr/>
              <w:t xml:space="preserve">Other Areas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1</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center"/>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top w:val="single" w:sz="2" w:space="0" w:color="000000"/>
            </w:tcBorders>
            <w:shd w:fill="auto" w:val="clear"/>
            <w:tcMar>
              <w:top w:w="28" w:type="dxa"/>
            </w:tcM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top w:val="single" w:sz="2" w:space="0" w:color="000000"/>
            </w:tcBorders>
            <w:shd w:fill="auto" w:val="clear"/>
            <w:tcMar>
              <w:top w:w="28" w:type="dxa"/>
            </w:tcM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675" w:right="0" w:hanging="225"/>
              <w:rPr/>
            </w:pPr>
            <w:r>
              <w:rPr/>
              <w:t xml:space="preserve">Total Kansas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13</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225" w:right="0" w:hanging="225"/>
              <w:rPr/>
            </w:pPr>
            <w:r>
              <w:rPr/>
              <w:t>Idaho:</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 </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 </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450" w:right="0" w:hanging="225"/>
              <w:rPr/>
            </w:pPr>
            <w:r>
              <w:rPr/>
              <w:t xml:space="preserve">Boise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9</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450" w:right="0" w:hanging="225"/>
              <w:rPr/>
            </w:pPr>
            <w:r>
              <w:rPr/>
              <w:t xml:space="preserve">Idaho Falls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3</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450" w:right="0" w:hanging="225"/>
              <w:rPr/>
            </w:pPr>
            <w:r>
              <w:rPr/>
              <w:t xml:space="preserve">Other Areas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1</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center"/>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top w:val="single" w:sz="2" w:space="0" w:color="000000"/>
            </w:tcBorders>
            <w:shd w:fill="auto" w:val="clear"/>
            <w:tcMar>
              <w:top w:w="28" w:type="dxa"/>
            </w:tcM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top w:val="single" w:sz="2" w:space="0" w:color="000000"/>
            </w:tcBorders>
            <w:shd w:fill="auto" w:val="clear"/>
            <w:tcMar>
              <w:top w:w="28" w:type="dxa"/>
            </w:tcM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675" w:right="0" w:hanging="225"/>
              <w:rPr/>
            </w:pPr>
            <w:r>
              <w:rPr/>
              <w:t xml:space="preserve">Total Idaho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13</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225" w:right="0" w:hanging="225"/>
              <w:rPr/>
            </w:pPr>
            <w:r>
              <w:rPr/>
              <w:t>Alabama:</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450" w:right="0" w:hanging="225"/>
              <w:rPr/>
            </w:pPr>
            <w:r>
              <w:rPr/>
              <w:t xml:space="preserve">Birmingham Area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5</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4</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450" w:right="0" w:hanging="225"/>
              <w:rPr/>
            </w:pPr>
            <w:r>
              <w:rPr/>
              <w:t xml:space="preserve">Other Areas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2</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1</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center"/>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top w:val="single" w:sz="2" w:space="0" w:color="000000"/>
            </w:tcBorders>
            <w:shd w:fill="auto" w:val="clear"/>
            <w:tcMar>
              <w:top w:w="28" w:type="dxa"/>
            </w:tcM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top w:val="single" w:sz="2" w:space="0" w:color="000000"/>
            </w:tcBorders>
            <w:shd w:fill="auto" w:val="clear"/>
            <w:tcMar>
              <w:top w:w="28" w:type="dxa"/>
            </w:tcM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675" w:right="0" w:hanging="225"/>
              <w:rPr/>
            </w:pPr>
            <w:r>
              <w:rPr/>
              <w:t xml:space="preserve">Total Alabama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7</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5</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225" w:right="0" w:hanging="225"/>
              <w:rPr/>
            </w:pPr>
            <w:r>
              <w:rPr/>
              <w:t>South Dakota:</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450" w:right="0" w:hanging="225"/>
              <w:rPr/>
            </w:pPr>
            <w:r>
              <w:rPr/>
              <w:t xml:space="preserve">Sioux Falls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3</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450" w:right="0" w:hanging="225"/>
              <w:rPr/>
            </w:pPr>
            <w:r>
              <w:rPr/>
              <w:t xml:space="preserve">Other Areas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3</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center"/>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top w:val="single" w:sz="2" w:space="0" w:color="000000"/>
            </w:tcBorders>
            <w:shd w:fill="auto" w:val="clear"/>
            <w:tcMar>
              <w:top w:w="28" w:type="dxa"/>
            </w:tcM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top w:val="single" w:sz="2" w:space="0" w:color="000000"/>
            </w:tcBorders>
            <w:shd w:fill="auto" w:val="clear"/>
            <w:tcMar>
              <w:top w:w="28" w:type="dxa"/>
            </w:tcM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675" w:right="0" w:hanging="225"/>
              <w:rPr/>
            </w:pPr>
            <w:r>
              <w:rPr/>
              <w:t xml:space="preserve">Total South Dakota </w:t>
            </w:r>
          </w:p>
        </w:tc>
        <w:tc>
          <w:tcPr>
            <w:tcW w:w="398" w:type="dxa"/>
            <w:tcBorders/>
            <w:shd w:fill="CCEEFF" w:val="clear"/>
            <w:vAlign w:val="bottom"/>
          </w:tcPr>
          <w:p>
            <w:pPr>
              <w:pStyle w:val="TableContents"/>
              <w:spacing w:before="0" w:after="283"/>
              <w:rPr/>
            </w:pPr>
            <w:r>
              <w:rPr/>
              <w:t> </w:t>
            </w:r>
          </w:p>
        </w:tc>
        <w:tc>
          <w:tcPr>
            <w:tcW w:w="1440" w:type="dxa"/>
            <w:gridSpan w:val="3"/>
            <w:tcBorders/>
            <w:shd w:fill="CCEEFF" w:val="clear"/>
          </w:tcPr>
          <w:p>
            <w:pPr>
              <w:pStyle w:val="TableContents"/>
              <w:spacing w:before="0" w:after="283"/>
              <w:jc w:val="center"/>
              <w:rPr/>
            </w:pPr>
            <w:r>
              <w:rPr/>
              <w:t></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6</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225" w:right="0" w:hanging="225"/>
              <w:rPr/>
            </w:pPr>
            <w:r>
              <w:rPr/>
              <w:t>Nevada:</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450" w:right="0" w:hanging="225"/>
              <w:rPr/>
            </w:pPr>
            <w:r>
              <w:rPr/>
              <w:t xml:space="preserve">Las Vegas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4</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12" w:type="dxa"/>
            <w:gridSpan w:val="3"/>
            <w:tcBorders/>
            <w:shd w:fill="CCEEFF" w:val="clear"/>
          </w:tcPr>
          <w:p>
            <w:pPr>
              <w:pStyle w:val="TableContents"/>
              <w:spacing w:before="0" w:after="283"/>
              <w:jc w:val="center"/>
              <w:rPr/>
            </w:pPr>
            <w:r>
              <w:rPr/>
              <w:t xml:space="preserve">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center"/>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top w:val="single" w:sz="2" w:space="0" w:color="000000"/>
            </w:tcBorders>
            <w:shd w:fill="auto" w:val="clear"/>
            <w:tcMar>
              <w:top w:w="28" w:type="dxa"/>
            </w:tcM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top w:val="single" w:sz="2" w:space="0" w:color="000000"/>
            </w:tcBorders>
            <w:shd w:fill="auto" w:val="clear"/>
            <w:tcMar>
              <w:top w:w="28" w:type="dxa"/>
            </w:tcM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675" w:right="0" w:hanging="225"/>
              <w:rPr/>
            </w:pPr>
            <w:r>
              <w:rPr/>
              <w:t xml:space="preserve">Total Nevada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4</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12" w:type="dxa"/>
            <w:gridSpan w:val="3"/>
            <w:tcBorders/>
            <w:shd w:fill="auto" w:val="clear"/>
          </w:tcPr>
          <w:p>
            <w:pPr>
              <w:pStyle w:val="TableContents"/>
              <w:spacing w:before="0" w:after="283"/>
              <w:jc w:val="center"/>
              <w:rPr/>
            </w:pPr>
            <w:r>
              <w:rPr/>
              <w:t xml:space="preserve">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225" w:right="0" w:hanging="225"/>
              <w:rPr/>
            </w:pPr>
            <w:r>
              <w:rPr/>
              <w:t>Tennessee:</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 </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83" w:type="dxa"/>
            <w:tcBorders/>
            <w:shd w:fill="CCEEFF" w:val="clear"/>
          </w:tcPr>
          <w:p>
            <w:pPr>
              <w:pStyle w:val="TableContents"/>
              <w:spacing w:before="0" w:after="283"/>
              <w:jc w:val="right"/>
              <w:rPr/>
            </w:pPr>
            <w:r>
              <w:rPr/>
              <w:t> </w:t>
            </w:r>
          </w:p>
        </w:tc>
        <w:tc>
          <w:tcPr>
            <w:tcW w:w="839" w:type="dxa"/>
            <w:tcBorders/>
            <w:shd w:fill="CCEEFF" w:val="clear"/>
          </w:tcPr>
          <w:p>
            <w:pPr>
              <w:pStyle w:val="TableContents"/>
              <w:spacing w:before="0" w:after="283"/>
              <w:jc w:val="right"/>
              <w:rPr/>
            </w:pPr>
            <w:r>
              <w:rPr/>
              <w:t> </w:t>
            </w:r>
          </w:p>
        </w:tc>
        <w:tc>
          <w:tcPr>
            <w:tcW w:w="390" w:type="dxa"/>
            <w:tcBorders/>
            <w:shd w:fill="CCEEFF" w:val="clear"/>
          </w:tcPr>
          <w:p>
            <w:pPr>
              <w:pStyle w:val="TableContents"/>
              <w:spacing w:before="0" w:after="283"/>
              <w:rPr/>
            </w:pPr>
            <w:r>
              <w:rPr/>
              <w:t> </w:t>
            </w:r>
          </w:p>
        </w:tc>
      </w:tr>
      <w:tr>
        <w:trPr/>
        <w:tc>
          <w:tcPr>
            <w:tcW w:w="6357" w:type="dxa"/>
            <w:tcBorders/>
            <w:shd w:fill="auto" w:val="clear"/>
          </w:tcPr>
          <w:p>
            <w:pPr>
              <w:pStyle w:val="TableContents"/>
              <w:spacing w:before="0" w:after="0"/>
              <w:ind w:left="450" w:right="0" w:hanging="225"/>
              <w:rPr/>
            </w:pPr>
            <w:r>
              <w:rPr/>
              <w:t xml:space="preserve">Memphis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3</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12" w:type="dxa"/>
            <w:gridSpan w:val="3"/>
            <w:tcBorders/>
            <w:shd w:fill="auto" w:val="clear"/>
          </w:tcPr>
          <w:p>
            <w:pPr>
              <w:pStyle w:val="TableContents"/>
              <w:spacing w:before="0" w:after="283"/>
              <w:jc w:val="center"/>
              <w:rPr/>
            </w:pPr>
            <w:r>
              <w:rPr/>
              <w:t xml:space="preserve">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center"/>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top w:val="single" w:sz="2" w:space="0" w:color="000000"/>
            </w:tcBorders>
            <w:shd w:fill="auto" w:val="clear"/>
            <w:tcMar>
              <w:top w:w="28" w:type="dxa"/>
            </w:tcM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top w:val="single" w:sz="2" w:space="0" w:color="000000"/>
            </w:tcBorders>
            <w:shd w:fill="auto" w:val="clear"/>
            <w:tcMar>
              <w:top w:w="28" w:type="dxa"/>
            </w:tcM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675" w:right="0" w:hanging="225"/>
              <w:rPr/>
            </w:pPr>
            <w:r>
              <w:rPr/>
              <w:t xml:space="preserve">Total Tennessee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3</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12" w:type="dxa"/>
            <w:gridSpan w:val="3"/>
            <w:tcBorders/>
            <w:shd w:fill="CCEEFF" w:val="clear"/>
          </w:tcPr>
          <w:p>
            <w:pPr>
              <w:pStyle w:val="TableContents"/>
              <w:spacing w:before="0" w:after="283"/>
              <w:jc w:val="center"/>
              <w:rPr/>
            </w:pPr>
            <w:r>
              <w:rPr/>
              <w:t xml:space="preserve">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auto" w:val="clear"/>
          </w:tcPr>
          <w:p>
            <w:pPr>
              <w:pStyle w:val="TableContents"/>
              <w:spacing w:before="0" w:after="0"/>
              <w:ind w:left="225" w:right="0" w:hanging="225"/>
              <w:rPr/>
            </w:pPr>
            <w:r>
              <w:rPr/>
              <w:t>Louisiana:</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shd w:fill="auto" w:val="cle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450" w:right="0" w:hanging="225"/>
              <w:rPr/>
            </w:pPr>
            <w:r>
              <w:rPr/>
              <w:t xml:space="preserve">New Orleans Area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2</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12" w:type="dxa"/>
            <w:gridSpan w:val="3"/>
            <w:tcBorders/>
            <w:shd w:fill="CCEEFF" w:val="clear"/>
          </w:tcPr>
          <w:p>
            <w:pPr>
              <w:pStyle w:val="TableContents"/>
              <w:spacing w:before="0" w:after="283"/>
              <w:jc w:val="center"/>
              <w:rPr/>
            </w:pPr>
            <w:r>
              <w:rPr/>
              <w:t xml:space="preserve"> </w:t>
            </w:r>
          </w:p>
        </w:tc>
      </w:tr>
      <w:tr>
        <w:trPr/>
        <w:tc>
          <w:tcPr>
            <w:tcW w:w="6357" w:type="dxa"/>
            <w:tcBorders/>
            <w:shd w:fill="auto" w:val="clear"/>
          </w:tcPr>
          <w:p>
            <w:pPr>
              <w:pStyle w:val="TableContents"/>
              <w:spacing w:before="0" w:after="0"/>
              <w:ind w:left="450" w:right="0" w:hanging="225"/>
              <w:rPr/>
            </w:pPr>
            <w:r>
              <w:rPr/>
              <w:t xml:space="preserve">Other Areas </w:t>
            </w:r>
          </w:p>
        </w:tc>
        <w:tc>
          <w:tcPr>
            <w:tcW w:w="398"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shd w:fill="auto" w:val="clear"/>
          </w:tcPr>
          <w:p>
            <w:pPr>
              <w:pStyle w:val="TableContents"/>
              <w:spacing w:before="0" w:after="283"/>
              <w:jc w:val="right"/>
              <w:rPr/>
            </w:pPr>
            <w:r>
              <w:rPr/>
              <w:t>1</w:t>
            </w:r>
          </w:p>
        </w:tc>
        <w:tc>
          <w:tcPr>
            <w:tcW w:w="358" w:type="dxa"/>
            <w:tcBorders/>
            <w:shd w:fill="auto" w:val="clea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12" w:type="dxa"/>
            <w:gridSpan w:val="3"/>
            <w:tcBorders/>
            <w:shd w:fill="auto" w:val="clear"/>
          </w:tcPr>
          <w:p>
            <w:pPr>
              <w:pStyle w:val="TableContents"/>
              <w:spacing w:before="0" w:after="283"/>
              <w:jc w:val="center"/>
              <w:rPr/>
            </w:pPr>
            <w:r>
              <w:rPr/>
              <w:t xml:space="preserve"> </w:t>
            </w:r>
          </w:p>
        </w:tc>
      </w:tr>
      <w:tr>
        <w:trPr/>
        <w:tc>
          <w:tcPr>
            <w:tcW w:w="6357" w:type="dxa"/>
            <w:tcBorders/>
            <w:shd w:fill="auto" w:val="clear"/>
          </w:tcPr>
          <w:p>
            <w:pPr>
              <w:pStyle w:val="TableContents"/>
              <w:spacing w:before="0" w:after="0"/>
              <w:ind w:left="0" w:right="0" w:hanging="0"/>
              <w:rPr/>
            </w:pPr>
            <w:r>
              <w:rPr/>
              <w:t> </w:t>
            </w:r>
          </w:p>
        </w:tc>
        <w:tc>
          <w:tcPr>
            <w:tcW w:w="398" w:type="dxa"/>
            <w:tcBorders/>
            <w:shd w:fill="auto" w:val="clear"/>
            <w:vAlign w:val="center"/>
          </w:tcPr>
          <w:p>
            <w:pPr>
              <w:pStyle w:val="TableContents"/>
              <w:spacing w:before="0" w:after="283"/>
              <w:rPr/>
            </w:pPr>
            <w:r>
              <w:rPr/>
              <w:t> </w:t>
            </w:r>
          </w:p>
        </w:tc>
        <w:tc>
          <w:tcPr>
            <w:tcW w:w="357" w:type="dxa"/>
            <w:tcBorders/>
            <w:shd w:fill="auto" w:val="clear"/>
          </w:tcPr>
          <w:p>
            <w:pPr>
              <w:pStyle w:val="TableContents"/>
              <w:spacing w:before="0" w:after="283"/>
              <w:jc w:val="right"/>
              <w:rPr/>
            </w:pPr>
            <w:r>
              <w:rPr/>
              <w:t> </w:t>
            </w:r>
          </w:p>
        </w:tc>
        <w:tc>
          <w:tcPr>
            <w:tcW w:w="725" w:type="dxa"/>
            <w:tcBorders>
              <w:top w:val="single" w:sz="2" w:space="0" w:color="000000"/>
            </w:tcBorders>
            <w:shd w:fill="auto" w:val="clear"/>
            <w:tcMar>
              <w:top w:w="28" w:type="dxa"/>
            </w:tcMar>
          </w:tcPr>
          <w:p>
            <w:pPr>
              <w:pStyle w:val="TableContents"/>
              <w:spacing w:before="0" w:after="283"/>
              <w:jc w:val="right"/>
              <w:rPr/>
            </w:pPr>
            <w:r>
              <w:rPr/>
              <w:t> </w:t>
            </w:r>
          </w:p>
        </w:tc>
        <w:tc>
          <w:tcPr>
            <w:tcW w:w="358" w:type="dxa"/>
            <w:tcBorders/>
            <w:shd w:fill="auto" w:val="clea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383" w:type="dxa"/>
            <w:tcBorders/>
            <w:shd w:fill="auto" w:val="clear"/>
          </w:tcPr>
          <w:p>
            <w:pPr>
              <w:pStyle w:val="TableContents"/>
              <w:spacing w:before="0" w:after="283"/>
              <w:jc w:val="right"/>
              <w:rPr/>
            </w:pPr>
            <w:r>
              <w:rPr/>
              <w:t> </w:t>
            </w:r>
          </w:p>
        </w:tc>
        <w:tc>
          <w:tcPr>
            <w:tcW w:w="839" w:type="dxa"/>
            <w:tcBorders>
              <w:top w:val="single" w:sz="2" w:space="0" w:color="000000"/>
            </w:tcBorders>
            <w:shd w:fill="auto" w:val="clear"/>
            <w:tcMar>
              <w:top w:w="28" w:type="dxa"/>
            </w:tcMar>
          </w:tcPr>
          <w:p>
            <w:pPr>
              <w:pStyle w:val="TableContents"/>
              <w:spacing w:before="0" w:after="283"/>
              <w:jc w:val="right"/>
              <w:rPr/>
            </w:pPr>
            <w:r>
              <w:rPr/>
              <w:t> </w:t>
            </w:r>
          </w:p>
        </w:tc>
        <w:tc>
          <w:tcPr>
            <w:tcW w:w="390" w:type="dxa"/>
            <w:tcBorders/>
            <w:shd w:fill="auto" w:val="clear"/>
          </w:tcPr>
          <w:p>
            <w:pPr>
              <w:pStyle w:val="TableContents"/>
              <w:spacing w:before="0" w:after="283"/>
              <w:rPr/>
            </w:pPr>
            <w:r>
              <w:rPr/>
              <w:t> </w:t>
            </w:r>
          </w:p>
        </w:tc>
      </w:tr>
      <w:tr>
        <w:trPr/>
        <w:tc>
          <w:tcPr>
            <w:tcW w:w="6357" w:type="dxa"/>
            <w:tcBorders/>
            <w:shd w:fill="CCEEFF" w:val="clear"/>
          </w:tcPr>
          <w:p>
            <w:pPr>
              <w:pStyle w:val="TableContents"/>
              <w:spacing w:before="0" w:after="0"/>
              <w:ind w:left="675" w:right="0" w:hanging="225"/>
              <w:rPr/>
            </w:pPr>
            <w:r>
              <w:rPr/>
              <w:t xml:space="preserve">Total Louisiana </w:t>
            </w:r>
          </w:p>
        </w:tc>
        <w:tc>
          <w:tcPr>
            <w:tcW w:w="398" w:type="dxa"/>
            <w:tcBorders/>
            <w:shd w:fill="CCEEFF" w:val="clear"/>
            <w:vAlign w:val="bottom"/>
          </w:tcPr>
          <w:p>
            <w:pPr>
              <w:pStyle w:val="TableContents"/>
              <w:spacing w:before="0" w:after="283"/>
              <w:rPr/>
            </w:pPr>
            <w:r>
              <w:rPr/>
              <w:t> </w:t>
            </w:r>
          </w:p>
        </w:tc>
        <w:tc>
          <w:tcPr>
            <w:tcW w:w="357" w:type="dxa"/>
            <w:tcBorders/>
            <w:shd w:fill="CCEEFF" w:val="clear"/>
          </w:tcPr>
          <w:p>
            <w:pPr>
              <w:pStyle w:val="TableContents"/>
              <w:spacing w:before="0" w:after="283"/>
              <w:jc w:val="right"/>
              <w:rPr/>
            </w:pPr>
            <w:r>
              <w:rPr/>
              <w:t> </w:t>
            </w:r>
          </w:p>
        </w:tc>
        <w:tc>
          <w:tcPr>
            <w:tcW w:w="725" w:type="dxa"/>
            <w:tcBorders/>
            <w:shd w:fill="CCEEFF" w:val="clear"/>
          </w:tcPr>
          <w:p>
            <w:pPr>
              <w:pStyle w:val="TableContents"/>
              <w:spacing w:before="0" w:after="283"/>
              <w:jc w:val="right"/>
              <w:rPr/>
            </w:pPr>
            <w:r>
              <w:rPr/>
              <w:t>3</w:t>
            </w:r>
          </w:p>
        </w:tc>
        <w:tc>
          <w:tcPr>
            <w:tcW w:w="358" w:type="dxa"/>
            <w:tcBorders/>
            <w:shd w:fill="CCEEFF" w:val="clear"/>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12" w:type="dxa"/>
            <w:gridSpan w:val="3"/>
            <w:tcBorders/>
            <w:shd w:fill="CCEEFF" w:val="clear"/>
          </w:tcPr>
          <w:p>
            <w:pPr>
              <w:pStyle w:val="TableContents"/>
              <w:spacing w:before="0" w:after="283"/>
              <w:jc w:val="center"/>
              <w:rPr/>
            </w:pPr>
            <w:r>
              <w:rPr/>
              <w:t xml:space="preserve"> </w:t>
            </w:r>
          </w:p>
        </w:tc>
      </w:tr>
    </w:tbl>
    <w:p>
      <w:pPr>
        <w:pStyle w:val="TextBody"/>
        <w:jc w:val="center"/>
        <w:rPr>
          <w:rFonts w:ascii="Helvetica;Arial;sans-serif" w:hAnsi="Helvetica;Arial;sans-serif"/>
          <w:sz w:val="17"/>
        </w:rPr>
      </w:pPr>
      <w:r>
        <w:rPr>
          <w:rFonts w:ascii="Helvetica;Arial;sans-serif" w:hAnsi="Helvetica;Arial;san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6327"/>
        <w:gridCol w:w="396"/>
        <w:gridCol w:w="320"/>
        <w:gridCol w:w="813"/>
        <w:gridCol w:w="322"/>
        <w:gridCol w:w="396"/>
        <w:gridCol w:w="341"/>
        <w:gridCol w:w="942"/>
        <w:gridCol w:w="348"/>
      </w:tblGrid>
      <w:tr>
        <w:trPr/>
        <w:tc>
          <w:tcPr>
            <w:tcW w:w="6327"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r>
      <w:tr>
        <w:trPr/>
        <w:tc>
          <w:tcPr>
            <w:tcW w:w="6327"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455" w:type="dxa"/>
            <w:gridSpan w:val="3"/>
            <w:tcBorders/>
            <w:shd w:fill="auto" w:val="clear"/>
            <w:vAlign w:val="bottom"/>
          </w:tcPr>
          <w:p>
            <w:pPr>
              <w:pStyle w:val="TableContents"/>
              <w:spacing w:before="0" w:after="283"/>
              <w:jc w:val="center"/>
              <w:rPr/>
            </w:pPr>
            <w:r>
              <w:rPr/>
              <w:t>EZPAWN</w:t>
            </w:r>
          </w:p>
        </w:tc>
        <w:tc>
          <w:tcPr>
            <w:tcW w:w="396" w:type="dxa"/>
            <w:tcBorders/>
            <w:shd w:fill="auto" w:val="clear"/>
            <w:vAlign w:val="bottom"/>
          </w:tcPr>
          <w:p>
            <w:pPr>
              <w:pStyle w:val="TableContents"/>
              <w:spacing w:before="0" w:after="283"/>
              <w:rPr/>
            </w:pPr>
            <w:r>
              <w:rPr/>
              <w:t> </w:t>
            </w:r>
          </w:p>
        </w:tc>
        <w:tc>
          <w:tcPr>
            <w:tcW w:w="1631" w:type="dxa"/>
            <w:gridSpan w:val="3"/>
            <w:tcBorders/>
            <w:shd w:fill="auto" w:val="clear"/>
            <w:vAlign w:val="bottom"/>
          </w:tcPr>
          <w:p>
            <w:pPr>
              <w:pStyle w:val="TableContents"/>
              <w:spacing w:before="0" w:after="283"/>
              <w:jc w:val="center"/>
              <w:rPr/>
            </w:pPr>
            <w:r>
              <w:rPr/>
              <w:t>EZMONEY</w:t>
            </w:r>
          </w:p>
        </w:tc>
      </w:tr>
      <w:tr>
        <w:trPr/>
        <w:tc>
          <w:tcPr>
            <w:tcW w:w="6327"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455" w:type="dxa"/>
            <w:gridSpan w:val="3"/>
            <w:tcBorders/>
            <w:shd w:fill="auto" w:val="clear"/>
            <w:vAlign w:val="bottom"/>
          </w:tcPr>
          <w:p>
            <w:pPr>
              <w:pStyle w:val="TableContents"/>
              <w:spacing w:before="0" w:after="283"/>
              <w:jc w:val="center"/>
              <w:rPr/>
            </w:pPr>
            <w:r>
              <w:rPr/>
              <w:t>Stores in</w:t>
            </w:r>
          </w:p>
        </w:tc>
        <w:tc>
          <w:tcPr>
            <w:tcW w:w="396" w:type="dxa"/>
            <w:tcBorders/>
            <w:shd w:fill="auto" w:val="clear"/>
            <w:vAlign w:val="bottom"/>
          </w:tcPr>
          <w:p>
            <w:pPr>
              <w:pStyle w:val="TableContents"/>
              <w:spacing w:before="0" w:after="283"/>
              <w:rPr/>
            </w:pPr>
            <w:r>
              <w:rPr/>
              <w:t> </w:t>
            </w:r>
          </w:p>
        </w:tc>
        <w:tc>
          <w:tcPr>
            <w:tcW w:w="1631" w:type="dxa"/>
            <w:gridSpan w:val="3"/>
            <w:tcBorders/>
            <w:shd w:fill="auto" w:val="clear"/>
            <w:vAlign w:val="bottom"/>
          </w:tcPr>
          <w:p>
            <w:pPr>
              <w:pStyle w:val="TableContents"/>
              <w:spacing w:before="0" w:after="283"/>
              <w:jc w:val="center"/>
              <w:rPr/>
            </w:pPr>
            <w:r>
              <w:rPr/>
              <w:t>Stores in</w:t>
            </w:r>
          </w:p>
        </w:tc>
      </w:tr>
      <w:tr>
        <w:trPr/>
        <w:tc>
          <w:tcPr>
            <w:tcW w:w="6327" w:type="dxa"/>
            <w:tcBorders>
              <w:bottom w:val="single" w:sz="2" w:space="0" w:color="000000"/>
            </w:tcBorders>
            <w:shd w:fill="auto" w:val="clear"/>
            <w:tcMar>
              <w:bottom w:w="28" w:type="dxa"/>
            </w:tcMar>
            <w:vAlign w:val="bottom"/>
          </w:tcPr>
          <w:p>
            <w:pPr>
              <w:pStyle w:val="TableContents"/>
              <w:spacing w:before="0" w:after="283"/>
              <w:jc w:val="left"/>
              <w:rPr/>
            </w:pPr>
            <w:r>
              <w:rPr/>
              <w:t>Region/Area</w:t>
            </w:r>
          </w:p>
        </w:tc>
        <w:tc>
          <w:tcPr>
            <w:tcW w:w="396" w:type="dxa"/>
            <w:tcBorders/>
            <w:shd w:fill="auto" w:val="clear"/>
            <w:vAlign w:val="bottom"/>
          </w:tcPr>
          <w:p>
            <w:pPr>
              <w:pStyle w:val="TableContents"/>
              <w:spacing w:before="0" w:after="283"/>
              <w:rPr/>
            </w:pPr>
            <w:r>
              <w:rPr/>
              <w:t> </w:t>
            </w:r>
          </w:p>
        </w:tc>
        <w:tc>
          <w:tcPr>
            <w:tcW w:w="1455" w:type="dxa"/>
            <w:gridSpan w:val="3"/>
            <w:tcBorders>
              <w:bottom w:val="single" w:sz="2" w:space="0" w:color="000000"/>
            </w:tcBorders>
            <w:shd w:fill="auto" w:val="clear"/>
            <w:tcMar>
              <w:bottom w:w="28" w:type="dxa"/>
            </w:tcMar>
            <w:vAlign w:val="bottom"/>
          </w:tcPr>
          <w:p>
            <w:pPr>
              <w:pStyle w:val="TableContents"/>
              <w:spacing w:before="0" w:after="283"/>
              <w:jc w:val="center"/>
              <w:rPr/>
            </w:pPr>
            <w:r>
              <w:rPr/>
              <w:t>Each Area</w:t>
            </w:r>
          </w:p>
        </w:tc>
        <w:tc>
          <w:tcPr>
            <w:tcW w:w="396" w:type="dxa"/>
            <w:tcBorders/>
            <w:shd w:fill="auto" w:val="clear"/>
            <w:vAlign w:val="bottom"/>
          </w:tcPr>
          <w:p>
            <w:pPr>
              <w:pStyle w:val="TableContents"/>
              <w:spacing w:before="0" w:after="283"/>
              <w:rPr/>
            </w:pPr>
            <w:r>
              <w:rPr/>
              <w:t> </w:t>
            </w:r>
          </w:p>
        </w:tc>
        <w:tc>
          <w:tcPr>
            <w:tcW w:w="1631" w:type="dxa"/>
            <w:gridSpan w:val="3"/>
            <w:tcBorders>
              <w:bottom w:val="single" w:sz="2" w:space="0" w:color="000000"/>
            </w:tcBorders>
            <w:shd w:fill="auto" w:val="clear"/>
            <w:tcMar>
              <w:bottom w:w="28" w:type="dxa"/>
            </w:tcMar>
            <w:vAlign w:val="bottom"/>
          </w:tcPr>
          <w:p>
            <w:pPr>
              <w:pStyle w:val="TableContents"/>
              <w:spacing w:before="0" w:after="283"/>
              <w:jc w:val="center"/>
              <w:rPr/>
            </w:pPr>
            <w:r>
              <w:rPr/>
              <w:t>Each Area</w:t>
            </w:r>
          </w:p>
        </w:tc>
      </w:tr>
      <w:tr>
        <w:trPr/>
        <w:tc>
          <w:tcPr>
            <w:tcW w:w="6327" w:type="dxa"/>
            <w:tcBorders/>
            <w:shd w:fill="auto" w:val="clear"/>
          </w:tcPr>
          <w:p>
            <w:pPr>
              <w:pStyle w:val="TableContents"/>
              <w:spacing w:before="0" w:after="0"/>
              <w:ind w:left="225" w:right="0" w:hanging="225"/>
              <w:rPr/>
            </w:pPr>
            <w:r>
              <w:rPr/>
              <w:t>Mississippi:</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Jackson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2</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83" w:type="dxa"/>
            <w:gridSpan w:val="2"/>
            <w:tcBorders/>
            <w:shd w:fill="CCEEFF" w:val="clear"/>
          </w:tcPr>
          <w:p>
            <w:pPr>
              <w:pStyle w:val="TableContents"/>
              <w:spacing w:before="0" w:after="283"/>
              <w:jc w:val="right"/>
              <w:rPr/>
            </w:pPr>
            <w:r>
              <w:rPr/>
              <w:t xml:space="preserve"> </w:t>
            </w:r>
          </w:p>
        </w:tc>
        <w:tc>
          <w:tcPr>
            <w:tcW w:w="348" w:type="dxa"/>
            <w:tcBorders/>
            <w:shd w:fill="CCEEFF" w:val="clear"/>
            <w:vAlign w:val="bottom"/>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Other Areas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1</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83" w:type="dxa"/>
            <w:gridSpan w:val="2"/>
            <w:tcBorders/>
            <w:shd w:fill="auto" w:val="clear"/>
          </w:tcPr>
          <w:p>
            <w:pPr>
              <w:pStyle w:val="TableContents"/>
              <w:spacing w:before="0" w:after="283"/>
              <w:jc w:val="right"/>
              <w:rPr/>
            </w:pPr>
            <w:r>
              <w:rPr/>
              <w:t xml:space="preserve"> </w:t>
            </w:r>
          </w:p>
        </w:tc>
        <w:tc>
          <w:tcPr>
            <w:tcW w:w="348" w:type="dxa"/>
            <w:tcBorders/>
            <w:shd w:fill="auto" w:val="clear"/>
            <w:vAlign w:val="bottom"/>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top w:val="single" w:sz="2" w:space="0" w:color="000000"/>
            </w:tcBorders>
            <w:shd w:fill="auto" w:val="clear"/>
            <w:tcMar>
              <w:top w:w="28" w:type="dxa"/>
            </w:tcM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top w:val="single" w:sz="2" w:space="0" w:color="000000"/>
            </w:tcBorders>
            <w:shd w:fill="auto" w:val="clear"/>
            <w:tcMar>
              <w:top w:w="28" w:type="dxa"/>
            </w:tcM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675" w:right="0" w:hanging="225"/>
              <w:rPr/>
            </w:pPr>
            <w:r>
              <w:rPr/>
              <w:t xml:space="preserve">Total Mississippi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3</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83" w:type="dxa"/>
            <w:gridSpan w:val="2"/>
            <w:tcBorders/>
            <w:shd w:fill="CCEEFF" w:val="clear"/>
          </w:tcPr>
          <w:p>
            <w:pPr>
              <w:pStyle w:val="TableContents"/>
              <w:spacing w:before="0" w:after="283"/>
              <w:jc w:val="right"/>
              <w:rPr/>
            </w:pPr>
            <w:r>
              <w:rPr/>
              <w:t xml:space="preserve"> </w:t>
            </w:r>
          </w:p>
        </w:tc>
        <w:tc>
          <w:tcPr>
            <w:tcW w:w="348" w:type="dxa"/>
            <w:tcBorders/>
            <w:shd w:fill="CCEEFF" w:val="clear"/>
            <w:vAlign w:val="bottom"/>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225" w:right="0" w:hanging="225"/>
              <w:rPr/>
            </w:pPr>
            <w:r>
              <w:rPr/>
              <w:t>Arkansas:</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West Helena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1</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83" w:type="dxa"/>
            <w:gridSpan w:val="2"/>
            <w:tcBorders/>
            <w:shd w:fill="CCEEFF" w:val="clear"/>
          </w:tcPr>
          <w:p>
            <w:pPr>
              <w:pStyle w:val="TableContents"/>
              <w:spacing w:before="0" w:after="283"/>
              <w:jc w:val="right"/>
              <w:rPr/>
            </w:pPr>
            <w:r>
              <w:rPr/>
              <w:t xml:space="preserve"> </w:t>
            </w:r>
          </w:p>
        </w:tc>
        <w:tc>
          <w:tcPr>
            <w:tcW w:w="348" w:type="dxa"/>
            <w:tcBorders/>
            <w:shd w:fill="CCEEFF" w:val="clear"/>
            <w:vAlign w:val="bottom"/>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top w:val="single" w:sz="2" w:space="0" w:color="000000"/>
            </w:tcBorders>
            <w:shd w:fill="auto" w:val="clear"/>
            <w:tcMar>
              <w:top w:w="28" w:type="dxa"/>
            </w:tcM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top w:val="single" w:sz="2" w:space="0" w:color="000000"/>
            </w:tcBorders>
            <w:shd w:fill="auto" w:val="clear"/>
            <w:tcMar>
              <w:top w:w="28" w:type="dxa"/>
            </w:tcM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675" w:right="0" w:hanging="225"/>
              <w:rPr/>
            </w:pPr>
            <w:r>
              <w:rPr/>
              <w:t xml:space="preserve">Total Arkansas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1</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83" w:type="dxa"/>
            <w:gridSpan w:val="2"/>
            <w:tcBorders/>
            <w:shd w:fill="auto" w:val="clear"/>
          </w:tcPr>
          <w:p>
            <w:pPr>
              <w:pStyle w:val="TableContents"/>
              <w:spacing w:before="0" w:after="283"/>
              <w:jc w:val="right"/>
              <w:rPr/>
            </w:pPr>
            <w:r>
              <w:rPr/>
              <w:t xml:space="preserve"> </w:t>
            </w:r>
          </w:p>
        </w:tc>
        <w:tc>
          <w:tcPr>
            <w:tcW w:w="348" w:type="dxa"/>
            <w:tcBorders/>
            <w:shd w:fill="auto" w:val="clear"/>
            <w:vAlign w:val="bottom"/>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225" w:right="0" w:hanging="225"/>
              <w:rPr/>
            </w:pPr>
            <w:r>
              <w:rPr/>
              <w:t>Mexico:</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 </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 </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Mexico City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8</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Vera Cruz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7</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341" w:type="dxa"/>
            <w:tcBorders/>
            <w:shd w:fill="CCEEFF" w:val="clear"/>
          </w:tcPr>
          <w:p>
            <w:pPr>
              <w:pStyle w:val="TableContents"/>
              <w:spacing w:before="0" w:after="283"/>
              <w:jc w:val="right"/>
              <w:rPr/>
            </w:pPr>
            <w:r>
              <w:rPr/>
              <w:t> </w:t>
            </w:r>
          </w:p>
        </w:tc>
        <w:tc>
          <w:tcPr>
            <w:tcW w:w="942" w:type="dxa"/>
            <w:tcBorders/>
            <w:shd w:fill="CCEEFF" w:val="clear"/>
          </w:tcPr>
          <w:p>
            <w:pPr>
              <w:pStyle w:val="TableContents"/>
              <w:spacing w:before="0" w:after="283"/>
              <w:jc w:val="right"/>
              <w:rPr/>
            </w:pPr>
            <w:r>
              <w:rPr/>
              <w:t> </w:t>
            </w:r>
          </w:p>
        </w:tc>
        <w:tc>
          <w:tcPr>
            <w:tcW w:w="348" w:type="dxa"/>
            <w:tcBorders/>
            <w:shd w:fill="CCEEFF" w:val="clear"/>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Bajio / Leon Area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5</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450" w:right="0" w:hanging="225"/>
              <w:rPr/>
            </w:pPr>
            <w:r>
              <w:rPr/>
              <w:t xml:space="preserve">Matamoros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2</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83" w:type="dxa"/>
            <w:gridSpan w:val="2"/>
            <w:tcBorders/>
            <w:shd w:fill="CCEEFF" w:val="clear"/>
          </w:tcPr>
          <w:p>
            <w:pPr>
              <w:pStyle w:val="TableContents"/>
              <w:spacing w:before="0" w:after="283"/>
              <w:jc w:val="right"/>
              <w:rPr/>
            </w:pPr>
            <w:r>
              <w:rPr/>
              <w:t xml:space="preserve"> </w:t>
            </w:r>
          </w:p>
        </w:tc>
        <w:tc>
          <w:tcPr>
            <w:tcW w:w="348" w:type="dxa"/>
            <w:tcBorders/>
            <w:shd w:fill="CCEEFF" w:val="clear"/>
            <w:vAlign w:val="bottom"/>
          </w:tcPr>
          <w:p>
            <w:pPr>
              <w:pStyle w:val="TableContents"/>
              <w:spacing w:before="0" w:after="283"/>
              <w:rPr/>
            </w:pPr>
            <w:r>
              <w:rPr/>
              <w:t> </w:t>
            </w:r>
          </w:p>
        </w:tc>
      </w:tr>
      <w:tr>
        <w:trPr/>
        <w:tc>
          <w:tcPr>
            <w:tcW w:w="6327" w:type="dxa"/>
            <w:tcBorders/>
            <w:shd w:fill="auto" w:val="clear"/>
          </w:tcPr>
          <w:p>
            <w:pPr>
              <w:pStyle w:val="TableContents"/>
              <w:spacing w:before="0" w:after="0"/>
              <w:ind w:left="450" w:right="0" w:hanging="225"/>
              <w:rPr/>
            </w:pPr>
            <w:r>
              <w:rPr/>
              <w:t xml:space="preserve">Reynosa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2</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83" w:type="dxa"/>
            <w:gridSpan w:val="2"/>
            <w:tcBorders/>
            <w:shd w:fill="auto" w:val="clear"/>
          </w:tcPr>
          <w:p>
            <w:pPr>
              <w:pStyle w:val="TableContents"/>
              <w:spacing w:before="0" w:after="283"/>
              <w:jc w:val="right"/>
              <w:rPr/>
            </w:pPr>
            <w:r>
              <w:rPr/>
              <w:t xml:space="preserve"> </w:t>
            </w:r>
          </w:p>
        </w:tc>
        <w:tc>
          <w:tcPr>
            <w:tcW w:w="348" w:type="dxa"/>
            <w:tcBorders/>
            <w:shd w:fill="auto" w:val="clear"/>
            <w:vAlign w:val="bottom"/>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top w:val="single" w:sz="2" w:space="0" w:color="000000"/>
            </w:tcBorders>
            <w:shd w:fill="auto" w:val="clear"/>
            <w:tcMar>
              <w:top w:w="28" w:type="dxa"/>
            </w:tcM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top w:val="single" w:sz="2" w:space="0" w:color="000000"/>
            </w:tcBorders>
            <w:shd w:fill="auto" w:val="clear"/>
            <w:tcMar>
              <w:top w:w="28" w:type="dxa"/>
            </w:tcM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CCEEFF" w:val="clear"/>
          </w:tcPr>
          <w:p>
            <w:pPr>
              <w:pStyle w:val="TableContents"/>
              <w:spacing w:before="0" w:after="0"/>
              <w:ind w:left="675" w:right="0" w:hanging="225"/>
              <w:rPr/>
            </w:pPr>
            <w:r>
              <w:rPr/>
              <w:t xml:space="preserve">Total Mexico </w:t>
            </w:r>
          </w:p>
        </w:tc>
        <w:tc>
          <w:tcPr>
            <w:tcW w:w="396" w:type="dxa"/>
            <w:tcBorders/>
            <w:shd w:fill="CCEEFF" w:val="clear"/>
            <w:vAlign w:val="bottom"/>
          </w:tcPr>
          <w:p>
            <w:pPr>
              <w:pStyle w:val="TableContents"/>
              <w:spacing w:before="0" w:after="283"/>
              <w:rPr/>
            </w:pPr>
            <w:r>
              <w:rPr/>
              <w:t> </w:t>
            </w:r>
          </w:p>
        </w:tc>
        <w:tc>
          <w:tcPr>
            <w:tcW w:w="320" w:type="dxa"/>
            <w:tcBorders/>
            <w:shd w:fill="CCEEFF" w:val="clear"/>
          </w:tcPr>
          <w:p>
            <w:pPr>
              <w:pStyle w:val="TableContents"/>
              <w:spacing w:before="0" w:after="283"/>
              <w:jc w:val="right"/>
              <w:rPr/>
            </w:pPr>
            <w:r>
              <w:rPr/>
              <w:t> </w:t>
            </w:r>
          </w:p>
        </w:tc>
        <w:tc>
          <w:tcPr>
            <w:tcW w:w="813" w:type="dxa"/>
            <w:tcBorders/>
            <w:shd w:fill="CCEEFF" w:val="clear"/>
          </w:tcPr>
          <w:p>
            <w:pPr>
              <w:pStyle w:val="TableContents"/>
              <w:spacing w:before="0" w:after="283"/>
              <w:jc w:val="right"/>
              <w:rPr/>
            </w:pPr>
            <w:r>
              <w:rPr/>
              <w:t>24</w:t>
            </w:r>
          </w:p>
        </w:tc>
        <w:tc>
          <w:tcPr>
            <w:tcW w:w="322" w:type="dxa"/>
            <w:tcBorders/>
            <w:shd w:fill="CCEEFF" w:val="clear"/>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83" w:type="dxa"/>
            <w:gridSpan w:val="2"/>
            <w:tcBorders/>
            <w:shd w:fill="CCEEFF" w:val="clear"/>
          </w:tcPr>
          <w:p>
            <w:pPr>
              <w:pStyle w:val="TableContents"/>
              <w:spacing w:before="0" w:after="283"/>
              <w:jc w:val="right"/>
              <w:rPr/>
            </w:pPr>
            <w:r>
              <w:rPr/>
              <w:t xml:space="preserve"> </w:t>
            </w:r>
          </w:p>
        </w:tc>
        <w:tc>
          <w:tcPr>
            <w:tcW w:w="348" w:type="dxa"/>
            <w:tcBorders/>
            <w:shd w:fill="CCEEFF" w:val="clear"/>
            <w:vAlign w:val="bottom"/>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top w:val="single" w:sz="2" w:space="0" w:color="000000"/>
            </w:tcBorders>
            <w:shd w:fill="auto" w:val="clear"/>
            <w:tcMar>
              <w:top w:w="28" w:type="dxa"/>
            </w:tcM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top w:val="single" w:sz="2" w:space="0" w:color="000000"/>
            </w:tcBorders>
            <w:shd w:fill="auto" w:val="clear"/>
            <w:tcMar>
              <w:top w:w="28" w:type="dxa"/>
            </w:tcM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675" w:right="0" w:hanging="225"/>
              <w:rPr/>
            </w:pPr>
            <w:r>
              <w:rPr/>
              <w:t xml:space="preserve">Total Company </w:t>
            </w:r>
          </w:p>
        </w:tc>
        <w:tc>
          <w:tcPr>
            <w:tcW w:w="396"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shd w:fill="auto" w:val="clear"/>
          </w:tcPr>
          <w:p>
            <w:pPr>
              <w:pStyle w:val="TableContents"/>
              <w:spacing w:before="0" w:after="283"/>
              <w:jc w:val="right"/>
              <w:rPr/>
            </w:pPr>
            <w:r>
              <w:rPr/>
              <w:t>318</w:t>
            </w:r>
          </w:p>
        </w:tc>
        <w:tc>
          <w:tcPr>
            <w:tcW w:w="322" w:type="dxa"/>
            <w:tcBorders/>
            <w:shd w:fill="auto" w:val="clea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shd w:fill="auto" w:val="clear"/>
          </w:tcPr>
          <w:p>
            <w:pPr>
              <w:pStyle w:val="TableContents"/>
              <w:spacing w:before="0" w:after="283"/>
              <w:jc w:val="right"/>
              <w:rPr/>
            </w:pPr>
            <w:r>
              <w:rPr/>
              <w:t>434</w:t>
            </w:r>
          </w:p>
        </w:tc>
        <w:tc>
          <w:tcPr>
            <w:tcW w:w="348" w:type="dxa"/>
            <w:tcBorders/>
            <w:shd w:fill="auto" w:val="clear"/>
          </w:tcPr>
          <w:p>
            <w:pPr>
              <w:pStyle w:val="TableContents"/>
              <w:spacing w:before="0" w:after="283"/>
              <w:rPr/>
            </w:pPr>
            <w:r>
              <w:rPr/>
              <w:t> </w:t>
            </w:r>
          </w:p>
        </w:tc>
      </w:tr>
      <w:tr>
        <w:trPr/>
        <w:tc>
          <w:tcPr>
            <w:tcW w:w="6327" w:type="dxa"/>
            <w:tcBorders/>
            <w:shd w:fill="auto" w:val="clear"/>
          </w:tcPr>
          <w:p>
            <w:pPr>
              <w:pStyle w:val="TableContents"/>
              <w:spacing w:before="0" w:after="0"/>
              <w:ind w:left="0" w:right="0" w:hanging="0"/>
              <w:rPr/>
            </w:pPr>
            <w:r>
              <w:rPr/>
              <w:t xml:space="preserve">  </w:t>
            </w:r>
          </w:p>
        </w:tc>
        <w:tc>
          <w:tcPr>
            <w:tcW w:w="396"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jc w:val="right"/>
              <w:rPr/>
            </w:pPr>
            <w:r>
              <w:rPr/>
              <w:t> </w:t>
            </w:r>
          </w:p>
        </w:tc>
        <w:tc>
          <w:tcPr>
            <w:tcW w:w="813" w:type="dxa"/>
            <w:tcBorders>
              <w:top w:val="double" w:sz="6" w:space="0" w:color="000000"/>
            </w:tcBorders>
            <w:shd w:fill="auto" w:val="clear"/>
            <w:tcMar>
              <w:top w:w="28" w:type="dxa"/>
            </w:tcMar>
          </w:tcPr>
          <w:p>
            <w:pPr>
              <w:pStyle w:val="TableContents"/>
              <w:spacing w:before="0" w:after="283"/>
              <w:jc w:val="right"/>
              <w:rPr/>
            </w:pPr>
            <w:r>
              <w:rPr/>
              <w:t> </w:t>
            </w:r>
          </w:p>
        </w:tc>
        <w:tc>
          <w:tcPr>
            <w:tcW w:w="322" w:type="dxa"/>
            <w:tcBorders/>
            <w:shd w:fill="auto" w:val="clea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41" w:type="dxa"/>
            <w:tcBorders/>
            <w:shd w:fill="auto" w:val="clear"/>
          </w:tcPr>
          <w:p>
            <w:pPr>
              <w:pStyle w:val="TableContents"/>
              <w:spacing w:before="0" w:after="283"/>
              <w:jc w:val="right"/>
              <w:rPr/>
            </w:pPr>
            <w:r>
              <w:rPr/>
              <w:t> </w:t>
            </w:r>
          </w:p>
        </w:tc>
        <w:tc>
          <w:tcPr>
            <w:tcW w:w="942" w:type="dxa"/>
            <w:tcBorders>
              <w:top w:val="double" w:sz="6" w:space="0" w:color="000000"/>
            </w:tcBorders>
            <w:shd w:fill="auto" w:val="clear"/>
            <w:tcMar>
              <w:top w:w="28" w:type="dxa"/>
            </w:tcMar>
          </w:tcPr>
          <w:p>
            <w:pPr>
              <w:pStyle w:val="TableContents"/>
              <w:spacing w:before="0" w:after="283"/>
              <w:jc w:val="right"/>
              <w:rPr/>
            </w:pPr>
            <w:r>
              <w:rPr/>
              <w:t> </w:t>
            </w:r>
          </w:p>
        </w:tc>
        <w:tc>
          <w:tcPr>
            <w:tcW w:w="348" w:type="dxa"/>
            <w:tcBorders/>
            <w:shd w:fill="auto" w:val="clea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addition to our store locations, we lease our 27,400 square foot Austin, Texas corporate office, 8,100 square foot facility for our jewelry processing center and payday loan collections center located in Austin, and our 1,700 square foot corporate office in Queretaro, Mexico. </w:t>
      </w:r>
    </w:p>
    <w:p>
      <w:pPr>
        <w:pStyle w:val="TextBody"/>
        <w:spacing w:before="240" w:after="283"/>
        <w:jc w:val="left"/>
        <w:rPr>
          <w:rFonts w:ascii="Helvetica;Arial;sans-serif" w:hAnsi="Helvetica;Arial;sans-serif"/>
          <w:sz w:val="17"/>
        </w:rPr>
      </w:pPr>
      <w:bookmarkStart w:id="8" w:name="105"/>
      <w:bookmarkEnd w:id="8"/>
      <w:r>
        <w:rPr>
          <w:rFonts w:ascii="Helvetica;Arial;sans-serif" w:hAnsi="Helvetica;Arial;sans-serif"/>
          <w:b/>
          <w:smallCaps/>
          <w:sz w:val="17"/>
        </w:rPr>
        <w:t>Item 3. Legal Proceedings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Currently and from time to time, we are defendants in legal and regulatory actions. While we cannot determine the ultimate outcome of these actions, after consultation with counsel, we believe their resolution will not have a material adverse effect on our financial condition, results of operations or liquidity. However, we cannot give any assurance as to their ultimate outcome.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May 2007, the State of Texas filed suit against EZCORP, Inc. and our Texas affiliates in state district court in Bexar County alleging violations of the Texas Identity Theft statute, Deceptive Trade Practices Act, and a provision of the Business and Commerce Code by allegedly failing to safeguard and properly dispose of customers sensitive personal information. In late May 2007, we voluntarily entered into an Agreed Temporary Injunction regarding the safeguarding and disposal of the information. We have reviewed and enhanced our information security polices to address the States concerns. We are currently in discussions with the State to reach an amicable resolution of this matter, but can give no assurance that an amicable resolution will be reached prior to the March 2008 scheduled trial date.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Florida Office of Financial Regulation has filed an administrative action against us alleging that our Florida CSO business model violates state law. A trial before an administrative law judge is scheduled for January 2008. </w:t>
      </w:r>
    </w:p>
    <w:p>
      <w:pPr>
        <w:pStyle w:val="TextBody"/>
        <w:spacing w:before="240" w:after="283"/>
        <w:jc w:val="left"/>
        <w:rPr>
          <w:rFonts w:ascii="Helvetica;Arial;sans-serif" w:hAnsi="Helvetica;Arial;sans-serif"/>
          <w:sz w:val="17"/>
        </w:rPr>
      </w:pPr>
      <w:bookmarkStart w:id="9" w:name="106"/>
      <w:bookmarkEnd w:id="9"/>
      <w:r>
        <w:rPr>
          <w:rFonts w:ascii="Helvetica;Arial;sans-serif" w:hAnsi="Helvetica;Arial;sans-serif"/>
          <w:b/>
          <w:smallCaps/>
          <w:sz w:val="17"/>
        </w:rPr>
        <w:t>Item 4. Submission of Matters to a Vote of Security Holders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None. </w:t>
      </w:r>
    </w:p>
    <w:p>
      <w:pPr>
        <w:pStyle w:val="TextBody"/>
        <w:jc w:val="center"/>
        <w:rPr>
          <w:rFonts w:ascii="Helvetica;Arial;sans-serif" w:hAnsi="Helvetica;Arial;sans-serif"/>
          <w:sz w:val="17"/>
        </w:rPr>
      </w:pPr>
      <w:r>
        <w:rPr>
          <w:rFonts w:ascii="Helvetica;Arial;sans-serif" w:hAnsi="Helvetica;Arial;san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bookmarkStart w:id="10" w:name="107"/>
      <w:bookmarkEnd w:id="10"/>
      <w:r>
        <w:rPr>
          <w:rFonts w:ascii="Helvetica;Arial;sans-serif" w:hAnsi="Helvetica;Arial;sans-serif"/>
          <w:b/>
          <w:sz w:val="17"/>
        </w:rPr>
        <w:t>PART II</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bookmarkStart w:id="11" w:name="108"/>
      <w:bookmarkEnd w:id="11"/>
      <w:r>
        <w:rPr>
          <w:rFonts w:ascii="Helvetica;Arial;sans-serif" w:hAnsi="Helvetica;Arial;sans-serif"/>
          <w:b/>
          <w:smallCaps/>
          <w:sz w:val="17"/>
        </w:rPr>
        <w:t>Item 5. Market for Registrants Common Equity and Related Stockholder Matters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Since August 27, 1991, our Class A Non-voting Common Stock (Class A Common Stock) has traded on The NASDAQ Stock Market under the symbol EZPW. As of October 31, 2007, there were 121 stockholders of record of our Class A Common Stock. There is no trading market for our Class B Voting Common Stock (Class B Common Stock), which was held by one stockholder as of October 31,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high and low per share closing price for our Class A Common Stock for the past two fiscal years, as reported by The NASDAQ Stock Market (adjusted to reflect a three-for-one stock split issued to shareholders as of November 27, 2006), were as follows: </w:t>
      </w:r>
    </w:p>
    <w:tbl>
      <w:tblPr>
        <w:tblW w:w="5000" w:type="pct"/>
        <w:jc w:val="center"/>
        <w:tblInd w:w="0" w:type="dxa"/>
        <w:tblCellMar>
          <w:top w:w="0" w:type="dxa"/>
          <w:left w:w="0" w:type="dxa"/>
          <w:bottom w:w="0" w:type="dxa"/>
          <w:right w:w="0" w:type="dxa"/>
        </w:tblCellMar>
      </w:tblPr>
      <w:tblGrid>
        <w:gridCol w:w="1255"/>
        <w:gridCol w:w="428"/>
        <w:gridCol w:w="5276"/>
        <w:gridCol w:w="428"/>
        <w:gridCol w:w="348"/>
        <w:gridCol w:w="566"/>
        <w:gridCol w:w="278"/>
        <w:gridCol w:w="428"/>
        <w:gridCol w:w="348"/>
        <w:gridCol w:w="565"/>
        <w:gridCol w:w="285"/>
      </w:tblGrid>
      <w:tr>
        <w:trPr/>
        <w:tc>
          <w:tcPr>
            <w:tcW w:w="1255"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5276"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566"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r>
      <w:tr>
        <w:trPr/>
        <w:tc>
          <w:tcPr>
            <w:tcW w:w="1255"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5276"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2" w:type="dxa"/>
            <w:gridSpan w:val="3"/>
            <w:tcBorders>
              <w:bottom w:val="single" w:sz="2" w:space="0" w:color="000000"/>
            </w:tcBorders>
            <w:shd w:fill="auto" w:val="clear"/>
            <w:tcMar>
              <w:bottom w:w="28" w:type="dxa"/>
            </w:tcMar>
            <w:vAlign w:val="bottom"/>
          </w:tcPr>
          <w:p>
            <w:pPr>
              <w:pStyle w:val="TableContents"/>
              <w:spacing w:before="0" w:after="283"/>
              <w:jc w:val="center"/>
              <w:rPr/>
            </w:pPr>
            <w:r>
              <w:rPr/>
              <w:t>High</w:t>
            </w:r>
          </w:p>
        </w:tc>
        <w:tc>
          <w:tcPr>
            <w:tcW w:w="428" w:type="dxa"/>
            <w:tcBorders/>
            <w:shd w:fill="auto" w:val="clear"/>
            <w:vAlign w:val="bottom"/>
          </w:tcPr>
          <w:p>
            <w:pPr>
              <w:pStyle w:val="TableContents"/>
              <w:spacing w:before="0" w:after="283"/>
              <w:rPr/>
            </w:pPr>
            <w:r>
              <w:rPr/>
              <w:t> </w:t>
            </w:r>
          </w:p>
        </w:tc>
        <w:tc>
          <w:tcPr>
            <w:tcW w:w="1198" w:type="dxa"/>
            <w:gridSpan w:val="3"/>
            <w:tcBorders>
              <w:bottom w:val="single" w:sz="2" w:space="0" w:color="000000"/>
            </w:tcBorders>
            <w:shd w:fill="auto" w:val="clear"/>
            <w:tcMar>
              <w:bottom w:w="28" w:type="dxa"/>
            </w:tcMar>
            <w:vAlign w:val="bottom"/>
          </w:tcPr>
          <w:p>
            <w:pPr>
              <w:pStyle w:val="TableContents"/>
              <w:spacing w:before="0" w:after="283"/>
              <w:jc w:val="center"/>
              <w:rPr/>
            </w:pPr>
            <w:r>
              <w:rPr/>
              <w:t>Low</w:t>
            </w:r>
          </w:p>
        </w:tc>
      </w:tr>
      <w:tr>
        <w:trPr/>
        <w:tc>
          <w:tcPr>
            <w:tcW w:w="1255" w:type="dxa"/>
            <w:tcBorders/>
            <w:shd w:fill="CCEEFF" w:val="clear"/>
          </w:tcPr>
          <w:p>
            <w:pPr>
              <w:pStyle w:val="TableContents"/>
              <w:spacing w:before="0" w:after="0"/>
              <w:ind w:left="0" w:right="0" w:hanging="0"/>
              <w:rPr/>
            </w:pPr>
            <w:r>
              <w:rPr/>
              <w:t>Fiscal 2006:</w:t>
            </w:r>
          </w:p>
        </w:tc>
        <w:tc>
          <w:tcPr>
            <w:tcW w:w="428" w:type="dxa"/>
            <w:tcBorders/>
            <w:shd w:fill="CCEEFF" w:val="clear"/>
            <w:vAlign w:val="bottom"/>
          </w:tcPr>
          <w:p>
            <w:pPr>
              <w:pStyle w:val="TableContents"/>
              <w:spacing w:before="0" w:after="283"/>
              <w:rPr/>
            </w:pPr>
            <w:r>
              <w:rPr/>
              <w:t> </w:t>
            </w:r>
          </w:p>
        </w:tc>
        <w:tc>
          <w:tcPr>
            <w:tcW w:w="5276" w:type="dxa"/>
            <w:tcBorders/>
            <w:shd w:fill="CCEEFF" w:val="clear"/>
          </w:tcPr>
          <w:p>
            <w:pPr>
              <w:pStyle w:val="TableContents"/>
              <w:spacing w:before="0" w:after="283"/>
              <w:jc w:val="left"/>
              <w:rPr/>
            </w:pPr>
            <w:r>
              <w:rPr/>
              <w:t> </w:t>
            </w:r>
          </w:p>
        </w:tc>
        <w:tc>
          <w:tcPr>
            <w:tcW w:w="428" w:type="dxa"/>
            <w:tcBorders/>
            <w:shd w:fill="CCEEFF" w:val="clear"/>
            <w:vAlign w:val="bottom"/>
          </w:tcPr>
          <w:p>
            <w:pPr>
              <w:pStyle w:val="TableContents"/>
              <w:spacing w:before="0" w:after="283"/>
              <w:rPr/>
            </w:pPr>
            <w:r>
              <w:rPr/>
              <w:t> </w:t>
            </w:r>
          </w:p>
        </w:tc>
        <w:tc>
          <w:tcPr>
            <w:tcW w:w="348" w:type="dxa"/>
            <w:tcBorders/>
            <w:shd w:fill="CCEEFF" w:val="clear"/>
          </w:tcPr>
          <w:p>
            <w:pPr>
              <w:pStyle w:val="TableContents"/>
              <w:spacing w:before="0" w:after="283"/>
              <w:jc w:val="right"/>
              <w:rPr/>
            </w:pPr>
            <w:r>
              <w:rPr/>
              <w:t> </w:t>
            </w:r>
          </w:p>
        </w:tc>
        <w:tc>
          <w:tcPr>
            <w:tcW w:w="566" w:type="dxa"/>
            <w:tcBorders/>
            <w:shd w:fill="CCEEFF" w:val="clear"/>
          </w:tcPr>
          <w:p>
            <w:pPr>
              <w:pStyle w:val="TableContents"/>
              <w:spacing w:before="0" w:after="283"/>
              <w:jc w:val="right"/>
              <w:rPr/>
            </w:pPr>
            <w:r>
              <w:rPr/>
              <w:t> </w:t>
            </w:r>
          </w:p>
        </w:tc>
        <w:tc>
          <w:tcPr>
            <w:tcW w:w="278" w:type="dxa"/>
            <w:tcBorders/>
            <w:shd w:fill="CCEEFF" w:val="clear"/>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348" w:type="dxa"/>
            <w:tcBorders/>
            <w:shd w:fill="CCEEFF" w:val="clear"/>
          </w:tcPr>
          <w:p>
            <w:pPr>
              <w:pStyle w:val="TableContents"/>
              <w:spacing w:before="0" w:after="283"/>
              <w:jc w:val="right"/>
              <w:rPr/>
            </w:pPr>
            <w:r>
              <w:rPr/>
              <w:t> </w:t>
            </w:r>
          </w:p>
        </w:tc>
        <w:tc>
          <w:tcPr>
            <w:tcW w:w="565" w:type="dxa"/>
            <w:tcBorders/>
            <w:shd w:fill="CCEEFF" w:val="clear"/>
          </w:tcPr>
          <w:p>
            <w:pPr>
              <w:pStyle w:val="TableContents"/>
              <w:spacing w:before="0" w:after="283"/>
              <w:jc w:val="right"/>
              <w:rPr/>
            </w:pPr>
            <w:r>
              <w:rPr/>
              <w:t> </w:t>
            </w:r>
          </w:p>
        </w:tc>
        <w:tc>
          <w:tcPr>
            <w:tcW w:w="285" w:type="dxa"/>
            <w:tcBorders/>
            <w:shd w:fill="CCEEFF" w:val="clear"/>
          </w:tcPr>
          <w:p>
            <w:pPr>
              <w:pStyle w:val="TableContents"/>
              <w:spacing w:before="0" w:after="283"/>
              <w:rPr/>
            </w:pPr>
            <w:r>
              <w:rPr/>
              <w:t> </w:t>
            </w:r>
          </w:p>
        </w:tc>
      </w:tr>
      <w:tr>
        <w:trPr/>
        <w:tc>
          <w:tcPr>
            <w:tcW w:w="1255" w:type="dxa"/>
            <w:tcBorders/>
            <w:shd w:fill="auto" w:val="clear"/>
          </w:tcPr>
          <w:p>
            <w:pPr>
              <w:pStyle w:val="TableContents"/>
              <w:spacing w:before="0" w:after="0"/>
              <w:ind w:left="0" w:right="0" w:hanging="0"/>
              <w:rPr/>
            </w:pPr>
            <w:r>
              <w:rPr/>
              <w:t xml:space="preserve">  </w:t>
            </w:r>
          </w:p>
        </w:tc>
        <w:tc>
          <w:tcPr>
            <w:tcW w:w="428" w:type="dxa"/>
            <w:tcBorders/>
            <w:shd w:fill="auto" w:val="clear"/>
            <w:vAlign w:val="bottom"/>
          </w:tcPr>
          <w:p>
            <w:pPr>
              <w:pStyle w:val="TableContents"/>
              <w:spacing w:before="0" w:after="283"/>
              <w:rPr/>
            </w:pPr>
            <w:r>
              <w:rPr/>
              <w:t> </w:t>
            </w:r>
          </w:p>
        </w:tc>
        <w:tc>
          <w:tcPr>
            <w:tcW w:w="5276" w:type="dxa"/>
            <w:tcBorders/>
            <w:shd w:fill="auto" w:val="clear"/>
          </w:tcPr>
          <w:p>
            <w:pPr>
              <w:pStyle w:val="TableContents"/>
              <w:spacing w:before="0" w:after="283"/>
              <w:jc w:val="left"/>
              <w:rPr/>
            </w:pPr>
            <w:r>
              <w:rPr/>
              <w:t xml:space="preserve">First quarter ended December 31, 2005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w:t>
            </w:r>
          </w:p>
        </w:tc>
        <w:tc>
          <w:tcPr>
            <w:tcW w:w="566" w:type="dxa"/>
            <w:tcBorders/>
            <w:shd w:fill="auto" w:val="clear"/>
          </w:tcPr>
          <w:p>
            <w:pPr>
              <w:pStyle w:val="TableContents"/>
              <w:spacing w:before="0" w:after="283"/>
              <w:jc w:val="right"/>
              <w:rPr/>
            </w:pPr>
            <w:r>
              <w:rPr/>
              <w:t>5.63</w:t>
            </w:r>
          </w:p>
        </w:tc>
        <w:tc>
          <w:tcPr>
            <w:tcW w:w="278" w:type="dxa"/>
            <w:tcBorders/>
            <w:shd w:fill="auto" w:val="clea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w:t>
            </w:r>
          </w:p>
        </w:tc>
        <w:tc>
          <w:tcPr>
            <w:tcW w:w="565" w:type="dxa"/>
            <w:tcBorders/>
            <w:shd w:fill="auto" w:val="clear"/>
          </w:tcPr>
          <w:p>
            <w:pPr>
              <w:pStyle w:val="TableContents"/>
              <w:spacing w:before="0" w:after="283"/>
              <w:jc w:val="right"/>
              <w:rPr/>
            </w:pPr>
            <w:r>
              <w:rPr/>
              <w:t>4.62</w:t>
            </w:r>
          </w:p>
        </w:tc>
        <w:tc>
          <w:tcPr>
            <w:tcW w:w="285" w:type="dxa"/>
            <w:tcBorders/>
            <w:shd w:fill="auto" w:val="clear"/>
          </w:tcPr>
          <w:p>
            <w:pPr>
              <w:pStyle w:val="TableContents"/>
              <w:spacing w:before="0" w:after="283"/>
              <w:rPr/>
            </w:pPr>
            <w:r>
              <w:rPr/>
              <w:t> </w:t>
            </w:r>
          </w:p>
        </w:tc>
      </w:tr>
      <w:tr>
        <w:trPr/>
        <w:tc>
          <w:tcPr>
            <w:tcW w:w="1255" w:type="dxa"/>
            <w:tcBorders/>
            <w:shd w:fill="CCEEFF" w:val="clear"/>
          </w:tcPr>
          <w:p>
            <w:pPr>
              <w:pStyle w:val="TableContents"/>
              <w:spacing w:before="0" w:after="0"/>
              <w:ind w:left="0" w:right="0" w:hanging="0"/>
              <w:rPr/>
            </w:pPr>
            <w:r>
              <w:rPr/>
              <w:t xml:space="preserve">  </w:t>
            </w:r>
          </w:p>
        </w:tc>
        <w:tc>
          <w:tcPr>
            <w:tcW w:w="428" w:type="dxa"/>
            <w:tcBorders/>
            <w:shd w:fill="CCEEFF" w:val="clear"/>
            <w:vAlign w:val="bottom"/>
          </w:tcPr>
          <w:p>
            <w:pPr>
              <w:pStyle w:val="TableContents"/>
              <w:spacing w:before="0" w:after="283"/>
              <w:rPr/>
            </w:pPr>
            <w:r>
              <w:rPr/>
              <w:t> </w:t>
            </w:r>
          </w:p>
        </w:tc>
        <w:tc>
          <w:tcPr>
            <w:tcW w:w="5276" w:type="dxa"/>
            <w:tcBorders/>
            <w:shd w:fill="CCEEFF" w:val="clear"/>
          </w:tcPr>
          <w:p>
            <w:pPr>
              <w:pStyle w:val="TableContents"/>
              <w:spacing w:before="0" w:after="283"/>
              <w:jc w:val="left"/>
              <w:rPr/>
            </w:pPr>
            <w:r>
              <w:rPr/>
              <w:t xml:space="preserve">Second quarter ended March 31, 2006 </w:t>
            </w:r>
          </w:p>
        </w:tc>
        <w:tc>
          <w:tcPr>
            <w:tcW w:w="428" w:type="dxa"/>
            <w:tcBorders/>
            <w:shd w:fill="CCEEFF" w:val="clear"/>
            <w:vAlign w:val="bottom"/>
          </w:tcPr>
          <w:p>
            <w:pPr>
              <w:pStyle w:val="TableContents"/>
              <w:spacing w:before="0" w:after="283"/>
              <w:rPr/>
            </w:pPr>
            <w:r>
              <w:rPr/>
              <w:t> </w:t>
            </w:r>
          </w:p>
        </w:tc>
        <w:tc>
          <w:tcPr>
            <w:tcW w:w="348" w:type="dxa"/>
            <w:tcBorders/>
            <w:shd w:fill="CCEEFF" w:val="clear"/>
          </w:tcPr>
          <w:p>
            <w:pPr>
              <w:pStyle w:val="TableContents"/>
              <w:spacing w:before="0" w:after="283"/>
              <w:jc w:val="right"/>
              <w:rPr/>
            </w:pPr>
            <w:r>
              <w:rPr/>
              <w:t> </w:t>
            </w:r>
          </w:p>
        </w:tc>
        <w:tc>
          <w:tcPr>
            <w:tcW w:w="566" w:type="dxa"/>
            <w:tcBorders/>
            <w:shd w:fill="CCEEFF" w:val="clear"/>
          </w:tcPr>
          <w:p>
            <w:pPr>
              <w:pStyle w:val="TableContents"/>
              <w:spacing w:before="0" w:after="283"/>
              <w:jc w:val="right"/>
              <w:rPr/>
            </w:pPr>
            <w:r>
              <w:rPr/>
              <w:t>9.84</w:t>
            </w:r>
          </w:p>
        </w:tc>
        <w:tc>
          <w:tcPr>
            <w:tcW w:w="278" w:type="dxa"/>
            <w:tcBorders/>
            <w:shd w:fill="CCEEFF" w:val="clear"/>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348" w:type="dxa"/>
            <w:tcBorders/>
            <w:shd w:fill="CCEEFF" w:val="clear"/>
          </w:tcPr>
          <w:p>
            <w:pPr>
              <w:pStyle w:val="TableContents"/>
              <w:spacing w:before="0" w:after="283"/>
              <w:jc w:val="right"/>
              <w:rPr/>
            </w:pPr>
            <w:r>
              <w:rPr/>
              <w:t> </w:t>
            </w:r>
          </w:p>
        </w:tc>
        <w:tc>
          <w:tcPr>
            <w:tcW w:w="565" w:type="dxa"/>
            <w:tcBorders/>
            <w:shd w:fill="CCEEFF" w:val="clear"/>
          </w:tcPr>
          <w:p>
            <w:pPr>
              <w:pStyle w:val="TableContents"/>
              <w:spacing w:before="0" w:after="283"/>
              <w:jc w:val="right"/>
              <w:rPr/>
            </w:pPr>
            <w:r>
              <w:rPr/>
              <w:t>5.24</w:t>
            </w:r>
          </w:p>
        </w:tc>
        <w:tc>
          <w:tcPr>
            <w:tcW w:w="285" w:type="dxa"/>
            <w:tcBorders/>
            <w:shd w:fill="CCEEFF" w:val="clear"/>
          </w:tcPr>
          <w:p>
            <w:pPr>
              <w:pStyle w:val="TableContents"/>
              <w:spacing w:before="0" w:after="283"/>
              <w:rPr/>
            </w:pPr>
            <w:r>
              <w:rPr/>
              <w:t> </w:t>
            </w:r>
          </w:p>
        </w:tc>
      </w:tr>
      <w:tr>
        <w:trPr/>
        <w:tc>
          <w:tcPr>
            <w:tcW w:w="1255" w:type="dxa"/>
            <w:tcBorders/>
            <w:shd w:fill="auto" w:val="clear"/>
          </w:tcPr>
          <w:p>
            <w:pPr>
              <w:pStyle w:val="TableContents"/>
              <w:spacing w:before="0" w:after="0"/>
              <w:ind w:left="0" w:right="0" w:hanging="0"/>
              <w:rPr/>
            </w:pPr>
            <w:r>
              <w:rPr/>
              <w:t xml:space="preserve">  </w:t>
            </w:r>
          </w:p>
        </w:tc>
        <w:tc>
          <w:tcPr>
            <w:tcW w:w="428" w:type="dxa"/>
            <w:tcBorders/>
            <w:shd w:fill="auto" w:val="clear"/>
            <w:vAlign w:val="bottom"/>
          </w:tcPr>
          <w:p>
            <w:pPr>
              <w:pStyle w:val="TableContents"/>
              <w:spacing w:before="0" w:after="283"/>
              <w:rPr/>
            </w:pPr>
            <w:r>
              <w:rPr/>
              <w:t> </w:t>
            </w:r>
          </w:p>
        </w:tc>
        <w:tc>
          <w:tcPr>
            <w:tcW w:w="5276" w:type="dxa"/>
            <w:tcBorders/>
            <w:shd w:fill="auto" w:val="clear"/>
          </w:tcPr>
          <w:p>
            <w:pPr>
              <w:pStyle w:val="TableContents"/>
              <w:spacing w:before="0" w:after="283"/>
              <w:jc w:val="left"/>
              <w:rPr/>
            </w:pPr>
            <w:r>
              <w:rPr/>
              <w:t xml:space="preserve">Third quarter ended June 30, 2006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 </w:t>
            </w:r>
          </w:p>
        </w:tc>
        <w:tc>
          <w:tcPr>
            <w:tcW w:w="566" w:type="dxa"/>
            <w:tcBorders/>
            <w:shd w:fill="auto" w:val="clear"/>
          </w:tcPr>
          <w:p>
            <w:pPr>
              <w:pStyle w:val="TableContents"/>
              <w:spacing w:before="0" w:after="283"/>
              <w:jc w:val="right"/>
              <w:rPr/>
            </w:pPr>
            <w:r>
              <w:rPr/>
              <w:t>13.11</w:t>
            </w:r>
          </w:p>
        </w:tc>
        <w:tc>
          <w:tcPr>
            <w:tcW w:w="278" w:type="dxa"/>
            <w:tcBorders/>
            <w:shd w:fill="auto" w:val="clea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 </w:t>
            </w:r>
          </w:p>
        </w:tc>
        <w:tc>
          <w:tcPr>
            <w:tcW w:w="565" w:type="dxa"/>
            <w:tcBorders/>
            <w:shd w:fill="auto" w:val="clear"/>
          </w:tcPr>
          <w:p>
            <w:pPr>
              <w:pStyle w:val="TableContents"/>
              <w:spacing w:before="0" w:after="283"/>
              <w:jc w:val="right"/>
              <w:rPr/>
            </w:pPr>
            <w:r>
              <w:rPr/>
              <w:t>9.29</w:t>
            </w:r>
          </w:p>
        </w:tc>
        <w:tc>
          <w:tcPr>
            <w:tcW w:w="285" w:type="dxa"/>
            <w:tcBorders/>
            <w:shd w:fill="auto" w:val="clear"/>
          </w:tcPr>
          <w:p>
            <w:pPr>
              <w:pStyle w:val="TableContents"/>
              <w:spacing w:before="0" w:after="283"/>
              <w:rPr/>
            </w:pPr>
            <w:r>
              <w:rPr/>
              <w:t> </w:t>
            </w:r>
          </w:p>
        </w:tc>
      </w:tr>
      <w:tr>
        <w:trPr/>
        <w:tc>
          <w:tcPr>
            <w:tcW w:w="1255" w:type="dxa"/>
            <w:tcBorders/>
            <w:shd w:fill="CCEEFF" w:val="clear"/>
          </w:tcPr>
          <w:p>
            <w:pPr>
              <w:pStyle w:val="TableContents"/>
              <w:spacing w:before="0" w:after="0"/>
              <w:ind w:left="0" w:right="0" w:hanging="0"/>
              <w:rPr/>
            </w:pPr>
            <w:r>
              <w:rPr/>
              <w:t xml:space="preserve">  </w:t>
            </w:r>
          </w:p>
        </w:tc>
        <w:tc>
          <w:tcPr>
            <w:tcW w:w="428" w:type="dxa"/>
            <w:tcBorders/>
            <w:shd w:fill="CCEEFF" w:val="clear"/>
            <w:vAlign w:val="bottom"/>
          </w:tcPr>
          <w:p>
            <w:pPr>
              <w:pStyle w:val="TableContents"/>
              <w:spacing w:before="0" w:after="283"/>
              <w:rPr/>
            </w:pPr>
            <w:r>
              <w:rPr/>
              <w:t> </w:t>
            </w:r>
          </w:p>
        </w:tc>
        <w:tc>
          <w:tcPr>
            <w:tcW w:w="5276" w:type="dxa"/>
            <w:tcBorders/>
            <w:shd w:fill="CCEEFF" w:val="clear"/>
          </w:tcPr>
          <w:p>
            <w:pPr>
              <w:pStyle w:val="TableContents"/>
              <w:spacing w:before="0" w:after="283"/>
              <w:jc w:val="left"/>
              <w:rPr/>
            </w:pPr>
            <w:r>
              <w:rPr/>
              <w:t xml:space="preserve">Fourth quarter ended September 30, 2006 </w:t>
            </w:r>
          </w:p>
        </w:tc>
        <w:tc>
          <w:tcPr>
            <w:tcW w:w="428" w:type="dxa"/>
            <w:tcBorders/>
            <w:shd w:fill="CCEEFF" w:val="clear"/>
            <w:vAlign w:val="bottom"/>
          </w:tcPr>
          <w:p>
            <w:pPr>
              <w:pStyle w:val="TableContents"/>
              <w:spacing w:before="0" w:after="283"/>
              <w:rPr/>
            </w:pPr>
            <w:r>
              <w:rPr/>
              <w:t> </w:t>
            </w:r>
          </w:p>
        </w:tc>
        <w:tc>
          <w:tcPr>
            <w:tcW w:w="348" w:type="dxa"/>
            <w:tcBorders/>
            <w:shd w:fill="CCEEFF" w:val="clear"/>
          </w:tcPr>
          <w:p>
            <w:pPr>
              <w:pStyle w:val="TableContents"/>
              <w:spacing w:before="0" w:after="283"/>
              <w:jc w:val="right"/>
              <w:rPr/>
            </w:pPr>
            <w:r>
              <w:rPr/>
              <w:t> </w:t>
            </w:r>
          </w:p>
        </w:tc>
        <w:tc>
          <w:tcPr>
            <w:tcW w:w="566" w:type="dxa"/>
            <w:tcBorders/>
            <w:shd w:fill="CCEEFF" w:val="clear"/>
          </w:tcPr>
          <w:p>
            <w:pPr>
              <w:pStyle w:val="TableContents"/>
              <w:spacing w:before="0" w:after="283"/>
              <w:jc w:val="right"/>
              <w:rPr/>
            </w:pPr>
            <w:r>
              <w:rPr/>
              <w:t>14.52</w:t>
            </w:r>
          </w:p>
        </w:tc>
        <w:tc>
          <w:tcPr>
            <w:tcW w:w="278" w:type="dxa"/>
            <w:tcBorders/>
            <w:shd w:fill="CCEEFF" w:val="clear"/>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348" w:type="dxa"/>
            <w:tcBorders/>
            <w:shd w:fill="CCEEFF" w:val="clear"/>
          </w:tcPr>
          <w:p>
            <w:pPr>
              <w:pStyle w:val="TableContents"/>
              <w:spacing w:before="0" w:after="283"/>
              <w:jc w:val="right"/>
              <w:rPr/>
            </w:pPr>
            <w:r>
              <w:rPr/>
              <w:t> </w:t>
            </w:r>
          </w:p>
        </w:tc>
        <w:tc>
          <w:tcPr>
            <w:tcW w:w="565" w:type="dxa"/>
            <w:tcBorders/>
            <w:shd w:fill="CCEEFF" w:val="clear"/>
          </w:tcPr>
          <w:p>
            <w:pPr>
              <w:pStyle w:val="TableContents"/>
              <w:spacing w:before="0" w:after="283"/>
              <w:jc w:val="right"/>
              <w:rPr/>
            </w:pPr>
            <w:r>
              <w:rPr/>
              <w:t>11.66</w:t>
            </w:r>
          </w:p>
        </w:tc>
        <w:tc>
          <w:tcPr>
            <w:tcW w:w="285" w:type="dxa"/>
            <w:tcBorders/>
            <w:shd w:fill="CCEEFF" w:val="clear"/>
          </w:tcPr>
          <w:p>
            <w:pPr>
              <w:pStyle w:val="TableContents"/>
              <w:spacing w:before="0" w:after="283"/>
              <w:rPr/>
            </w:pPr>
            <w:r>
              <w:rPr/>
              <w:t> </w:t>
            </w:r>
          </w:p>
        </w:tc>
      </w:tr>
      <w:tr>
        <w:trPr/>
        <w:tc>
          <w:tcPr>
            <w:tcW w:w="1255" w:type="dxa"/>
            <w:tcBorders/>
            <w:shd w:fill="auto" w:val="clear"/>
          </w:tcPr>
          <w:p>
            <w:pPr>
              <w:pStyle w:val="TableContents"/>
              <w:spacing w:before="0" w:after="0"/>
              <w:ind w:left="0" w:right="0" w:hanging="0"/>
              <w:rPr/>
            </w:pPr>
            <w:r>
              <w:rPr/>
              <w:t> </w:t>
            </w:r>
          </w:p>
        </w:tc>
        <w:tc>
          <w:tcPr>
            <w:tcW w:w="428" w:type="dxa"/>
            <w:tcBorders/>
            <w:shd w:fill="auto" w:val="clear"/>
            <w:vAlign w:val="bottom"/>
          </w:tcPr>
          <w:p>
            <w:pPr>
              <w:pStyle w:val="TableContents"/>
              <w:spacing w:before="0" w:after="283"/>
              <w:rPr/>
            </w:pPr>
            <w:r>
              <w:rPr/>
              <w:t> </w:t>
            </w:r>
          </w:p>
        </w:tc>
        <w:tc>
          <w:tcPr>
            <w:tcW w:w="5276" w:type="dxa"/>
            <w:tcBorders/>
            <w:shd w:fill="auto" w:val="clear"/>
          </w:tcPr>
          <w:p>
            <w:pPr>
              <w:pStyle w:val="TableContents"/>
              <w:spacing w:before="0" w:after="283"/>
              <w:jc w:val="left"/>
              <w:rPr/>
            </w:pPr>
            <w:r>
              <w:rPr/>
              <w:t>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 </w:t>
            </w:r>
          </w:p>
        </w:tc>
        <w:tc>
          <w:tcPr>
            <w:tcW w:w="566" w:type="dxa"/>
            <w:tcBorders/>
            <w:shd w:fill="auto" w:val="clear"/>
          </w:tcPr>
          <w:p>
            <w:pPr>
              <w:pStyle w:val="TableContents"/>
              <w:spacing w:before="0" w:after="283"/>
              <w:jc w:val="right"/>
              <w:rPr/>
            </w:pPr>
            <w:r>
              <w:rPr/>
              <w:t> </w:t>
            </w:r>
          </w:p>
        </w:tc>
        <w:tc>
          <w:tcPr>
            <w:tcW w:w="278" w:type="dxa"/>
            <w:tcBorders/>
            <w:shd w:fill="auto" w:val="clea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 </w:t>
            </w:r>
          </w:p>
        </w:tc>
        <w:tc>
          <w:tcPr>
            <w:tcW w:w="565" w:type="dxa"/>
            <w:tcBorders/>
            <w:shd w:fill="auto" w:val="clear"/>
          </w:tcPr>
          <w:p>
            <w:pPr>
              <w:pStyle w:val="TableContents"/>
              <w:spacing w:before="0" w:after="283"/>
              <w:jc w:val="right"/>
              <w:rPr/>
            </w:pPr>
            <w:r>
              <w:rPr/>
              <w:t> </w:t>
            </w:r>
          </w:p>
        </w:tc>
        <w:tc>
          <w:tcPr>
            <w:tcW w:w="285" w:type="dxa"/>
            <w:tcBorders/>
            <w:shd w:fill="auto" w:val="clear"/>
          </w:tcPr>
          <w:p>
            <w:pPr>
              <w:pStyle w:val="TableContents"/>
              <w:spacing w:before="0" w:after="283"/>
              <w:rPr/>
            </w:pPr>
            <w:r>
              <w:rPr/>
              <w:t> </w:t>
            </w:r>
          </w:p>
        </w:tc>
      </w:tr>
      <w:tr>
        <w:trPr/>
        <w:tc>
          <w:tcPr>
            <w:tcW w:w="1255" w:type="dxa"/>
            <w:tcBorders/>
            <w:shd w:fill="auto" w:val="clear"/>
          </w:tcPr>
          <w:p>
            <w:pPr>
              <w:pStyle w:val="TableContents"/>
              <w:spacing w:before="0" w:after="0"/>
              <w:ind w:left="0" w:right="0" w:hanging="0"/>
              <w:rPr/>
            </w:pPr>
            <w:r>
              <w:rPr/>
              <w:t>Fiscal 2007:</w:t>
            </w:r>
          </w:p>
        </w:tc>
        <w:tc>
          <w:tcPr>
            <w:tcW w:w="428" w:type="dxa"/>
            <w:tcBorders/>
            <w:shd w:fill="auto" w:val="clear"/>
            <w:vAlign w:val="bottom"/>
          </w:tcPr>
          <w:p>
            <w:pPr>
              <w:pStyle w:val="TableContents"/>
              <w:spacing w:before="0" w:after="283"/>
              <w:rPr/>
            </w:pPr>
            <w:r>
              <w:rPr/>
              <w:t> </w:t>
            </w:r>
          </w:p>
        </w:tc>
        <w:tc>
          <w:tcPr>
            <w:tcW w:w="5276" w:type="dxa"/>
            <w:tcBorders/>
            <w:shd w:fill="auto" w:val="clear"/>
          </w:tcPr>
          <w:p>
            <w:pPr>
              <w:pStyle w:val="TableContents"/>
              <w:spacing w:before="0" w:after="283"/>
              <w:jc w:val="left"/>
              <w:rPr/>
            </w:pPr>
            <w:r>
              <w:rPr/>
              <w:t>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 </w:t>
            </w:r>
          </w:p>
        </w:tc>
        <w:tc>
          <w:tcPr>
            <w:tcW w:w="566" w:type="dxa"/>
            <w:tcBorders/>
            <w:shd w:fill="auto" w:val="clear"/>
          </w:tcPr>
          <w:p>
            <w:pPr>
              <w:pStyle w:val="TableContents"/>
              <w:spacing w:before="0" w:after="283"/>
              <w:jc w:val="right"/>
              <w:rPr/>
            </w:pPr>
            <w:r>
              <w:rPr/>
              <w:t> </w:t>
            </w:r>
          </w:p>
        </w:tc>
        <w:tc>
          <w:tcPr>
            <w:tcW w:w="278" w:type="dxa"/>
            <w:tcBorders/>
            <w:shd w:fill="auto" w:val="clea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 </w:t>
            </w:r>
          </w:p>
        </w:tc>
        <w:tc>
          <w:tcPr>
            <w:tcW w:w="565" w:type="dxa"/>
            <w:tcBorders/>
            <w:shd w:fill="auto" w:val="clear"/>
          </w:tcPr>
          <w:p>
            <w:pPr>
              <w:pStyle w:val="TableContents"/>
              <w:spacing w:before="0" w:after="283"/>
              <w:jc w:val="right"/>
              <w:rPr/>
            </w:pPr>
            <w:r>
              <w:rPr/>
              <w:t> </w:t>
            </w:r>
          </w:p>
        </w:tc>
        <w:tc>
          <w:tcPr>
            <w:tcW w:w="285" w:type="dxa"/>
            <w:tcBorders/>
            <w:shd w:fill="auto" w:val="clear"/>
          </w:tcPr>
          <w:p>
            <w:pPr>
              <w:pStyle w:val="TableContents"/>
              <w:spacing w:before="0" w:after="283"/>
              <w:rPr/>
            </w:pPr>
            <w:r>
              <w:rPr/>
              <w:t> </w:t>
            </w:r>
          </w:p>
        </w:tc>
      </w:tr>
      <w:tr>
        <w:trPr/>
        <w:tc>
          <w:tcPr>
            <w:tcW w:w="1255" w:type="dxa"/>
            <w:tcBorders/>
            <w:shd w:fill="CCEEFF" w:val="clear"/>
          </w:tcPr>
          <w:p>
            <w:pPr>
              <w:pStyle w:val="TableContents"/>
              <w:spacing w:before="0" w:after="0"/>
              <w:ind w:left="0" w:right="0" w:hanging="0"/>
              <w:rPr/>
            </w:pPr>
            <w:r>
              <w:rPr/>
              <w:t xml:space="preserve">  </w:t>
            </w:r>
          </w:p>
        </w:tc>
        <w:tc>
          <w:tcPr>
            <w:tcW w:w="428" w:type="dxa"/>
            <w:tcBorders/>
            <w:shd w:fill="CCEEFF" w:val="clear"/>
            <w:vAlign w:val="bottom"/>
          </w:tcPr>
          <w:p>
            <w:pPr>
              <w:pStyle w:val="TableContents"/>
              <w:spacing w:before="0" w:after="283"/>
              <w:rPr/>
            </w:pPr>
            <w:r>
              <w:rPr/>
              <w:t> </w:t>
            </w:r>
          </w:p>
        </w:tc>
        <w:tc>
          <w:tcPr>
            <w:tcW w:w="5276" w:type="dxa"/>
            <w:tcBorders/>
            <w:shd w:fill="CCEEFF" w:val="clear"/>
          </w:tcPr>
          <w:p>
            <w:pPr>
              <w:pStyle w:val="TableContents"/>
              <w:spacing w:before="0" w:after="283"/>
              <w:jc w:val="left"/>
              <w:rPr/>
            </w:pPr>
            <w:r>
              <w:rPr/>
              <w:t xml:space="preserve">First quarter ended December 31, 2006 </w:t>
            </w:r>
          </w:p>
        </w:tc>
        <w:tc>
          <w:tcPr>
            <w:tcW w:w="428" w:type="dxa"/>
            <w:tcBorders/>
            <w:shd w:fill="CCEEFF" w:val="clear"/>
            <w:vAlign w:val="bottom"/>
          </w:tcPr>
          <w:p>
            <w:pPr>
              <w:pStyle w:val="TableContents"/>
              <w:spacing w:before="0" w:after="283"/>
              <w:rPr/>
            </w:pPr>
            <w:r>
              <w:rPr/>
              <w:t> </w:t>
            </w:r>
          </w:p>
        </w:tc>
        <w:tc>
          <w:tcPr>
            <w:tcW w:w="348" w:type="dxa"/>
            <w:tcBorders/>
            <w:shd w:fill="CCEEFF" w:val="clear"/>
          </w:tcPr>
          <w:p>
            <w:pPr>
              <w:pStyle w:val="TableContents"/>
              <w:spacing w:before="0" w:after="283"/>
              <w:jc w:val="right"/>
              <w:rPr/>
            </w:pPr>
            <w:r>
              <w:rPr/>
              <w:t>$</w:t>
            </w:r>
          </w:p>
        </w:tc>
        <w:tc>
          <w:tcPr>
            <w:tcW w:w="566" w:type="dxa"/>
            <w:tcBorders/>
            <w:shd w:fill="CCEEFF" w:val="clear"/>
          </w:tcPr>
          <w:p>
            <w:pPr>
              <w:pStyle w:val="TableContents"/>
              <w:spacing w:before="0" w:after="283"/>
              <w:jc w:val="right"/>
              <w:rPr/>
            </w:pPr>
            <w:r>
              <w:rPr/>
              <w:t>16.95</w:t>
            </w:r>
          </w:p>
        </w:tc>
        <w:tc>
          <w:tcPr>
            <w:tcW w:w="278" w:type="dxa"/>
            <w:tcBorders/>
            <w:shd w:fill="CCEEFF" w:val="clear"/>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348" w:type="dxa"/>
            <w:tcBorders/>
            <w:shd w:fill="CCEEFF" w:val="clear"/>
          </w:tcPr>
          <w:p>
            <w:pPr>
              <w:pStyle w:val="TableContents"/>
              <w:spacing w:before="0" w:after="283"/>
              <w:jc w:val="right"/>
              <w:rPr/>
            </w:pPr>
            <w:r>
              <w:rPr/>
              <w:t>$</w:t>
            </w:r>
          </w:p>
        </w:tc>
        <w:tc>
          <w:tcPr>
            <w:tcW w:w="565" w:type="dxa"/>
            <w:tcBorders/>
            <w:shd w:fill="CCEEFF" w:val="clear"/>
          </w:tcPr>
          <w:p>
            <w:pPr>
              <w:pStyle w:val="TableContents"/>
              <w:spacing w:before="0" w:after="283"/>
              <w:jc w:val="right"/>
              <w:rPr/>
            </w:pPr>
            <w:r>
              <w:rPr/>
              <w:t>11.64</w:t>
            </w:r>
          </w:p>
        </w:tc>
        <w:tc>
          <w:tcPr>
            <w:tcW w:w="285" w:type="dxa"/>
            <w:tcBorders/>
            <w:shd w:fill="CCEEFF" w:val="clear"/>
          </w:tcPr>
          <w:p>
            <w:pPr>
              <w:pStyle w:val="TableContents"/>
              <w:spacing w:before="0" w:after="283"/>
              <w:rPr/>
            </w:pPr>
            <w:r>
              <w:rPr/>
              <w:t> </w:t>
            </w:r>
          </w:p>
        </w:tc>
      </w:tr>
      <w:tr>
        <w:trPr/>
        <w:tc>
          <w:tcPr>
            <w:tcW w:w="1255" w:type="dxa"/>
            <w:tcBorders/>
            <w:shd w:fill="auto" w:val="clear"/>
          </w:tcPr>
          <w:p>
            <w:pPr>
              <w:pStyle w:val="TableContents"/>
              <w:spacing w:before="0" w:after="0"/>
              <w:ind w:left="0" w:right="0" w:hanging="0"/>
              <w:rPr/>
            </w:pPr>
            <w:r>
              <w:rPr/>
              <w:t xml:space="preserve">  </w:t>
            </w:r>
          </w:p>
        </w:tc>
        <w:tc>
          <w:tcPr>
            <w:tcW w:w="428" w:type="dxa"/>
            <w:tcBorders/>
            <w:shd w:fill="auto" w:val="clear"/>
            <w:vAlign w:val="bottom"/>
          </w:tcPr>
          <w:p>
            <w:pPr>
              <w:pStyle w:val="TableContents"/>
              <w:spacing w:before="0" w:after="283"/>
              <w:rPr/>
            </w:pPr>
            <w:r>
              <w:rPr/>
              <w:t> </w:t>
            </w:r>
          </w:p>
        </w:tc>
        <w:tc>
          <w:tcPr>
            <w:tcW w:w="5276" w:type="dxa"/>
            <w:tcBorders/>
            <w:shd w:fill="auto" w:val="clear"/>
          </w:tcPr>
          <w:p>
            <w:pPr>
              <w:pStyle w:val="TableContents"/>
              <w:spacing w:before="0" w:after="283"/>
              <w:jc w:val="left"/>
              <w:rPr/>
            </w:pPr>
            <w:r>
              <w:rPr/>
              <w:t xml:space="preserve">Second quarter ended March 31, 2007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 </w:t>
            </w:r>
          </w:p>
        </w:tc>
        <w:tc>
          <w:tcPr>
            <w:tcW w:w="566" w:type="dxa"/>
            <w:tcBorders/>
            <w:shd w:fill="auto" w:val="clear"/>
          </w:tcPr>
          <w:p>
            <w:pPr>
              <w:pStyle w:val="TableContents"/>
              <w:spacing w:before="0" w:after="283"/>
              <w:jc w:val="right"/>
              <w:rPr/>
            </w:pPr>
            <w:r>
              <w:rPr/>
              <w:t>17.05</w:t>
            </w:r>
          </w:p>
        </w:tc>
        <w:tc>
          <w:tcPr>
            <w:tcW w:w="278" w:type="dxa"/>
            <w:tcBorders/>
            <w:shd w:fill="auto" w:val="clea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 </w:t>
            </w:r>
          </w:p>
        </w:tc>
        <w:tc>
          <w:tcPr>
            <w:tcW w:w="565" w:type="dxa"/>
            <w:tcBorders/>
            <w:shd w:fill="auto" w:val="clear"/>
          </w:tcPr>
          <w:p>
            <w:pPr>
              <w:pStyle w:val="TableContents"/>
              <w:spacing w:before="0" w:after="283"/>
              <w:jc w:val="right"/>
              <w:rPr/>
            </w:pPr>
            <w:r>
              <w:rPr/>
              <w:t>13.54</w:t>
            </w:r>
          </w:p>
        </w:tc>
        <w:tc>
          <w:tcPr>
            <w:tcW w:w="285" w:type="dxa"/>
            <w:tcBorders/>
            <w:shd w:fill="auto" w:val="clear"/>
          </w:tcPr>
          <w:p>
            <w:pPr>
              <w:pStyle w:val="TableContents"/>
              <w:spacing w:before="0" w:after="283"/>
              <w:rPr/>
            </w:pPr>
            <w:r>
              <w:rPr/>
              <w:t> </w:t>
            </w:r>
          </w:p>
        </w:tc>
      </w:tr>
      <w:tr>
        <w:trPr/>
        <w:tc>
          <w:tcPr>
            <w:tcW w:w="1255" w:type="dxa"/>
            <w:tcBorders/>
            <w:shd w:fill="CCEEFF" w:val="clear"/>
          </w:tcPr>
          <w:p>
            <w:pPr>
              <w:pStyle w:val="TableContents"/>
              <w:spacing w:before="0" w:after="0"/>
              <w:ind w:left="0" w:right="0" w:hanging="0"/>
              <w:rPr/>
            </w:pPr>
            <w:r>
              <w:rPr/>
              <w:t xml:space="preserve">  </w:t>
            </w:r>
          </w:p>
        </w:tc>
        <w:tc>
          <w:tcPr>
            <w:tcW w:w="428" w:type="dxa"/>
            <w:tcBorders/>
            <w:shd w:fill="CCEEFF" w:val="clear"/>
            <w:vAlign w:val="bottom"/>
          </w:tcPr>
          <w:p>
            <w:pPr>
              <w:pStyle w:val="TableContents"/>
              <w:spacing w:before="0" w:after="283"/>
              <w:rPr/>
            </w:pPr>
            <w:r>
              <w:rPr/>
              <w:t> </w:t>
            </w:r>
          </w:p>
        </w:tc>
        <w:tc>
          <w:tcPr>
            <w:tcW w:w="5276" w:type="dxa"/>
            <w:tcBorders/>
            <w:shd w:fill="CCEEFF" w:val="clear"/>
          </w:tcPr>
          <w:p>
            <w:pPr>
              <w:pStyle w:val="TableContents"/>
              <w:spacing w:before="0" w:after="283"/>
              <w:jc w:val="left"/>
              <w:rPr/>
            </w:pPr>
            <w:r>
              <w:rPr/>
              <w:t xml:space="preserve">Third quarter ended June 30, 2007 </w:t>
            </w:r>
          </w:p>
        </w:tc>
        <w:tc>
          <w:tcPr>
            <w:tcW w:w="428" w:type="dxa"/>
            <w:tcBorders/>
            <w:shd w:fill="CCEEFF" w:val="clear"/>
            <w:vAlign w:val="bottom"/>
          </w:tcPr>
          <w:p>
            <w:pPr>
              <w:pStyle w:val="TableContents"/>
              <w:spacing w:before="0" w:after="283"/>
              <w:rPr/>
            </w:pPr>
            <w:r>
              <w:rPr/>
              <w:t> </w:t>
            </w:r>
          </w:p>
        </w:tc>
        <w:tc>
          <w:tcPr>
            <w:tcW w:w="348" w:type="dxa"/>
            <w:tcBorders/>
            <w:shd w:fill="CCEEFF" w:val="clear"/>
          </w:tcPr>
          <w:p>
            <w:pPr>
              <w:pStyle w:val="TableContents"/>
              <w:spacing w:before="0" w:after="283"/>
              <w:jc w:val="right"/>
              <w:rPr/>
            </w:pPr>
            <w:r>
              <w:rPr/>
              <w:t> </w:t>
            </w:r>
          </w:p>
        </w:tc>
        <w:tc>
          <w:tcPr>
            <w:tcW w:w="566" w:type="dxa"/>
            <w:tcBorders/>
            <w:shd w:fill="CCEEFF" w:val="clear"/>
          </w:tcPr>
          <w:p>
            <w:pPr>
              <w:pStyle w:val="TableContents"/>
              <w:spacing w:before="0" w:after="283"/>
              <w:jc w:val="right"/>
              <w:rPr/>
            </w:pPr>
            <w:r>
              <w:rPr/>
              <w:t>16.68</w:t>
            </w:r>
          </w:p>
        </w:tc>
        <w:tc>
          <w:tcPr>
            <w:tcW w:w="278" w:type="dxa"/>
            <w:tcBorders/>
            <w:shd w:fill="CCEEFF" w:val="clear"/>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348" w:type="dxa"/>
            <w:tcBorders/>
            <w:shd w:fill="CCEEFF" w:val="clear"/>
          </w:tcPr>
          <w:p>
            <w:pPr>
              <w:pStyle w:val="TableContents"/>
              <w:spacing w:before="0" w:after="283"/>
              <w:jc w:val="right"/>
              <w:rPr/>
            </w:pPr>
            <w:r>
              <w:rPr/>
              <w:t> </w:t>
            </w:r>
          </w:p>
        </w:tc>
        <w:tc>
          <w:tcPr>
            <w:tcW w:w="565" w:type="dxa"/>
            <w:tcBorders/>
            <w:shd w:fill="CCEEFF" w:val="clear"/>
          </w:tcPr>
          <w:p>
            <w:pPr>
              <w:pStyle w:val="TableContents"/>
              <w:spacing w:before="0" w:after="283"/>
              <w:jc w:val="right"/>
              <w:rPr/>
            </w:pPr>
            <w:r>
              <w:rPr/>
              <w:t>12.82</w:t>
            </w:r>
          </w:p>
        </w:tc>
        <w:tc>
          <w:tcPr>
            <w:tcW w:w="285" w:type="dxa"/>
            <w:tcBorders/>
            <w:shd w:fill="CCEEFF" w:val="clear"/>
          </w:tcPr>
          <w:p>
            <w:pPr>
              <w:pStyle w:val="TableContents"/>
              <w:spacing w:before="0" w:after="283"/>
              <w:rPr/>
            </w:pPr>
            <w:r>
              <w:rPr/>
              <w:t> </w:t>
            </w:r>
          </w:p>
        </w:tc>
      </w:tr>
      <w:tr>
        <w:trPr/>
        <w:tc>
          <w:tcPr>
            <w:tcW w:w="1255" w:type="dxa"/>
            <w:tcBorders/>
            <w:shd w:fill="auto" w:val="clear"/>
          </w:tcPr>
          <w:p>
            <w:pPr>
              <w:pStyle w:val="TableContents"/>
              <w:spacing w:before="0" w:after="0"/>
              <w:ind w:left="0" w:right="0" w:hanging="0"/>
              <w:rPr/>
            </w:pPr>
            <w:r>
              <w:rPr/>
              <w:t xml:space="preserve">  </w:t>
            </w:r>
          </w:p>
        </w:tc>
        <w:tc>
          <w:tcPr>
            <w:tcW w:w="428" w:type="dxa"/>
            <w:tcBorders/>
            <w:shd w:fill="auto" w:val="clear"/>
            <w:vAlign w:val="bottom"/>
          </w:tcPr>
          <w:p>
            <w:pPr>
              <w:pStyle w:val="TableContents"/>
              <w:spacing w:before="0" w:after="283"/>
              <w:rPr/>
            </w:pPr>
            <w:r>
              <w:rPr/>
              <w:t> </w:t>
            </w:r>
          </w:p>
        </w:tc>
        <w:tc>
          <w:tcPr>
            <w:tcW w:w="5276" w:type="dxa"/>
            <w:tcBorders/>
            <w:shd w:fill="auto" w:val="clear"/>
          </w:tcPr>
          <w:p>
            <w:pPr>
              <w:pStyle w:val="TableContents"/>
              <w:spacing w:before="0" w:after="283"/>
              <w:jc w:val="left"/>
              <w:rPr/>
            </w:pPr>
            <w:r>
              <w:rPr/>
              <w:t xml:space="preserve">Fourth quarter ended September 30, 2007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 </w:t>
            </w:r>
          </w:p>
        </w:tc>
        <w:tc>
          <w:tcPr>
            <w:tcW w:w="566" w:type="dxa"/>
            <w:tcBorders/>
            <w:shd w:fill="auto" w:val="clear"/>
          </w:tcPr>
          <w:p>
            <w:pPr>
              <w:pStyle w:val="TableContents"/>
              <w:spacing w:before="0" w:after="283"/>
              <w:jc w:val="right"/>
              <w:rPr/>
            </w:pPr>
            <w:r>
              <w:rPr/>
              <w:t>13.57</w:t>
            </w:r>
          </w:p>
        </w:tc>
        <w:tc>
          <w:tcPr>
            <w:tcW w:w="278" w:type="dxa"/>
            <w:tcBorders/>
            <w:shd w:fill="auto" w:val="clea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348" w:type="dxa"/>
            <w:tcBorders/>
            <w:shd w:fill="auto" w:val="clear"/>
          </w:tcPr>
          <w:p>
            <w:pPr>
              <w:pStyle w:val="TableContents"/>
              <w:spacing w:before="0" w:after="283"/>
              <w:jc w:val="right"/>
              <w:rPr/>
            </w:pPr>
            <w:r>
              <w:rPr/>
              <w:t> </w:t>
            </w:r>
          </w:p>
        </w:tc>
        <w:tc>
          <w:tcPr>
            <w:tcW w:w="565" w:type="dxa"/>
            <w:tcBorders/>
            <w:shd w:fill="auto" w:val="clear"/>
          </w:tcPr>
          <w:p>
            <w:pPr>
              <w:pStyle w:val="TableContents"/>
              <w:spacing w:before="0" w:after="283"/>
              <w:jc w:val="right"/>
              <w:rPr/>
            </w:pPr>
            <w:r>
              <w:rPr/>
              <w:t>10.46</w:t>
            </w:r>
          </w:p>
        </w:tc>
        <w:tc>
          <w:tcPr>
            <w:tcW w:w="285" w:type="dxa"/>
            <w:tcBorders/>
            <w:shd w:fill="auto" w:val="clea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October 31, 2007, our Class A Common Stock closed at $13.16 per share.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During the past three fiscal years, we have not declared or paid any dividends. Under the terms of our credit agreement, which matures October 1, 2009, payment of dividends is allowed but restricted. Should we pay dividends in the future, our certificate of incorporation provides that cash dividends on common stock, when declared, must be declared and paid at the same per share amounts on both classes of stock.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Any interested party may request a copy of this Annual Report on Form 10-K free of charge by submitting a written request to EZCORP, Inc., Investor Relations, 1901 Capital Parkway, Austin, Texas 78746, by e-mail to </w:t>
      </w:r>
      <w:r>
        <w:rPr>
          <w:rFonts w:ascii="Helvetica;Arial;sans-serif" w:hAnsi="Helvetica;Arial;sans-serif"/>
          <w:sz w:val="17"/>
          <w:u w:val="single"/>
        </w:rPr>
        <w:t>investorrelations@ezcorp.com</w:t>
      </w:r>
      <w:r>
        <w:rPr>
          <w:rFonts w:ascii="Helvetica;Arial;sans-serif" w:hAnsi="Helvetica;Arial;sans-serif"/>
          <w:sz w:val="17"/>
        </w:rPr>
        <w:t xml:space="preserve">, or by printing a copy from the Investor Relations section of our website at </w:t>
      </w:r>
      <w:r>
        <w:rPr>
          <w:rFonts w:ascii="Helvetica;Arial;sans-serif" w:hAnsi="Helvetica;Arial;sans-serif"/>
          <w:sz w:val="17"/>
          <w:u w:val="single"/>
        </w:rPr>
        <w:t>www.ezcorp.com</w:t>
      </w:r>
      <w:r>
        <w:rPr>
          <w:rFonts w:ascii="Helvetica;Arial;sans-serif" w:hAnsi="Helvetica;Arial;sans-serif"/>
          <w:sz w:val="17"/>
        </w:rPr>
        <w:t xml:space="preserve">. The Code of Conduct and Ethics, Audit Committee Charter and Compensation Committee Charter also may be obtained from the Investor Relations section of our website at </w:t>
      </w:r>
      <w:r>
        <w:rPr>
          <w:rFonts w:ascii="Helvetica;Arial;sans-serif" w:hAnsi="Helvetica;Arial;sans-serif"/>
          <w:sz w:val="17"/>
          <w:u w:val="single"/>
        </w:rPr>
        <w:t>www.ezcorp.com</w:t>
      </w:r>
      <w:r>
        <w:rPr>
          <w:rFonts w:ascii="Helvetica;Arial;sans-serif" w:hAnsi="Helvetica;Arial;sans-serif"/>
          <w:sz w:val="17"/>
        </w:rPr>
        <w:t xml:space="preserve">. </w:t>
      </w:r>
    </w:p>
    <w:p>
      <w:pPr>
        <w:pStyle w:val="TextBody"/>
        <w:jc w:val="center"/>
        <w:rPr>
          <w:rFonts w:ascii="Helvetica;Arial;sans-serif" w:hAnsi="Helvetica;Arial;sans-serif"/>
          <w:sz w:val="17"/>
        </w:rPr>
      </w:pPr>
      <w:r>
        <w:rPr>
          <w:rFonts w:ascii="Helvetica;Arial;sans-serif" w:hAnsi="Helvetica;Arial;san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i/>
          <w:sz w:val="17"/>
        </w:rPr>
        <w:t>Stock Performance Graph</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compares cumulative total shareholder returns for our Class A Non-voting Common Stock for the period September 30, 2002 through September 30, 2007 with the cumulative total return on the NASDAQ Composite Index (ticker symbol IXIC) and the NASDAQ Other Financial Index (ticker symbol IXFN) over the same period. The graph assumes $100 was invested in each on September 30, 2002. </w:t>
      </w:r>
    </w:p>
    <w:p>
      <w:pPr>
        <w:pStyle w:val="TextBody"/>
        <w:spacing w:before="360" w:after="283"/>
        <w:jc w:val="center"/>
        <w:rPr/>
      </w:pPr>
      <w:r>
        <w:rPr/>
        <w:drawing>
          <wp:inline distT="0" distB="0" distL="0" distR="0">
            <wp:extent cx="5153025" cy="2790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53025" cy="2790825"/>
                    </a:xfrm>
                    <a:prstGeom prst="rect">
                      <a:avLst/>
                    </a:prstGeom>
                  </pic:spPr>
                </pic:pic>
              </a:graphicData>
            </a:graphic>
          </wp:inline>
        </w:drawing>
      </w:r>
      <w:r>
        <w:rPr/>
        <w:t xml:space="preserve"> </w:t>
      </w:r>
    </w:p>
    <w:p>
      <w:pPr>
        <w:pStyle w:val="TextBody"/>
        <w:spacing w:before="120" w:after="283"/>
        <w:jc w:val="left"/>
        <w:rPr>
          <w:rFonts w:ascii="Helvetica;Arial;sans-serif" w:hAnsi="Helvetica;Arial;sans-serif"/>
          <w:sz w:val="17"/>
        </w:rPr>
      </w:pPr>
      <w:r>
        <w:rPr>
          <w:rFonts w:ascii="Helvetica;Arial;sans-serif" w:hAnsi="Helvetica;Arial;sans-serif"/>
          <w:i/>
          <w:sz w:val="17"/>
        </w:rPr>
        <w:t>The Stock Performance Graph above and related information does not constitute soliciting material and will not be deemed filed or incorporate by reference into any future filing under the Securities Act of 1933, as amended, or the Securities Exchange Act of 1934, as amended, except to the extent that we specifically incorporate it by reference into such filing.</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Securities authorized under equity compensation plans as of September 30, 2007, were as follows: </w:t>
      </w:r>
    </w:p>
    <w:tbl>
      <w:tblPr>
        <w:tblW w:w="5000" w:type="pct"/>
        <w:jc w:val="center"/>
        <w:tblInd w:w="0" w:type="dxa"/>
        <w:tblCellMar>
          <w:top w:w="0" w:type="dxa"/>
          <w:left w:w="0" w:type="dxa"/>
          <w:bottom w:w="0" w:type="dxa"/>
          <w:right w:w="0" w:type="dxa"/>
        </w:tblCellMar>
      </w:tblPr>
      <w:tblGrid>
        <w:gridCol w:w="1915"/>
        <w:gridCol w:w="128"/>
        <w:gridCol w:w="206"/>
        <w:gridCol w:w="1816"/>
        <w:gridCol w:w="208"/>
        <w:gridCol w:w="128"/>
        <w:gridCol w:w="489"/>
        <w:gridCol w:w="1249"/>
        <w:gridCol w:w="266"/>
        <w:gridCol w:w="128"/>
        <w:gridCol w:w="319"/>
        <w:gridCol w:w="3020"/>
        <w:gridCol w:w="333"/>
      </w:tblGrid>
      <w:tr>
        <w:trPr/>
        <w:tc>
          <w:tcPr>
            <w:tcW w:w="191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302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r>
      <w:tr>
        <w:trPr/>
        <w:tc>
          <w:tcPr>
            <w:tcW w:w="191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672" w:type="dxa"/>
            <w:gridSpan w:val="3"/>
            <w:tcBorders/>
            <w:shd w:fill="auto" w:val="clear"/>
            <w:vAlign w:val="bottom"/>
          </w:tcPr>
          <w:p>
            <w:pPr>
              <w:pStyle w:val="TableContents"/>
              <w:spacing w:before="0" w:after="283"/>
              <w:jc w:val="center"/>
              <w:rPr/>
            </w:pPr>
            <w:r>
              <w:rPr/>
              <w:t>Number of Securities Remaining</w:t>
            </w:r>
          </w:p>
        </w:tc>
      </w:tr>
      <w:tr>
        <w:trPr/>
        <w:tc>
          <w:tcPr>
            <w:tcW w:w="191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230" w:type="dxa"/>
            <w:gridSpan w:val="3"/>
            <w:tcBorders/>
            <w:shd w:fill="auto" w:val="clear"/>
            <w:vAlign w:val="bottom"/>
          </w:tcPr>
          <w:p>
            <w:pPr>
              <w:pStyle w:val="TableContents"/>
              <w:spacing w:before="0" w:after="283"/>
              <w:jc w:val="center"/>
              <w:rPr/>
            </w:pPr>
            <w:r>
              <w:rPr/>
              <w:t>Number of Securities</w:t>
            </w:r>
          </w:p>
        </w:tc>
        <w:tc>
          <w:tcPr>
            <w:tcW w:w="128" w:type="dxa"/>
            <w:tcBorders/>
            <w:shd w:fill="auto" w:val="clear"/>
            <w:vAlign w:val="bottom"/>
          </w:tcPr>
          <w:p>
            <w:pPr>
              <w:pStyle w:val="TableContents"/>
              <w:spacing w:before="0" w:after="283"/>
              <w:rPr/>
            </w:pPr>
            <w:r>
              <w:rPr/>
              <w:t> </w:t>
            </w:r>
          </w:p>
        </w:tc>
        <w:tc>
          <w:tcPr>
            <w:tcW w:w="2004" w:type="dxa"/>
            <w:gridSpan w:val="3"/>
            <w:tcBorders/>
            <w:shd w:fill="auto" w:val="clear"/>
            <w:vAlign w:val="bottom"/>
          </w:tcPr>
          <w:p>
            <w:pPr>
              <w:pStyle w:val="TableContents"/>
              <w:spacing w:before="0" w:after="283"/>
              <w:jc w:val="center"/>
              <w:rPr/>
            </w:pPr>
            <w:r>
              <w:rPr/>
              <w:t>Weighted Average</w:t>
            </w:r>
          </w:p>
        </w:tc>
        <w:tc>
          <w:tcPr>
            <w:tcW w:w="128" w:type="dxa"/>
            <w:tcBorders/>
            <w:shd w:fill="auto" w:val="clear"/>
            <w:vAlign w:val="bottom"/>
          </w:tcPr>
          <w:p>
            <w:pPr>
              <w:pStyle w:val="TableContents"/>
              <w:spacing w:before="0" w:after="283"/>
              <w:rPr/>
            </w:pPr>
            <w:r>
              <w:rPr/>
              <w:t> </w:t>
            </w:r>
          </w:p>
        </w:tc>
        <w:tc>
          <w:tcPr>
            <w:tcW w:w="3672" w:type="dxa"/>
            <w:gridSpan w:val="3"/>
            <w:tcBorders/>
            <w:shd w:fill="auto" w:val="clear"/>
            <w:vAlign w:val="bottom"/>
          </w:tcPr>
          <w:p>
            <w:pPr>
              <w:pStyle w:val="TableContents"/>
              <w:spacing w:before="0" w:after="283"/>
              <w:jc w:val="center"/>
              <w:rPr/>
            </w:pPr>
            <w:r>
              <w:rPr/>
              <w:t>Available for Future Issuance Under</w:t>
            </w:r>
          </w:p>
        </w:tc>
      </w:tr>
      <w:tr>
        <w:trPr/>
        <w:tc>
          <w:tcPr>
            <w:tcW w:w="191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230" w:type="dxa"/>
            <w:gridSpan w:val="3"/>
            <w:tcBorders/>
            <w:shd w:fill="auto" w:val="clear"/>
            <w:vAlign w:val="bottom"/>
          </w:tcPr>
          <w:p>
            <w:pPr>
              <w:pStyle w:val="TableContents"/>
              <w:spacing w:before="0" w:after="283"/>
              <w:jc w:val="center"/>
              <w:rPr/>
            </w:pPr>
            <w:r>
              <w:rPr/>
              <w:t>to be Issued Upon</w:t>
            </w:r>
          </w:p>
        </w:tc>
        <w:tc>
          <w:tcPr>
            <w:tcW w:w="128" w:type="dxa"/>
            <w:tcBorders/>
            <w:shd w:fill="auto" w:val="clear"/>
            <w:vAlign w:val="bottom"/>
          </w:tcPr>
          <w:p>
            <w:pPr>
              <w:pStyle w:val="TableContents"/>
              <w:spacing w:before="0" w:after="283"/>
              <w:rPr/>
            </w:pPr>
            <w:r>
              <w:rPr/>
              <w:t> </w:t>
            </w:r>
          </w:p>
        </w:tc>
        <w:tc>
          <w:tcPr>
            <w:tcW w:w="2004" w:type="dxa"/>
            <w:gridSpan w:val="3"/>
            <w:tcBorders/>
            <w:shd w:fill="auto" w:val="clear"/>
            <w:vAlign w:val="bottom"/>
          </w:tcPr>
          <w:p>
            <w:pPr>
              <w:pStyle w:val="TableContents"/>
              <w:spacing w:before="0" w:after="283"/>
              <w:jc w:val="center"/>
              <w:rPr/>
            </w:pPr>
            <w:r>
              <w:rPr/>
              <w:t>Exercise Price of</w:t>
            </w:r>
          </w:p>
        </w:tc>
        <w:tc>
          <w:tcPr>
            <w:tcW w:w="128" w:type="dxa"/>
            <w:tcBorders/>
            <w:shd w:fill="auto" w:val="clear"/>
            <w:vAlign w:val="bottom"/>
          </w:tcPr>
          <w:p>
            <w:pPr>
              <w:pStyle w:val="TableContents"/>
              <w:spacing w:before="0" w:after="283"/>
              <w:rPr/>
            </w:pPr>
            <w:r>
              <w:rPr/>
              <w:t> </w:t>
            </w:r>
          </w:p>
        </w:tc>
        <w:tc>
          <w:tcPr>
            <w:tcW w:w="3672" w:type="dxa"/>
            <w:gridSpan w:val="3"/>
            <w:tcBorders/>
            <w:shd w:fill="auto" w:val="clear"/>
            <w:vAlign w:val="bottom"/>
          </w:tcPr>
          <w:p>
            <w:pPr>
              <w:pStyle w:val="TableContents"/>
              <w:spacing w:before="0" w:after="283"/>
              <w:jc w:val="center"/>
              <w:rPr/>
            </w:pPr>
            <w:r>
              <w:rPr/>
              <w:t>Equity Compensation Plans</w:t>
            </w:r>
          </w:p>
        </w:tc>
      </w:tr>
      <w:tr>
        <w:trPr/>
        <w:tc>
          <w:tcPr>
            <w:tcW w:w="191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230" w:type="dxa"/>
            <w:gridSpan w:val="3"/>
            <w:tcBorders/>
            <w:shd w:fill="auto" w:val="clear"/>
            <w:vAlign w:val="bottom"/>
          </w:tcPr>
          <w:p>
            <w:pPr>
              <w:pStyle w:val="TableContents"/>
              <w:spacing w:before="0" w:after="283"/>
              <w:jc w:val="center"/>
              <w:rPr/>
            </w:pPr>
            <w:r>
              <w:rPr/>
              <w:t>Exercise of</w:t>
            </w:r>
          </w:p>
        </w:tc>
        <w:tc>
          <w:tcPr>
            <w:tcW w:w="128" w:type="dxa"/>
            <w:tcBorders/>
            <w:shd w:fill="auto" w:val="clear"/>
            <w:vAlign w:val="bottom"/>
          </w:tcPr>
          <w:p>
            <w:pPr>
              <w:pStyle w:val="TableContents"/>
              <w:spacing w:before="0" w:after="283"/>
              <w:rPr/>
            </w:pPr>
            <w:r>
              <w:rPr/>
              <w:t> </w:t>
            </w:r>
          </w:p>
        </w:tc>
        <w:tc>
          <w:tcPr>
            <w:tcW w:w="2004" w:type="dxa"/>
            <w:gridSpan w:val="3"/>
            <w:tcBorders/>
            <w:shd w:fill="auto" w:val="clear"/>
            <w:vAlign w:val="bottom"/>
          </w:tcPr>
          <w:p>
            <w:pPr>
              <w:pStyle w:val="TableContents"/>
              <w:spacing w:before="0" w:after="283"/>
              <w:jc w:val="center"/>
              <w:rPr/>
            </w:pPr>
            <w:r>
              <w:rPr/>
              <w:t>Outstanding</w:t>
            </w:r>
          </w:p>
        </w:tc>
        <w:tc>
          <w:tcPr>
            <w:tcW w:w="128" w:type="dxa"/>
            <w:tcBorders/>
            <w:shd w:fill="auto" w:val="clear"/>
            <w:vAlign w:val="bottom"/>
          </w:tcPr>
          <w:p>
            <w:pPr>
              <w:pStyle w:val="TableContents"/>
              <w:spacing w:before="0" w:after="283"/>
              <w:rPr/>
            </w:pPr>
            <w:r>
              <w:rPr/>
              <w:t> </w:t>
            </w:r>
          </w:p>
        </w:tc>
        <w:tc>
          <w:tcPr>
            <w:tcW w:w="3672" w:type="dxa"/>
            <w:gridSpan w:val="3"/>
            <w:tcBorders/>
            <w:shd w:fill="auto" w:val="clear"/>
            <w:vAlign w:val="bottom"/>
          </w:tcPr>
          <w:p>
            <w:pPr>
              <w:pStyle w:val="TableContents"/>
              <w:spacing w:before="0" w:after="283"/>
              <w:jc w:val="center"/>
              <w:rPr/>
            </w:pPr>
            <w:r>
              <w:rPr/>
              <w:t>(Excluding Securities Reflected in</w:t>
            </w:r>
          </w:p>
        </w:tc>
      </w:tr>
      <w:tr>
        <w:trPr/>
        <w:tc>
          <w:tcPr>
            <w:tcW w:w="191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230" w:type="dxa"/>
            <w:gridSpan w:val="3"/>
            <w:tcBorders/>
            <w:shd w:fill="auto" w:val="clear"/>
            <w:vAlign w:val="bottom"/>
          </w:tcPr>
          <w:p>
            <w:pPr>
              <w:pStyle w:val="TableContents"/>
              <w:spacing w:before="0" w:after="283"/>
              <w:jc w:val="center"/>
              <w:rPr/>
            </w:pPr>
            <w:r>
              <w:rPr/>
              <w:t>Outstanding Options</w:t>
            </w:r>
          </w:p>
        </w:tc>
        <w:tc>
          <w:tcPr>
            <w:tcW w:w="128" w:type="dxa"/>
            <w:tcBorders/>
            <w:shd w:fill="auto" w:val="clear"/>
            <w:vAlign w:val="bottom"/>
          </w:tcPr>
          <w:p>
            <w:pPr>
              <w:pStyle w:val="TableContents"/>
              <w:spacing w:before="0" w:after="283"/>
              <w:rPr/>
            </w:pPr>
            <w:r>
              <w:rPr/>
              <w:t> </w:t>
            </w:r>
          </w:p>
        </w:tc>
        <w:tc>
          <w:tcPr>
            <w:tcW w:w="2004" w:type="dxa"/>
            <w:gridSpan w:val="3"/>
            <w:tcBorders/>
            <w:shd w:fill="auto" w:val="clear"/>
            <w:vAlign w:val="bottom"/>
          </w:tcPr>
          <w:p>
            <w:pPr>
              <w:pStyle w:val="TableContents"/>
              <w:spacing w:before="0" w:after="283"/>
              <w:jc w:val="center"/>
              <w:rPr/>
            </w:pPr>
            <w:r>
              <w:rPr/>
              <w:t>Option</w:t>
            </w:r>
          </w:p>
        </w:tc>
        <w:tc>
          <w:tcPr>
            <w:tcW w:w="128" w:type="dxa"/>
            <w:tcBorders/>
            <w:shd w:fill="auto" w:val="clear"/>
            <w:vAlign w:val="bottom"/>
          </w:tcPr>
          <w:p>
            <w:pPr>
              <w:pStyle w:val="TableContents"/>
              <w:spacing w:before="0" w:after="283"/>
              <w:rPr/>
            </w:pPr>
            <w:r>
              <w:rPr/>
              <w:t> </w:t>
            </w:r>
          </w:p>
        </w:tc>
        <w:tc>
          <w:tcPr>
            <w:tcW w:w="3672" w:type="dxa"/>
            <w:gridSpan w:val="3"/>
            <w:tcBorders/>
            <w:shd w:fill="auto" w:val="clear"/>
            <w:vAlign w:val="bottom"/>
          </w:tcPr>
          <w:p>
            <w:pPr>
              <w:pStyle w:val="TableContents"/>
              <w:spacing w:before="0" w:after="283"/>
              <w:jc w:val="center"/>
              <w:rPr/>
            </w:pPr>
            <w:r>
              <w:rPr/>
              <w:t>Column (a))</w:t>
            </w:r>
          </w:p>
        </w:tc>
      </w:tr>
      <w:tr>
        <w:trPr/>
        <w:tc>
          <w:tcPr>
            <w:tcW w:w="1915" w:type="dxa"/>
            <w:tcBorders>
              <w:bottom w:val="single" w:sz="2" w:space="0" w:color="000000"/>
            </w:tcBorders>
            <w:shd w:fill="auto" w:val="clear"/>
            <w:tcMar>
              <w:bottom w:w="28" w:type="dxa"/>
            </w:tcMar>
            <w:vAlign w:val="bottom"/>
          </w:tcPr>
          <w:p>
            <w:pPr>
              <w:pStyle w:val="TableContents"/>
              <w:spacing w:before="0" w:after="283"/>
              <w:jc w:val="center"/>
              <w:rPr/>
            </w:pPr>
            <w:r>
              <w:rPr/>
              <w:t>Plan Category</w:t>
            </w:r>
          </w:p>
        </w:tc>
        <w:tc>
          <w:tcPr>
            <w:tcW w:w="128" w:type="dxa"/>
            <w:tcBorders/>
            <w:shd w:fill="auto" w:val="clear"/>
            <w:vAlign w:val="bottom"/>
          </w:tcPr>
          <w:p>
            <w:pPr>
              <w:pStyle w:val="TableContents"/>
              <w:spacing w:before="0" w:after="283"/>
              <w:rPr/>
            </w:pPr>
            <w:r>
              <w:rPr/>
              <w:t> </w:t>
            </w:r>
          </w:p>
        </w:tc>
        <w:tc>
          <w:tcPr>
            <w:tcW w:w="2230" w:type="dxa"/>
            <w:gridSpan w:val="3"/>
            <w:tcBorders>
              <w:bottom w:val="single" w:sz="2" w:space="0" w:color="000000"/>
            </w:tcBorders>
            <w:shd w:fill="auto" w:val="clear"/>
            <w:tcMar>
              <w:bottom w:w="28" w:type="dxa"/>
            </w:tcMar>
            <w:vAlign w:val="bottom"/>
          </w:tcPr>
          <w:p>
            <w:pPr>
              <w:pStyle w:val="TableContents"/>
              <w:spacing w:before="0" w:after="283"/>
              <w:jc w:val="center"/>
              <w:rPr/>
            </w:pPr>
            <w:r>
              <w:rPr/>
              <w:t>(a)</w:t>
            </w:r>
          </w:p>
        </w:tc>
        <w:tc>
          <w:tcPr>
            <w:tcW w:w="128" w:type="dxa"/>
            <w:tcBorders/>
            <w:shd w:fill="auto" w:val="clear"/>
            <w:vAlign w:val="bottom"/>
          </w:tcPr>
          <w:p>
            <w:pPr>
              <w:pStyle w:val="TableContents"/>
              <w:spacing w:before="0" w:after="283"/>
              <w:rPr/>
            </w:pPr>
            <w:r>
              <w:rPr/>
              <w:t> </w:t>
            </w:r>
          </w:p>
        </w:tc>
        <w:tc>
          <w:tcPr>
            <w:tcW w:w="2004" w:type="dxa"/>
            <w:gridSpan w:val="3"/>
            <w:tcBorders>
              <w:bottom w:val="single" w:sz="2" w:space="0" w:color="000000"/>
            </w:tcBorders>
            <w:shd w:fill="auto" w:val="clear"/>
            <w:tcMar>
              <w:bottom w:w="28" w:type="dxa"/>
            </w:tcMar>
            <w:vAlign w:val="bottom"/>
          </w:tcPr>
          <w:p>
            <w:pPr>
              <w:pStyle w:val="TableContents"/>
              <w:spacing w:before="0" w:after="283"/>
              <w:jc w:val="center"/>
              <w:rPr/>
            </w:pPr>
            <w:r>
              <w:rPr/>
              <w:t>(b)</w:t>
            </w:r>
          </w:p>
        </w:tc>
        <w:tc>
          <w:tcPr>
            <w:tcW w:w="128" w:type="dxa"/>
            <w:tcBorders/>
            <w:shd w:fill="auto" w:val="clear"/>
            <w:vAlign w:val="bottom"/>
          </w:tcPr>
          <w:p>
            <w:pPr>
              <w:pStyle w:val="TableContents"/>
              <w:spacing w:before="0" w:after="283"/>
              <w:rPr/>
            </w:pPr>
            <w:r>
              <w:rPr/>
              <w:t> </w:t>
            </w:r>
          </w:p>
        </w:tc>
        <w:tc>
          <w:tcPr>
            <w:tcW w:w="3672" w:type="dxa"/>
            <w:gridSpan w:val="3"/>
            <w:tcBorders>
              <w:bottom w:val="single" w:sz="2" w:space="0" w:color="000000"/>
            </w:tcBorders>
            <w:shd w:fill="auto" w:val="clear"/>
            <w:tcMar>
              <w:bottom w:w="28" w:type="dxa"/>
            </w:tcMar>
            <w:vAlign w:val="bottom"/>
          </w:tcPr>
          <w:p>
            <w:pPr>
              <w:pStyle w:val="TableContents"/>
              <w:spacing w:before="0" w:after="283"/>
              <w:jc w:val="center"/>
              <w:rPr/>
            </w:pPr>
            <w:r>
              <w:rPr/>
              <w:t>(c)</w:t>
            </w:r>
          </w:p>
        </w:tc>
      </w:tr>
      <w:tr>
        <w:trPr/>
        <w:tc>
          <w:tcPr>
            <w:tcW w:w="1915" w:type="dxa"/>
            <w:tcBorders/>
            <w:shd w:fill="CCEEFF" w:val="clear"/>
            <w:vAlign w:val="bottom"/>
          </w:tcPr>
          <w:p>
            <w:pPr>
              <w:pStyle w:val="TableContents"/>
              <w:spacing w:before="0" w:after="0"/>
              <w:ind w:left="225" w:right="0" w:hanging="225"/>
              <w:rPr/>
            </w:pPr>
            <w:r>
              <w:rPr/>
              <w:t>Equity compensation plans approved by security holders</w:t>
            </w:r>
          </w:p>
        </w:tc>
        <w:tc>
          <w:tcPr>
            <w:tcW w:w="12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16" w:type="dxa"/>
            <w:tcBorders/>
            <w:shd w:fill="CCEEFF" w:val="clear"/>
            <w:vAlign w:val="bottom"/>
          </w:tcPr>
          <w:p>
            <w:pPr>
              <w:pStyle w:val="TableContents"/>
              <w:spacing w:before="0" w:after="283"/>
              <w:jc w:val="right"/>
              <w:rPr/>
            </w:pPr>
            <w:r>
              <w:rPr/>
              <w:t>2,551,666</w:t>
            </w:r>
          </w:p>
        </w:tc>
        <w:tc>
          <w:tcPr>
            <w:tcW w:w="208"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pPr>
            <w:r>
              <w:rPr/>
              <w:t>$</w:t>
            </w:r>
          </w:p>
        </w:tc>
        <w:tc>
          <w:tcPr>
            <w:tcW w:w="1249" w:type="dxa"/>
            <w:tcBorders/>
            <w:shd w:fill="CCEEFF" w:val="clear"/>
            <w:vAlign w:val="bottom"/>
          </w:tcPr>
          <w:p>
            <w:pPr>
              <w:pStyle w:val="TableContents"/>
              <w:spacing w:before="0" w:after="283"/>
              <w:jc w:val="right"/>
              <w:rPr/>
            </w:pPr>
            <w:r>
              <w:rPr/>
              <w:t>3.18</w:t>
            </w:r>
          </w:p>
        </w:tc>
        <w:tc>
          <w:tcPr>
            <w:tcW w:w="266"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3020" w:type="dxa"/>
            <w:tcBorders/>
            <w:shd w:fill="CCEEFF" w:val="clear"/>
            <w:vAlign w:val="bottom"/>
          </w:tcPr>
          <w:p>
            <w:pPr>
              <w:pStyle w:val="TableContents"/>
              <w:spacing w:before="0" w:after="283"/>
              <w:jc w:val="right"/>
              <w:rPr/>
            </w:pPr>
            <w:r>
              <w:rPr/>
              <w:t>426,584</w:t>
            </w:r>
          </w:p>
        </w:tc>
        <w:tc>
          <w:tcPr>
            <w:tcW w:w="333" w:type="dxa"/>
            <w:tcBorders/>
            <w:shd w:fill="CCEEFF" w:val="clear"/>
            <w:vAlign w:val="bottom"/>
          </w:tcPr>
          <w:p>
            <w:pPr>
              <w:pStyle w:val="TableContents"/>
              <w:spacing w:before="0" w:after="283"/>
              <w:rPr/>
            </w:pPr>
            <w:r>
              <w:rPr/>
              <w:t> </w:t>
            </w:r>
          </w:p>
        </w:tc>
      </w:tr>
      <w:tr>
        <w:trPr/>
        <w:tc>
          <w:tcPr>
            <w:tcW w:w="1915" w:type="dxa"/>
            <w:tcBorders/>
            <w:shd w:fill="auto" w:val="clear"/>
            <w:vAlign w:val="bottom"/>
          </w:tcPr>
          <w:p>
            <w:pPr>
              <w:pStyle w:val="TableContents"/>
              <w:spacing w:before="0" w:after="0"/>
              <w:ind w:left="225" w:right="0" w:hanging="225"/>
              <w:rPr/>
            </w:pPr>
            <w:r>
              <w:rPr/>
              <w:t>Equity compensation plans not approved by security holders</w:t>
            </w:r>
          </w:p>
        </w:tc>
        <w:tc>
          <w:tcPr>
            <w:tcW w:w="12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816" w:type="dxa"/>
            <w:tcBorders/>
            <w:shd w:fill="auto" w:val="clear"/>
            <w:vAlign w:val="bottom"/>
          </w:tcPr>
          <w:p>
            <w:pPr>
              <w:pStyle w:val="TableContents"/>
              <w:spacing w:before="0" w:after="283"/>
              <w:jc w:val="right"/>
              <w:rPr/>
            </w:pPr>
            <w:r>
              <w:rPr/>
              <w:t></w:t>
            </w:r>
          </w:p>
        </w:tc>
        <w:tc>
          <w:tcPr>
            <w:tcW w:w="20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w:t>
            </w:r>
          </w:p>
        </w:tc>
        <w:tc>
          <w:tcPr>
            <w:tcW w:w="26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3020" w:type="dxa"/>
            <w:tcBorders/>
            <w:shd w:fill="auto" w:val="clear"/>
            <w:vAlign w:val="bottom"/>
          </w:tcPr>
          <w:p>
            <w:pPr>
              <w:pStyle w:val="TableContents"/>
              <w:spacing w:before="0" w:after="283"/>
              <w:jc w:val="right"/>
              <w:rPr/>
            </w:pPr>
            <w:r>
              <w:rPr/>
              <w:t></w:t>
            </w:r>
          </w:p>
        </w:tc>
        <w:tc>
          <w:tcPr>
            <w:tcW w:w="333" w:type="dxa"/>
            <w:tcBorders/>
            <w:shd w:fill="auto" w:val="clear"/>
            <w:vAlign w:val="bottom"/>
          </w:tcPr>
          <w:p>
            <w:pPr>
              <w:pStyle w:val="TableContents"/>
              <w:spacing w:before="0" w:after="283"/>
              <w:rPr/>
            </w:pPr>
            <w:r>
              <w:rPr/>
              <w:t> </w:t>
            </w:r>
          </w:p>
        </w:tc>
      </w:tr>
      <w:tr>
        <w:trPr/>
        <w:tc>
          <w:tcPr>
            <w:tcW w:w="1915" w:type="dxa"/>
            <w:tcBorders/>
            <w:shd w:fill="auto" w:val="clear"/>
            <w:vAlign w:val="center"/>
          </w:tcPr>
          <w:p>
            <w:pPr>
              <w:pStyle w:val="TableContents"/>
              <w:spacing w:before="0" w:after="0"/>
              <w:ind w:left="225" w:right="0" w:hanging="225"/>
              <w:rPr/>
            </w:pPr>
            <w:r>
              <w:rPr/>
              <w:t> </w:t>
            </w:r>
          </w:p>
        </w:tc>
        <w:tc>
          <w:tcPr>
            <w:tcW w:w="128"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816" w:type="dxa"/>
            <w:tcBorders/>
            <w:shd w:fill="auto" w:val="clear"/>
            <w:vAlign w:val="center"/>
          </w:tcPr>
          <w:p>
            <w:pPr>
              <w:pStyle w:val="TableContents"/>
              <w:spacing w:before="0" w:after="0"/>
              <w:ind w:left="0" w:right="0" w:hanging="0"/>
              <w:jc w:val="right"/>
              <w:rPr>
                <w:bdr w:val="single" w:sz="2" w:space="1" w:color="000000"/>
              </w:rPr>
            </w:pPr>
            <w:r>
              <w:rPr>
                <w:bdr w:val="single" w:sz="2" w:space="1" w:color="000000"/>
              </w:rPr>
              <w:t> </w:t>
            </w:r>
          </w:p>
        </w:tc>
        <w:tc>
          <w:tcPr>
            <w:tcW w:w="208"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738" w:type="dxa"/>
            <w:gridSpan w:val="2"/>
            <w:tcBorders/>
            <w:shd w:fill="auto" w:val="clear"/>
            <w:vAlign w:val="center"/>
          </w:tcPr>
          <w:p>
            <w:pPr>
              <w:pStyle w:val="TableContents"/>
              <w:spacing w:before="0" w:after="0"/>
              <w:ind w:left="500" w:right="0" w:hanging="0"/>
              <w:jc w:val="right"/>
              <w:rPr>
                <w:bdr w:val="single" w:sz="2" w:space="1" w:color="000000"/>
              </w:rPr>
            </w:pPr>
            <w:r>
              <w:rPr>
                <w:bdr w:val="single" w:sz="2" w:space="1" w:color="000000"/>
              </w:rPr>
              <w:t> </w:t>
            </w:r>
          </w:p>
        </w:tc>
        <w:tc>
          <w:tcPr>
            <w:tcW w:w="266"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0"/>
              <w:ind w:left="0" w:right="0" w:hanging="0"/>
              <w:jc w:val="right"/>
              <w:rPr>
                <w:bdr w:val="single" w:sz="2" w:space="1" w:color="000000"/>
              </w:rPr>
            </w:pPr>
            <w:r>
              <w:rPr>
                <w:bdr w:val="single" w:sz="2" w:space="1" w:color="000000"/>
              </w:rPr>
              <w:t> </w:t>
            </w:r>
          </w:p>
        </w:tc>
        <w:tc>
          <w:tcPr>
            <w:tcW w:w="333" w:type="dxa"/>
            <w:tcBorders/>
            <w:shd w:fill="auto" w:val="clear"/>
            <w:vAlign w:val="center"/>
          </w:tcPr>
          <w:p>
            <w:pPr>
              <w:pStyle w:val="TableContents"/>
              <w:spacing w:before="0" w:after="283"/>
              <w:rPr/>
            </w:pPr>
            <w:r>
              <w:rPr/>
              <w:t> </w:t>
            </w:r>
          </w:p>
        </w:tc>
      </w:tr>
      <w:tr>
        <w:trPr/>
        <w:tc>
          <w:tcPr>
            <w:tcW w:w="1915" w:type="dxa"/>
            <w:tcBorders/>
            <w:shd w:fill="CCEEFF" w:val="clear"/>
            <w:vAlign w:val="bottom"/>
          </w:tcPr>
          <w:p>
            <w:pPr>
              <w:pStyle w:val="TableContents"/>
              <w:spacing w:before="0" w:after="0"/>
              <w:ind w:left="225" w:right="0" w:hanging="225"/>
              <w:rPr/>
            </w:pPr>
            <w:r>
              <w:rPr/>
              <w:t>Total</w:t>
            </w:r>
          </w:p>
        </w:tc>
        <w:tc>
          <w:tcPr>
            <w:tcW w:w="128"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816" w:type="dxa"/>
            <w:tcBorders/>
            <w:shd w:fill="CCEEFF" w:val="clear"/>
            <w:vAlign w:val="bottom"/>
          </w:tcPr>
          <w:p>
            <w:pPr>
              <w:pStyle w:val="TableContents"/>
              <w:spacing w:before="0" w:after="283"/>
              <w:jc w:val="right"/>
              <w:rPr/>
            </w:pPr>
            <w:r>
              <w:rPr/>
              <w:t>2,551,666</w:t>
            </w:r>
          </w:p>
        </w:tc>
        <w:tc>
          <w:tcPr>
            <w:tcW w:w="208"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pPr>
            <w:r>
              <w:rPr/>
              <w:t>$</w:t>
            </w:r>
          </w:p>
        </w:tc>
        <w:tc>
          <w:tcPr>
            <w:tcW w:w="1249" w:type="dxa"/>
            <w:tcBorders/>
            <w:shd w:fill="CCEEFF" w:val="clear"/>
            <w:vAlign w:val="bottom"/>
          </w:tcPr>
          <w:p>
            <w:pPr>
              <w:pStyle w:val="TableContents"/>
              <w:spacing w:before="0" w:after="283"/>
              <w:jc w:val="right"/>
              <w:rPr/>
            </w:pPr>
            <w:r>
              <w:rPr/>
              <w:t>3.18</w:t>
            </w:r>
          </w:p>
        </w:tc>
        <w:tc>
          <w:tcPr>
            <w:tcW w:w="266"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3020" w:type="dxa"/>
            <w:tcBorders/>
            <w:shd w:fill="CCEEFF" w:val="clear"/>
            <w:vAlign w:val="bottom"/>
          </w:tcPr>
          <w:p>
            <w:pPr>
              <w:pStyle w:val="TableContents"/>
              <w:spacing w:before="0" w:after="283"/>
              <w:jc w:val="right"/>
              <w:rPr/>
            </w:pPr>
            <w:r>
              <w:rPr/>
              <w:t>426,584</w:t>
            </w:r>
          </w:p>
        </w:tc>
        <w:tc>
          <w:tcPr>
            <w:tcW w:w="333" w:type="dxa"/>
            <w:tcBorders/>
            <w:shd w:fill="CCEEFF" w:val="clear"/>
            <w:vAlign w:val="bottom"/>
          </w:tcPr>
          <w:p>
            <w:pPr>
              <w:pStyle w:val="TableContents"/>
              <w:spacing w:before="0" w:after="283"/>
              <w:rPr/>
            </w:pPr>
            <w:r>
              <w:rPr/>
              <w:t> </w:t>
            </w:r>
          </w:p>
        </w:tc>
      </w:tr>
      <w:tr>
        <w:trPr/>
        <w:tc>
          <w:tcPr>
            <w:tcW w:w="1915" w:type="dxa"/>
            <w:tcBorders/>
            <w:shd w:fill="auto" w:val="clear"/>
            <w:vAlign w:val="center"/>
          </w:tcPr>
          <w:p>
            <w:pPr>
              <w:pStyle w:val="TableContents"/>
              <w:spacing w:before="0" w:after="0"/>
              <w:ind w:left="225" w:right="0" w:hanging="225"/>
              <w:rPr/>
            </w:pPr>
            <w:r>
              <w:rPr/>
              <w:t> </w:t>
            </w:r>
          </w:p>
        </w:tc>
        <w:tc>
          <w:tcPr>
            <w:tcW w:w="128"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816" w:type="dxa"/>
            <w:tcBorders/>
            <w:shd w:fill="auto" w:val="clear"/>
            <w:vAlign w:val="center"/>
          </w:tcPr>
          <w:p>
            <w:pPr>
              <w:pStyle w:val="TableContents"/>
              <w:spacing w:before="0" w:after="0"/>
              <w:ind w:left="0" w:right="0" w:hanging="0"/>
              <w:jc w:val="right"/>
              <w:rPr>
                <w:bdr w:val="double" w:sz="6" w:space="1" w:color="000000"/>
              </w:rPr>
            </w:pPr>
            <w:r>
              <w:rPr>
                <w:bdr w:val="double" w:sz="6" w:space="1" w:color="000000"/>
              </w:rPr>
              <w:t> </w:t>
            </w:r>
          </w:p>
        </w:tc>
        <w:tc>
          <w:tcPr>
            <w:tcW w:w="208"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738" w:type="dxa"/>
            <w:gridSpan w:val="2"/>
            <w:tcBorders/>
            <w:shd w:fill="auto" w:val="clear"/>
            <w:vAlign w:val="center"/>
          </w:tcPr>
          <w:p>
            <w:pPr>
              <w:pStyle w:val="TableContents"/>
              <w:spacing w:before="0" w:after="0"/>
              <w:ind w:left="500" w:right="0" w:hanging="0"/>
              <w:jc w:val="right"/>
              <w:rPr>
                <w:bdr w:val="double" w:sz="6" w:space="1" w:color="000000"/>
              </w:rPr>
            </w:pPr>
            <w:r>
              <w:rPr>
                <w:bdr w:val="double" w:sz="6" w:space="1" w:color="000000"/>
              </w:rPr>
              <w:t> </w:t>
            </w:r>
          </w:p>
        </w:tc>
        <w:tc>
          <w:tcPr>
            <w:tcW w:w="266"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0"/>
              <w:ind w:left="0" w:right="0" w:hanging="0"/>
              <w:jc w:val="right"/>
              <w:rPr>
                <w:bdr w:val="double" w:sz="6" w:space="1" w:color="000000"/>
              </w:rPr>
            </w:pPr>
            <w:r>
              <w:rPr>
                <w:bdr w:val="double" w:sz="6" w:space="1" w:color="000000"/>
              </w:rPr>
              <w:t> </w:t>
            </w:r>
          </w:p>
        </w:tc>
        <w:tc>
          <w:tcPr>
            <w:tcW w:w="333" w:type="dxa"/>
            <w:tcBorders/>
            <w:shd w:fill="auto" w:val="clear"/>
            <w:vAlign w:val="center"/>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12" w:name="109"/>
      <w:bookmarkEnd w:id="12"/>
      <w:r>
        <w:rPr>
          <w:rFonts w:ascii="Helvetica;Arial;sans-serif" w:hAnsi="Helvetica;Arial;sans-serif"/>
          <w:b/>
          <w:smallCaps/>
          <w:sz w:val="17"/>
        </w:rPr>
        <w:t>Item 6. Selected Financial Data</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selected financial information should be read in conjunction with, and is qualified in its entirety by the accompanying consolidated financial statements and related notes: </w:t>
      </w:r>
    </w:p>
    <w:p>
      <w:pPr>
        <w:pStyle w:val="TextBody"/>
        <w:spacing w:before="360" w:after="283"/>
        <w:jc w:val="center"/>
        <w:rPr>
          <w:rFonts w:ascii="Helvetica;Arial;sans-serif" w:hAnsi="Helvetica;Arial;sans-serif"/>
          <w:sz w:val="17"/>
        </w:rPr>
      </w:pPr>
      <w:r>
        <w:rPr>
          <w:rFonts w:ascii="Helvetica;Arial;sans-serif" w:hAnsi="Helvetica;Arial;sans-serif"/>
          <w:b/>
          <w:sz w:val="17"/>
        </w:rPr>
        <w:t>Selected Financial Data</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3017"/>
        <w:gridCol w:w="314"/>
        <w:gridCol w:w="154"/>
        <w:gridCol w:w="844"/>
        <w:gridCol w:w="122"/>
        <w:gridCol w:w="316"/>
        <w:gridCol w:w="154"/>
        <w:gridCol w:w="844"/>
        <w:gridCol w:w="122"/>
        <w:gridCol w:w="316"/>
        <w:gridCol w:w="154"/>
        <w:gridCol w:w="844"/>
        <w:gridCol w:w="122"/>
        <w:gridCol w:w="316"/>
        <w:gridCol w:w="153"/>
        <w:gridCol w:w="844"/>
        <w:gridCol w:w="122"/>
        <w:gridCol w:w="316"/>
        <w:gridCol w:w="154"/>
        <w:gridCol w:w="846"/>
        <w:gridCol w:w="131"/>
      </w:tblGrid>
      <w:tr>
        <w:trPr/>
        <w:tc>
          <w:tcPr>
            <w:tcW w:w="301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6743" w:type="dxa"/>
            <w:gridSpan w:val="18"/>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31" w:type="dxa"/>
            <w:tcBorders/>
            <w:shd w:fill="auto"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99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99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0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1" w:type="dxa"/>
            <w:tcBorders/>
            <w:shd w:fill="auto"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6743" w:type="dxa"/>
            <w:gridSpan w:val="18"/>
            <w:tcBorders/>
            <w:shd w:fill="auto" w:val="clear"/>
            <w:vAlign w:val="bottom"/>
          </w:tcPr>
          <w:p>
            <w:pPr>
              <w:pStyle w:val="TableContents"/>
              <w:spacing w:before="0" w:after="283"/>
              <w:jc w:val="center"/>
              <w:rPr>
                <w:i/>
              </w:rPr>
            </w:pPr>
            <w:r>
              <w:rPr>
                <w:i/>
              </w:rPr>
              <w:t>(Amounts in thousands, except per share and store figures)</w:t>
            </w:r>
          </w:p>
        </w:tc>
        <w:tc>
          <w:tcPr>
            <w:tcW w:w="131" w:type="dxa"/>
            <w:tcBorders/>
            <w:shd w:fill="auto" w:val="clear"/>
            <w:vAlign w:val="bottom"/>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225" w:right="0" w:hanging="225"/>
              <w:rPr>
                <w:b/>
              </w:rPr>
            </w:pPr>
            <w:r>
              <w:rPr>
                <w:b/>
              </w:rPr>
              <w:t>Operating Data:</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Sales</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134,591</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143,472</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148,410</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177,424</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46" w:type="dxa"/>
            <w:tcBorders/>
            <w:shd w:fill="auto" w:val="clear"/>
            <w:vAlign w:val="bottom"/>
          </w:tcPr>
          <w:p>
            <w:pPr>
              <w:pStyle w:val="TableContents"/>
              <w:spacing w:before="0" w:after="283"/>
              <w:jc w:val="right"/>
              <w:rPr/>
            </w:pPr>
            <w:r>
              <w:rPr/>
              <w:t>192,987</w:t>
            </w:r>
          </w:p>
        </w:tc>
        <w:tc>
          <w:tcPr>
            <w:tcW w:w="131" w:type="dxa"/>
            <w:tcBorders/>
            <w:shd w:fill="auto" w:val="clear"/>
            <w:vAlign w:val="bottom"/>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225" w:right="0" w:hanging="225"/>
              <w:rPr/>
            </w:pPr>
            <w:r>
              <w:rPr/>
              <w:t>Pawn service charges</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58,175</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59,090</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62,274</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65,325</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73,551</w:t>
            </w:r>
          </w:p>
        </w:tc>
        <w:tc>
          <w:tcPr>
            <w:tcW w:w="131" w:type="dxa"/>
            <w:tcBorders/>
            <w:shd w:fill="CCEEFF"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Signature loan fees</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12,538</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23,874</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42,200</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71,840</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104,347</w:t>
            </w:r>
          </w:p>
        </w:tc>
        <w:tc>
          <w:tcPr>
            <w:tcW w:w="131" w:type="dxa"/>
            <w:tcBorders/>
            <w:shd w:fill="auto" w:val="clear"/>
            <w:vAlign w:val="bottom"/>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225" w:right="0" w:hanging="225"/>
              <w:rPr/>
            </w:pPr>
            <w:r>
              <w:rPr/>
              <w:t>Other</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1,045</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1,361</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1,275</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1,263</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1,330</w:t>
            </w:r>
          </w:p>
        </w:tc>
        <w:tc>
          <w:tcPr>
            <w:tcW w:w="131" w:type="dxa"/>
            <w:tcBorders/>
            <w:shd w:fill="CCEEFF" w:val="clear"/>
            <w:vAlign w:val="bottom"/>
          </w:tcPr>
          <w:p>
            <w:pPr>
              <w:pStyle w:val="TableContents"/>
              <w:spacing w:before="0" w:after="283"/>
              <w:rPr/>
            </w:pPr>
            <w:r>
              <w:rPr/>
              <w:t> </w:t>
            </w:r>
          </w:p>
        </w:tc>
      </w:tr>
      <w:tr>
        <w:trPr/>
        <w:tc>
          <w:tcPr>
            <w:tcW w:w="3017" w:type="dxa"/>
            <w:tcBorders/>
            <w:shd w:fill="auto" w:val="clear"/>
            <w:vAlign w:val="center"/>
          </w:tcPr>
          <w:p>
            <w:pPr>
              <w:pStyle w:val="TableContents"/>
              <w:spacing w:before="0" w:after="0"/>
              <w:ind w:left="225" w:right="0" w:hanging="225"/>
              <w:rPr/>
            </w:pPr>
            <w:r>
              <w:rPr/>
              <w:t> </w:t>
            </w:r>
          </w:p>
        </w:tc>
        <w:tc>
          <w:tcPr>
            <w:tcW w:w="314"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Total revenues</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206,349</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227,797</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254,159</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315,852</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372,215</w:t>
            </w:r>
          </w:p>
        </w:tc>
        <w:tc>
          <w:tcPr>
            <w:tcW w:w="131" w:type="dxa"/>
            <w:tcBorders/>
            <w:shd w:fill="auto" w:val="clear"/>
            <w:vAlign w:val="bottom"/>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225" w:right="0" w:hanging="225"/>
              <w:rPr/>
            </w:pPr>
            <w:r>
              <w:rPr/>
              <w:t>Cost of goods sold</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86,100</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88,202</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90,678</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106,873</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118,007</w:t>
            </w:r>
          </w:p>
        </w:tc>
        <w:tc>
          <w:tcPr>
            <w:tcW w:w="131" w:type="dxa"/>
            <w:tcBorders/>
            <w:shd w:fill="CCEEFF" w:val="clear"/>
            <w:vAlign w:val="bottom"/>
          </w:tcPr>
          <w:p>
            <w:pPr>
              <w:pStyle w:val="TableContents"/>
              <w:spacing w:before="0" w:after="283"/>
              <w:rPr/>
            </w:pPr>
            <w:r>
              <w:rPr/>
              <w:t> </w:t>
            </w:r>
          </w:p>
        </w:tc>
      </w:tr>
      <w:tr>
        <w:trPr/>
        <w:tc>
          <w:tcPr>
            <w:tcW w:w="3017" w:type="dxa"/>
            <w:tcBorders/>
            <w:shd w:fill="auto" w:val="clear"/>
            <w:vAlign w:val="center"/>
          </w:tcPr>
          <w:p>
            <w:pPr>
              <w:pStyle w:val="TableContents"/>
              <w:spacing w:before="0" w:after="0"/>
              <w:ind w:left="225" w:right="0" w:hanging="225"/>
              <w:rPr/>
            </w:pPr>
            <w:r>
              <w:rPr/>
              <w:t> </w:t>
            </w:r>
          </w:p>
        </w:tc>
        <w:tc>
          <w:tcPr>
            <w:tcW w:w="314"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Net revenues</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120,249</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139,595</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163,481</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208,979</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254,208</w:t>
            </w:r>
          </w:p>
        </w:tc>
        <w:tc>
          <w:tcPr>
            <w:tcW w:w="131" w:type="dxa"/>
            <w:tcBorders/>
            <w:shd w:fill="auto" w:val="clear"/>
            <w:vAlign w:val="bottom"/>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225" w:right="0" w:hanging="225"/>
              <w:rPr/>
            </w:pPr>
            <w:r>
              <w:rPr/>
              <w:t>Store operating expenses</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81,822</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87,898</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97,079</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111,738</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128,602</w:t>
            </w:r>
          </w:p>
        </w:tc>
        <w:tc>
          <w:tcPr>
            <w:tcW w:w="131" w:type="dxa"/>
            <w:tcBorders/>
            <w:shd w:fill="CCEEFF"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Signature loan bad debt</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3,551</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8,067</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13,000</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17,897</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28,508</w:t>
            </w:r>
          </w:p>
        </w:tc>
        <w:tc>
          <w:tcPr>
            <w:tcW w:w="131" w:type="dxa"/>
            <w:tcBorders/>
            <w:shd w:fill="auto" w:val="clear"/>
            <w:vAlign w:val="bottom"/>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225" w:right="0" w:hanging="225"/>
              <w:rPr/>
            </w:pPr>
            <w:r>
              <w:rPr/>
              <w:t>Corporate administrative expenses</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17,008</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21,845</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23,067</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27,749</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31,749</w:t>
            </w:r>
          </w:p>
        </w:tc>
        <w:tc>
          <w:tcPr>
            <w:tcW w:w="131" w:type="dxa"/>
            <w:tcBorders/>
            <w:shd w:fill="CCEEFF"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Depreciation and amortization</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8,775</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7,512</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8,104</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8,610</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9,812</w:t>
            </w:r>
          </w:p>
        </w:tc>
        <w:tc>
          <w:tcPr>
            <w:tcW w:w="131" w:type="dxa"/>
            <w:tcBorders/>
            <w:shd w:fill="auto" w:val="clear"/>
            <w:vAlign w:val="bottom"/>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225" w:right="0" w:hanging="225"/>
              <w:rPr/>
            </w:pPr>
            <w:r>
              <w:rPr/>
              <w:t>Interest expense (income), net</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2,006</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1,528</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1,275</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44" w:type="dxa"/>
            <w:tcBorders/>
            <w:shd w:fill="CCEEFF" w:val="clear"/>
            <w:vAlign w:val="bottom"/>
          </w:tcPr>
          <w:p>
            <w:pPr>
              <w:pStyle w:val="TableContents"/>
              <w:spacing w:before="0" w:after="283"/>
              <w:jc w:val="right"/>
              <w:rPr/>
            </w:pPr>
            <w:r>
              <w:rPr/>
              <w:t>(79</w:t>
            </w:r>
          </w:p>
        </w:tc>
        <w:tc>
          <w:tcPr>
            <w:tcW w:w="122" w:type="dxa"/>
            <w:tcBorders/>
            <w:shd w:fill="CCEEFF" w:val="clear"/>
            <w:vAlign w:val="bottom"/>
          </w:tcPr>
          <w:p>
            <w:pPr>
              <w:pStyle w:val="TableContents"/>
              <w:spacing w:before="0" w:after="283"/>
              <w:rPr/>
            </w:pPr>
            <w:r>
              <w:rPr/>
              <w:t>)</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46" w:type="dxa"/>
            <w:tcBorders/>
            <w:shd w:fill="CCEEFF" w:val="clear"/>
            <w:vAlign w:val="bottom"/>
          </w:tcPr>
          <w:p>
            <w:pPr>
              <w:pStyle w:val="TableContents"/>
              <w:spacing w:before="0" w:after="283"/>
              <w:jc w:val="right"/>
              <w:rPr/>
            </w:pPr>
            <w:r>
              <w:rPr/>
              <w:t>(1,373</w:t>
            </w:r>
          </w:p>
        </w:tc>
        <w:tc>
          <w:tcPr>
            <w:tcW w:w="131" w:type="dxa"/>
            <w:tcBorders/>
            <w:shd w:fill="CCEEFF" w:val="clear"/>
            <w:vAlign w:val="bottom"/>
          </w:tcPr>
          <w:p>
            <w:pPr>
              <w:pStyle w:val="TableContents"/>
              <w:spacing w:before="0" w:after="283"/>
              <w:rPr/>
            </w:pPr>
            <w:r>
              <w:rPr/>
              <w:t>)</w:t>
            </w:r>
          </w:p>
        </w:tc>
      </w:tr>
      <w:tr>
        <w:trPr/>
        <w:tc>
          <w:tcPr>
            <w:tcW w:w="3017" w:type="dxa"/>
            <w:tcBorders/>
            <w:shd w:fill="auto" w:val="clear"/>
            <w:vAlign w:val="bottom"/>
          </w:tcPr>
          <w:p>
            <w:pPr>
              <w:pStyle w:val="TableContents"/>
              <w:spacing w:before="0" w:after="0"/>
              <w:ind w:left="225" w:right="0" w:hanging="225"/>
              <w:rPr/>
            </w:pPr>
            <w:r>
              <w:rPr/>
              <w:t>Equity in net income of unconsolidated affiliate</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(1,412</w:t>
            </w:r>
          </w:p>
        </w:tc>
        <w:tc>
          <w:tcPr>
            <w:tcW w:w="122" w:type="dxa"/>
            <w:tcBorders/>
            <w:shd w:fill="auto" w:val="clear"/>
            <w:vAlign w:val="bottom"/>
          </w:tcPr>
          <w:p>
            <w:pPr>
              <w:pStyle w:val="TableContents"/>
              <w:spacing w:before="0" w:after="283"/>
              <w:rPr/>
            </w:pPr>
            <w:r>
              <w:rPr/>
              <w:t>)</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(1,739</w:t>
            </w:r>
          </w:p>
        </w:tc>
        <w:tc>
          <w:tcPr>
            <w:tcW w:w="122" w:type="dxa"/>
            <w:tcBorders/>
            <w:shd w:fill="auto" w:val="clear"/>
            <w:vAlign w:val="bottom"/>
          </w:tcPr>
          <w:p>
            <w:pPr>
              <w:pStyle w:val="TableContents"/>
              <w:spacing w:before="0" w:after="283"/>
              <w:rPr/>
            </w:pPr>
            <w:r>
              <w:rPr/>
              <w:t>)</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(2,173</w:t>
            </w:r>
          </w:p>
        </w:tc>
        <w:tc>
          <w:tcPr>
            <w:tcW w:w="122" w:type="dxa"/>
            <w:tcBorders/>
            <w:shd w:fill="auto" w:val="clear"/>
            <w:vAlign w:val="bottom"/>
          </w:tcPr>
          <w:p>
            <w:pPr>
              <w:pStyle w:val="TableContents"/>
              <w:spacing w:before="0" w:after="283"/>
              <w:rPr/>
            </w:pPr>
            <w:r>
              <w:rPr/>
              <w:t>)</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(2,433</w:t>
            </w:r>
          </w:p>
        </w:tc>
        <w:tc>
          <w:tcPr>
            <w:tcW w:w="122" w:type="dxa"/>
            <w:tcBorders/>
            <w:shd w:fill="auto" w:val="clear"/>
            <w:vAlign w:val="bottom"/>
          </w:tcPr>
          <w:p>
            <w:pPr>
              <w:pStyle w:val="TableContents"/>
              <w:spacing w:before="0" w:after="283"/>
              <w:rPr/>
            </w:pPr>
            <w:r>
              <w:rPr/>
              <w:t>)</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pPr>
            <w:r>
              <w:rPr/>
              <w:t>(2,945</w:t>
            </w:r>
          </w:p>
        </w:tc>
        <w:tc>
          <w:tcPr>
            <w:tcW w:w="131" w:type="dxa"/>
            <w:tcBorders/>
            <w:shd w:fill="auto" w:val="clear"/>
            <w:vAlign w:val="bottom"/>
          </w:tcPr>
          <w:p>
            <w:pPr>
              <w:pStyle w:val="TableContents"/>
              <w:spacing w:before="0" w:after="283"/>
              <w:rPr/>
            </w:pPr>
            <w:r>
              <w:rPr/>
              <w:t>)</w:t>
            </w:r>
          </w:p>
        </w:tc>
      </w:tr>
      <w:tr>
        <w:trPr/>
        <w:tc>
          <w:tcPr>
            <w:tcW w:w="3017" w:type="dxa"/>
            <w:tcBorders/>
            <w:shd w:fill="CCEEFF" w:val="clear"/>
            <w:vAlign w:val="bottom"/>
          </w:tcPr>
          <w:p>
            <w:pPr>
              <w:pStyle w:val="TableContents"/>
              <w:spacing w:before="0" w:after="0"/>
              <w:ind w:left="225" w:right="0" w:hanging="225"/>
              <w:rPr/>
            </w:pPr>
            <w:r>
              <w:rPr/>
              <w:t>(Gain) loss on sale of assets</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170</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3</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79</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44" w:type="dxa"/>
            <w:tcBorders/>
            <w:shd w:fill="CCEEFF" w:val="clear"/>
            <w:vAlign w:val="bottom"/>
          </w:tcPr>
          <w:p>
            <w:pPr>
              <w:pStyle w:val="TableContents"/>
              <w:spacing w:before="0" w:after="283"/>
              <w:jc w:val="right"/>
              <w:rPr/>
            </w:pPr>
            <w:r>
              <w:rPr/>
              <w:t>(7</w:t>
            </w:r>
          </w:p>
        </w:tc>
        <w:tc>
          <w:tcPr>
            <w:tcW w:w="122" w:type="dxa"/>
            <w:tcBorders/>
            <w:shd w:fill="CCEEFF" w:val="clear"/>
            <w:vAlign w:val="bottom"/>
          </w:tcPr>
          <w:p>
            <w:pPr>
              <w:pStyle w:val="TableContents"/>
              <w:spacing w:before="0" w:after="283"/>
              <w:rPr/>
            </w:pPr>
            <w:r>
              <w:rPr/>
              <w:t>)</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46" w:type="dxa"/>
            <w:tcBorders/>
            <w:shd w:fill="CCEEFF" w:val="clear"/>
            <w:vAlign w:val="bottom"/>
          </w:tcPr>
          <w:p>
            <w:pPr>
              <w:pStyle w:val="TableContents"/>
              <w:spacing w:before="0" w:after="283"/>
              <w:jc w:val="right"/>
              <w:rPr/>
            </w:pPr>
            <w:r>
              <w:rPr/>
              <w:t>(72</w:t>
            </w:r>
          </w:p>
        </w:tc>
        <w:tc>
          <w:tcPr>
            <w:tcW w:w="131" w:type="dxa"/>
            <w:tcBorders/>
            <w:shd w:fill="CCEEFF" w:val="clear"/>
            <w:vAlign w:val="bottom"/>
          </w:tcPr>
          <w:p>
            <w:pPr>
              <w:pStyle w:val="TableContents"/>
              <w:spacing w:before="0" w:after="283"/>
              <w:rPr/>
            </w:pPr>
            <w:r>
              <w:rPr/>
              <w:t>)</w:t>
            </w:r>
          </w:p>
        </w:tc>
      </w:tr>
      <w:tr>
        <w:trPr/>
        <w:tc>
          <w:tcPr>
            <w:tcW w:w="3017" w:type="dxa"/>
            <w:tcBorders/>
            <w:shd w:fill="auto" w:val="clear"/>
            <w:vAlign w:val="bottom"/>
          </w:tcPr>
          <w:p>
            <w:pPr>
              <w:pStyle w:val="TableContents"/>
              <w:spacing w:before="0" w:after="0"/>
              <w:ind w:left="225" w:right="0" w:hanging="225"/>
              <w:rPr/>
            </w:pPr>
            <w:r>
              <w:rPr/>
              <w:t>Impairment of investment</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1,100</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3017" w:type="dxa"/>
            <w:tcBorders/>
            <w:shd w:fill="auto" w:val="clear"/>
            <w:vAlign w:val="center"/>
          </w:tcPr>
          <w:p>
            <w:pPr>
              <w:pStyle w:val="TableContents"/>
              <w:spacing w:before="0" w:after="0"/>
              <w:ind w:left="225" w:right="0" w:hanging="225"/>
              <w:rPr/>
            </w:pPr>
            <w:r>
              <w:rPr/>
              <w:t> </w:t>
            </w:r>
          </w:p>
        </w:tc>
        <w:tc>
          <w:tcPr>
            <w:tcW w:w="314"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225" w:right="0" w:hanging="225"/>
              <w:rPr/>
            </w:pPr>
            <w:r>
              <w:rPr/>
              <w:t>Income before income taxes and cumulative effect of adopting a new accounting principle</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7,229</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14,481</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23,050</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45,504</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59,927</w:t>
            </w:r>
          </w:p>
        </w:tc>
        <w:tc>
          <w:tcPr>
            <w:tcW w:w="131" w:type="dxa"/>
            <w:tcBorders/>
            <w:shd w:fill="CCEEFF"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Income tax expense (benefit)</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(1,170</w:t>
            </w:r>
          </w:p>
        </w:tc>
        <w:tc>
          <w:tcPr>
            <w:tcW w:w="122" w:type="dxa"/>
            <w:tcBorders/>
            <w:shd w:fill="auto" w:val="clear"/>
            <w:vAlign w:val="bottom"/>
          </w:tcPr>
          <w:p>
            <w:pPr>
              <w:pStyle w:val="TableContents"/>
              <w:spacing w:before="0" w:after="283"/>
              <w:rPr/>
            </w:pPr>
            <w:r>
              <w:rPr/>
              <w:t>)</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5,358</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8,298</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16,245</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22,053</w:t>
            </w:r>
          </w:p>
        </w:tc>
        <w:tc>
          <w:tcPr>
            <w:tcW w:w="131" w:type="dxa"/>
            <w:tcBorders/>
            <w:shd w:fill="auto" w:val="clear"/>
            <w:vAlign w:val="bottom"/>
          </w:tcPr>
          <w:p>
            <w:pPr>
              <w:pStyle w:val="TableContents"/>
              <w:spacing w:before="0" w:after="283"/>
              <w:rPr/>
            </w:pPr>
            <w:r>
              <w:rPr/>
              <w:t> </w:t>
            </w:r>
          </w:p>
        </w:tc>
      </w:tr>
      <w:tr>
        <w:trPr/>
        <w:tc>
          <w:tcPr>
            <w:tcW w:w="3017" w:type="dxa"/>
            <w:tcBorders/>
            <w:shd w:fill="auto" w:val="clear"/>
            <w:vAlign w:val="center"/>
          </w:tcPr>
          <w:p>
            <w:pPr>
              <w:pStyle w:val="TableContents"/>
              <w:spacing w:before="0" w:after="0"/>
              <w:ind w:left="225" w:right="0" w:hanging="225"/>
              <w:rPr/>
            </w:pPr>
            <w:r>
              <w:rPr/>
              <w:t> </w:t>
            </w:r>
          </w:p>
        </w:tc>
        <w:tc>
          <w:tcPr>
            <w:tcW w:w="314"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225" w:right="0" w:hanging="225"/>
              <w:rPr/>
            </w:pPr>
            <w:r>
              <w:rPr/>
              <w:t>Income before cumulative effect of adopting a new accounting principle</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8,399</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9,123</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14,752</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29,259</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37,874</w:t>
            </w:r>
          </w:p>
        </w:tc>
        <w:tc>
          <w:tcPr>
            <w:tcW w:w="131" w:type="dxa"/>
            <w:tcBorders/>
            <w:shd w:fill="CCEEFF"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Cumulative effect of adopting a new accounting principle, net of tax</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(8,037</w:t>
            </w:r>
          </w:p>
        </w:tc>
        <w:tc>
          <w:tcPr>
            <w:tcW w:w="122" w:type="dxa"/>
            <w:tcBorders/>
            <w:shd w:fill="auto" w:val="clear"/>
            <w:vAlign w:val="bottom"/>
          </w:tcPr>
          <w:p>
            <w:pPr>
              <w:pStyle w:val="TableContents"/>
              <w:spacing w:before="0" w:after="283"/>
              <w:rPr/>
            </w:pPr>
            <w:r>
              <w:rPr/>
              <w:t>)</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3017" w:type="dxa"/>
            <w:tcBorders/>
            <w:shd w:fill="auto" w:val="clear"/>
            <w:vAlign w:val="center"/>
          </w:tcPr>
          <w:p>
            <w:pPr>
              <w:pStyle w:val="TableContents"/>
              <w:spacing w:before="0" w:after="0"/>
              <w:ind w:left="225" w:right="0" w:hanging="225"/>
              <w:rPr/>
            </w:pPr>
            <w:r>
              <w:rPr/>
              <w:t> </w:t>
            </w:r>
          </w:p>
        </w:tc>
        <w:tc>
          <w:tcPr>
            <w:tcW w:w="314"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225" w:right="0" w:hanging="225"/>
              <w:rPr/>
            </w:pPr>
            <w:r>
              <w:rPr/>
              <w:t>Net income</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362</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9,123</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14,752</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29,259</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46" w:type="dxa"/>
            <w:tcBorders/>
            <w:shd w:fill="CCEEFF" w:val="clear"/>
            <w:vAlign w:val="bottom"/>
          </w:tcPr>
          <w:p>
            <w:pPr>
              <w:pStyle w:val="TableContents"/>
              <w:spacing w:before="0" w:after="283"/>
              <w:jc w:val="right"/>
              <w:rPr/>
            </w:pPr>
            <w:r>
              <w:rPr/>
              <w:t>37,874</w:t>
            </w:r>
          </w:p>
        </w:tc>
        <w:tc>
          <w:tcPr>
            <w:tcW w:w="131" w:type="dxa"/>
            <w:tcBorders/>
            <w:shd w:fill="CCEEFF" w:val="clear"/>
            <w:vAlign w:val="bottom"/>
          </w:tcPr>
          <w:p>
            <w:pPr>
              <w:pStyle w:val="TableContents"/>
              <w:spacing w:before="0" w:after="283"/>
              <w:rPr/>
            </w:pPr>
            <w:r>
              <w:rPr/>
              <w:t> </w:t>
            </w:r>
          </w:p>
        </w:tc>
      </w:tr>
      <w:tr>
        <w:trPr/>
        <w:tc>
          <w:tcPr>
            <w:tcW w:w="3017" w:type="dxa"/>
            <w:tcBorders/>
            <w:shd w:fill="auto" w:val="clear"/>
            <w:vAlign w:val="center"/>
          </w:tcPr>
          <w:p>
            <w:pPr>
              <w:pStyle w:val="TableContents"/>
              <w:spacing w:before="0" w:after="0"/>
              <w:ind w:left="225" w:right="0" w:hanging="225"/>
              <w:rPr/>
            </w:pPr>
            <w:r>
              <w:rPr/>
              <w:t> </w:t>
            </w:r>
          </w:p>
        </w:tc>
        <w:tc>
          <w:tcPr>
            <w:tcW w:w="314" w:type="dxa"/>
            <w:tcBorders/>
            <w:shd w:fill="auto" w:val="clear"/>
            <w:vAlign w:val="center"/>
          </w:tcPr>
          <w:p>
            <w:pPr>
              <w:pStyle w:val="TableContents"/>
              <w:spacing w:before="0" w:after="283"/>
              <w:rPr/>
            </w:pPr>
            <w:r>
              <w:rPr/>
              <w:t> </w:t>
            </w:r>
          </w:p>
        </w:tc>
        <w:tc>
          <w:tcPr>
            <w:tcW w:w="9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10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 </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Earnings per common share, diluted</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0.01</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0.23</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0.36</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0.69</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46" w:type="dxa"/>
            <w:tcBorders/>
            <w:shd w:fill="auto" w:val="clear"/>
            <w:vAlign w:val="bottom"/>
          </w:tcPr>
          <w:p>
            <w:pPr>
              <w:pStyle w:val="TableContents"/>
              <w:spacing w:before="0" w:after="283"/>
              <w:jc w:val="right"/>
              <w:rPr/>
            </w:pPr>
            <w:r>
              <w:rPr/>
              <w:t>0.88</w:t>
            </w:r>
          </w:p>
        </w:tc>
        <w:tc>
          <w:tcPr>
            <w:tcW w:w="131" w:type="dxa"/>
            <w:tcBorders/>
            <w:shd w:fill="auto"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 </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450" w:right="0" w:hanging="225"/>
              <w:rPr/>
            </w:pPr>
            <w:r>
              <w:rPr/>
              <w:t>Cash dividends per common share</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46"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 </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0"/>
              <w:ind w:left="450" w:right="0" w:hanging="225"/>
              <w:rPr/>
            </w:pPr>
            <w:r>
              <w:rPr/>
              <w:t>Weighted average common shares and share equivalents, diluted</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37,656</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39,366</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40,722</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42,264</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43,230</w:t>
            </w:r>
          </w:p>
        </w:tc>
        <w:tc>
          <w:tcPr>
            <w:tcW w:w="131" w:type="dxa"/>
            <w:tcBorders/>
            <w:shd w:fill="auto"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0"/>
              <w:ind w:left="225" w:right="0" w:hanging="225"/>
              <w:rPr/>
            </w:pPr>
            <w:r>
              <w:rPr/>
              <w:t> </w:t>
            </w:r>
          </w:p>
        </w:tc>
        <w:tc>
          <w:tcPr>
            <w:tcW w:w="31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017" w:type="dxa"/>
            <w:tcBorders/>
            <w:shd w:fill="CCEEFF" w:val="clear"/>
            <w:vAlign w:val="bottom"/>
          </w:tcPr>
          <w:p>
            <w:pPr>
              <w:pStyle w:val="TableContents"/>
              <w:spacing w:before="0" w:after="0"/>
              <w:ind w:left="225" w:right="0" w:hanging="225"/>
              <w:rPr/>
            </w:pPr>
            <w:r>
              <w:rPr/>
              <w:t>Stores operated at end of period</w:t>
            </w:r>
          </w:p>
        </w:tc>
        <w:tc>
          <w:tcPr>
            <w:tcW w:w="3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284</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405</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514</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614</w:t>
            </w:r>
          </w:p>
        </w:tc>
        <w:tc>
          <w:tcPr>
            <w:tcW w:w="122"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731</w:t>
            </w:r>
          </w:p>
        </w:tc>
        <w:tc>
          <w:tcPr>
            <w:tcW w:w="131"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430"/>
        <w:gridCol w:w="287"/>
        <w:gridCol w:w="270"/>
        <w:gridCol w:w="800"/>
        <w:gridCol w:w="195"/>
        <w:gridCol w:w="287"/>
        <w:gridCol w:w="270"/>
        <w:gridCol w:w="800"/>
        <w:gridCol w:w="195"/>
        <w:gridCol w:w="287"/>
        <w:gridCol w:w="270"/>
        <w:gridCol w:w="800"/>
        <w:gridCol w:w="195"/>
        <w:gridCol w:w="287"/>
        <w:gridCol w:w="269"/>
        <w:gridCol w:w="800"/>
        <w:gridCol w:w="195"/>
        <w:gridCol w:w="287"/>
        <w:gridCol w:w="270"/>
        <w:gridCol w:w="800"/>
        <w:gridCol w:w="211"/>
      </w:tblGrid>
      <w:tr>
        <w:trPr/>
        <w:tc>
          <w:tcPr>
            <w:tcW w:w="243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r>
      <w:tr>
        <w:trPr/>
        <w:tc>
          <w:tcPr>
            <w:tcW w:w="243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488" w:type="dxa"/>
            <w:gridSpan w:val="19"/>
            <w:tcBorders>
              <w:bottom w:val="single" w:sz="2" w:space="0" w:color="000000"/>
            </w:tcBorders>
            <w:shd w:fill="auto" w:val="clear"/>
            <w:tcMar>
              <w:bottom w:w="28" w:type="dxa"/>
            </w:tcMar>
            <w:vAlign w:val="bottom"/>
          </w:tcPr>
          <w:p>
            <w:pPr>
              <w:pStyle w:val="TableContents"/>
              <w:spacing w:before="0" w:after="283"/>
              <w:jc w:val="center"/>
              <w:rPr/>
            </w:pPr>
            <w:r>
              <w:rPr/>
              <w:t>September 30,</w:t>
            </w:r>
          </w:p>
        </w:tc>
      </w:tr>
      <w:tr>
        <w:trPr/>
        <w:tc>
          <w:tcPr>
            <w:tcW w:w="243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26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2003</w:t>
            </w:r>
          </w:p>
        </w:tc>
        <w:tc>
          <w:tcPr>
            <w:tcW w:w="287" w:type="dxa"/>
            <w:tcBorders/>
            <w:shd w:fill="auto" w:val="clear"/>
            <w:vAlign w:val="bottom"/>
          </w:tcPr>
          <w:p>
            <w:pPr>
              <w:pStyle w:val="TableContents"/>
              <w:spacing w:before="0" w:after="283"/>
              <w:rPr/>
            </w:pPr>
            <w:r>
              <w:rPr/>
              <w:t> </w:t>
            </w:r>
          </w:p>
        </w:tc>
        <w:tc>
          <w:tcPr>
            <w:tcW w:w="126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287" w:type="dxa"/>
            <w:tcBorders/>
            <w:shd w:fill="auto" w:val="clear"/>
            <w:vAlign w:val="bottom"/>
          </w:tcPr>
          <w:p>
            <w:pPr>
              <w:pStyle w:val="TableContents"/>
              <w:spacing w:before="0" w:after="283"/>
              <w:rPr/>
            </w:pPr>
            <w:r>
              <w:rPr/>
              <w:t> </w:t>
            </w:r>
          </w:p>
        </w:tc>
        <w:tc>
          <w:tcPr>
            <w:tcW w:w="126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87" w:type="dxa"/>
            <w:tcBorders/>
            <w:shd w:fill="auto" w:val="clear"/>
            <w:vAlign w:val="bottom"/>
          </w:tcPr>
          <w:p>
            <w:pPr>
              <w:pStyle w:val="TableContents"/>
              <w:spacing w:before="0" w:after="283"/>
              <w:rPr/>
            </w:pPr>
            <w:r>
              <w:rPr/>
              <w:t> </w:t>
            </w:r>
          </w:p>
        </w:tc>
        <w:tc>
          <w:tcPr>
            <w:tcW w:w="1264" w:type="dxa"/>
            <w:gridSpan w:val="3"/>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87" w:type="dxa"/>
            <w:tcBorders/>
            <w:shd w:fill="auto" w:val="clear"/>
            <w:vAlign w:val="bottom"/>
          </w:tcPr>
          <w:p>
            <w:pPr>
              <w:pStyle w:val="TableContents"/>
              <w:spacing w:before="0" w:after="283"/>
              <w:rPr/>
            </w:pPr>
            <w:r>
              <w:rPr/>
              <w:t> </w:t>
            </w:r>
          </w:p>
        </w:tc>
        <w:tc>
          <w:tcPr>
            <w:tcW w:w="1281" w:type="dxa"/>
            <w:gridSpan w:val="3"/>
            <w:tcBorders>
              <w:bottom w:val="single" w:sz="2" w:space="0" w:color="000000"/>
            </w:tcBorders>
            <w:shd w:fill="auto" w:val="clear"/>
            <w:tcMar>
              <w:bottom w:w="28" w:type="dxa"/>
            </w:tcMar>
            <w:vAlign w:val="bottom"/>
          </w:tcPr>
          <w:p>
            <w:pPr>
              <w:pStyle w:val="TableContents"/>
              <w:spacing w:before="0" w:after="283"/>
              <w:jc w:val="center"/>
              <w:rPr/>
            </w:pPr>
            <w:r>
              <w:rPr/>
              <w:t>2007</w:t>
            </w:r>
          </w:p>
        </w:tc>
      </w:tr>
      <w:tr>
        <w:trPr/>
        <w:tc>
          <w:tcPr>
            <w:tcW w:w="243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488" w:type="dxa"/>
            <w:gridSpan w:val="19"/>
            <w:tcBorders/>
            <w:shd w:fill="auto" w:val="clear"/>
            <w:vAlign w:val="bottom"/>
          </w:tcPr>
          <w:p>
            <w:pPr>
              <w:pStyle w:val="TableContents"/>
              <w:spacing w:before="0" w:after="283"/>
              <w:jc w:val="center"/>
              <w:rPr>
                <w:i/>
              </w:rPr>
            </w:pPr>
            <w:r>
              <w:rPr>
                <w:i/>
              </w:rPr>
              <w:t>(in thousands)</w:t>
            </w:r>
          </w:p>
        </w:tc>
      </w:tr>
      <w:tr>
        <w:trPr/>
        <w:tc>
          <w:tcPr>
            <w:tcW w:w="2430" w:type="dxa"/>
            <w:tcBorders/>
            <w:shd w:fill="CCEEFF" w:val="clear"/>
            <w:vAlign w:val="bottom"/>
          </w:tcPr>
          <w:p>
            <w:pPr>
              <w:pStyle w:val="TableContents"/>
              <w:spacing w:before="0" w:after="0"/>
              <w:ind w:left="225" w:right="0" w:hanging="225"/>
              <w:rPr>
                <w:b/>
              </w:rPr>
            </w:pPr>
            <w:r>
              <w:rPr>
                <w:b/>
              </w:rPr>
              <w:t>Balance Sheet Data:</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r>
      <w:tr>
        <w:trPr/>
        <w:tc>
          <w:tcPr>
            <w:tcW w:w="2430" w:type="dxa"/>
            <w:tcBorders/>
            <w:shd w:fill="auto" w:val="clear"/>
            <w:vAlign w:val="bottom"/>
          </w:tcPr>
          <w:p>
            <w:pPr>
              <w:pStyle w:val="TableContents"/>
              <w:spacing w:before="0" w:after="0"/>
              <w:ind w:left="225" w:right="0" w:hanging="225"/>
              <w:rPr/>
            </w:pPr>
            <w:r>
              <w:rPr/>
              <w:t>Pawn loans</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w:t>
            </w:r>
          </w:p>
        </w:tc>
        <w:tc>
          <w:tcPr>
            <w:tcW w:w="800" w:type="dxa"/>
            <w:tcBorders/>
            <w:shd w:fill="auto" w:val="clear"/>
            <w:vAlign w:val="bottom"/>
          </w:tcPr>
          <w:p>
            <w:pPr>
              <w:pStyle w:val="TableContents"/>
              <w:spacing w:before="0" w:after="283"/>
              <w:jc w:val="right"/>
              <w:rPr/>
            </w:pPr>
            <w:r>
              <w:rPr/>
              <w:t>47,955</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w:t>
            </w:r>
          </w:p>
        </w:tc>
        <w:tc>
          <w:tcPr>
            <w:tcW w:w="800" w:type="dxa"/>
            <w:tcBorders/>
            <w:shd w:fill="auto" w:val="clear"/>
            <w:vAlign w:val="bottom"/>
          </w:tcPr>
          <w:p>
            <w:pPr>
              <w:pStyle w:val="TableContents"/>
              <w:spacing w:before="0" w:after="283"/>
              <w:jc w:val="right"/>
              <w:rPr/>
            </w:pPr>
            <w:r>
              <w:rPr/>
              <w:t>49,078</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w:t>
            </w:r>
          </w:p>
        </w:tc>
        <w:tc>
          <w:tcPr>
            <w:tcW w:w="800" w:type="dxa"/>
            <w:tcBorders/>
            <w:shd w:fill="auto" w:val="clear"/>
            <w:vAlign w:val="bottom"/>
          </w:tcPr>
          <w:p>
            <w:pPr>
              <w:pStyle w:val="TableContents"/>
              <w:spacing w:before="0" w:after="283"/>
              <w:jc w:val="right"/>
              <w:rPr/>
            </w:pPr>
            <w:r>
              <w:rPr/>
              <w:t>52,864</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jc w:val="right"/>
              <w:rPr/>
            </w:pPr>
            <w:r>
              <w:rPr/>
              <w:t>$</w:t>
            </w:r>
          </w:p>
        </w:tc>
        <w:tc>
          <w:tcPr>
            <w:tcW w:w="800" w:type="dxa"/>
            <w:tcBorders/>
            <w:shd w:fill="auto" w:val="clear"/>
            <w:vAlign w:val="bottom"/>
          </w:tcPr>
          <w:p>
            <w:pPr>
              <w:pStyle w:val="TableContents"/>
              <w:spacing w:before="0" w:after="283"/>
              <w:jc w:val="right"/>
              <w:rPr/>
            </w:pPr>
            <w:r>
              <w:rPr/>
              <w:t>50,304</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w:t>
            </w:r>
          </w:p>
        </w:tc>
        <w:tc>
          <w:tcPr>
            <w:tcW w:w="800" w:type="dxa"/>
            <w:tcBorders/>
            <w:shd w:fill="auto" w:val="clear"/>
            <w:vAlign w:val="bottom"/>
          </w:tcPr>
          <w:p>
            <w:pPr>
              <w:pStyle w:val="TableContents"/>
              <w:spacing w:before="0" w:after="283"/>
              <w:jc w:val="right"/>
              <w:rPr/>
            </w:pPr>
            <w:r>
              <w:rPr/>
              <w:t>60,742</w:t>
            </w:r>
          </w:p>
        </w:tc>
        <w:tc>
          <w:tcPr>
            <w:tcW w:w="211" w:type="dxa"/>
            <w:tcBorders/>
            <w:shd w:fill="auto" w:val="clear"/>
            <w:vAlign w:val="bottom"/>
          </w:tcPr>
          <w:p>
            <w:pPr>
              <w:pStyle w:val="TableContents"/>
              <w:spacing w:before="0" w:after="283"/>
              <w:rPr/>
            </w:pPr>
            <w:r>
              <w:rPr/>
              <w:t> </w:t>
            </w:r>
          </w:p>
        </w:tc>
      </w:tr>
      <w:tr>
        <w:trPr/>
        <w:tc>
          <w:tcPr>
            <w:tcW w:w="2430" w:type="dxa"/>
            <w:tcBorders/>
            <w:shd w:fill="CCEEFF" w:val="clear"/>
            <w:vAlign w:val="bottom"/>
          </w:tcPr>
          <w:p>
            <w:pPr>
              <w:pStyle w:val="TableContents"/>
              <w:spacing w:before="0" w:after="0"/>
              <w:ind w:left="225" w:right="0" w:hanging="225"/>
              <w:rPr/>
            </w:pPr>
            <w:r>
              <w:rPr/>
              <w:t>Payday loans</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3,630</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7,292</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1,634</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2,443</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4,814</w:t>
            </w:r>
          </w:p>
        </w:tc>
        <w:tc>
          <w:tcPr>
            <w:tcW w:w="211" w:type="dxa"/>
            <w:tcBorders/>
            <w:shd w:fill="CCEEFF" w:val="clear"/>
            <w:vAlign w:val="bottom"/>
          </w:tcPr>
          <w:p>
            <w:pPr>
              <w:pStyle w:val="TableContents"/>
              <w:spacing w:before="0" w:after="283"/>
              <w:rPr/>
            </w:pPr>
            <w:r>
              <w:rPr/>
              <w:t> </w:t>
            </w:r>
          </w:p>
        </w:tc>
      </w:tr>
      <w:tr>
        <w:trPr/>
        <w:tc>
          <w:tcPr>
            <w:tcW w:w="2430" w:type="dxa"/>
            <w:tcBorders/>
            <w:shd w:fill="auto" w:val="clear"/>
            <w:vAlign w:val="bottom"/>
          </w:tcPr>
          <w:p>
            <w:pPr>
              <w:pStyle w:val="TableContents"/>
              <w:spacing w:before="0" w:after="0"/>
              <w:ind w:left="225" w:right="0" w:hanging="225"/>
              <w:rPr/>
            </w:pPr>
            <w:r>
              <w:rPr/>
              <w:t>Inventory</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29,755</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30,636</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30,293</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35,616</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37,942</w:t>
            </w:r>
          </w:p>
        </w:tc>
        <w:tc>
          <w:tcPr>
            <w:tcW w:w="211" w:type="dxa"/>
            <w:tcBorders/>
            <w:shd w:fill="auto" w:val="clear"/>
            <w:vAlign w:val="bottom"/>
          </w:tcPr>
          <w:p>
            <w:pPr>
              <w:pStyle w:val="TableContents"/>
              <w:spacing w:before="0" w:after="283"/>
              <w:rPr/>
            </w:pPr>
            <w:r>
              <w:rPr/>
              <w:t> </w:t>
            </w:r>
          </w:p>
        </w:tc>
      </w:tr>
      <w:tr>
        <w:trPr/>
        <w:tc>
          <w:tcPr>
            <w:tcW w:w="2430" w:type="dxa"/>
            <w:tcBorders/>
            <w:shd w:fill="CCEEFF" w:val="clear"/>
            <w:vAlign w:val="bottom"/>
          </w:tcPr>
          <w:p>
            <w:pPr>
              <w:pStyle w:val="TableContents"/>
              <w:spacing w:before="0" w:after="0"/>
              <w:ind w:left="225" w:right="0" w:hanging="225"/>
              <w:rPr/>
            </w:pPr>
            <w:r>
              <w:rPr/>
              <w:t>Working capital</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90,885</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93,062</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92,954</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117,539</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124,871</w:t>
            </w:r>
          </w:p>
        </w:tc>
        <w:tc>
          <w:tcPr>
            <w:tcW w:w="211" w:type="dxa"/>
            <w:tcBorders/>
            <w:shd w:fill="CCEEFF" w:val="clear"/>
            <w:vAlign w:val="bottom"/>
          </w:tcPr>
          <w:p>
            <w:pPr>
              <w:pStyle w:val="TableContents"/>
              <w:spacing w:before="0" w:after="283"/>
              <w:rPr/>
            </w:pPr>
            <w:r>
              <w:rPr/>
              <w:t> </w:t>
            </w:r>
          </w:p>
        </w:tc>
      </w:tr>
      <w:tr>
        <w:trPr/>
        <w:tc>
          <w:tcPr>
            <w:tcW w:w="2430" w:type="dxa"/>
            <w:tcBorders/>
            <w:shd w:fill="auto" w:val="clear"/>
            <w:vAlign w:val="bottom"/>
          </w:tcPr>
          <w:p>
            <w:pPr>
              <w:pStyle w:val="TableContents"/>
              <w:spacing w:before="0" w:after="0"/>
              <w:ind w:left="225" w:right="0" w:hanging="225"/>
              <w:rPr/>
            </w:pPr>
            <w:r>
              <w:rPr/>
              <w:t>Total assets</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153,690</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164,322</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165,448</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197,858</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251,186</w:t>
            </w:r>
          </w:p>
        </w:tc>
        <w:tc>
          <w:tcPr>
            <w:tcW w:w="211" w:type="dxa"/>
            <w:tcBorders/>
            <w:shd w:fill="auto" w:val="clear"/>
            <w:vAlign w:val="bottom"/>
          </w:tcPr>
          <w:p>
            <w:pPr>
              <w:pStyle w:val="TableContents"/>
              <w:spacing w:before="0" w:after="283"/>
              <w:rPr/>
            </w:pPr>
            <w:r>
              <w:rPr/>
              <w:t> </w:t>
            </w:r>
          </w:p>
        </w:tc>
      </w:tr>
      <w:tr>
        <w:trPr/>
        <w:tc>
          <w:tcPr>
            <w:tcW w:w="2430" w:type="dxa"/>
            <w:tcBorders/>
            <w:shd w:fill="CCEEFF" w:val="clear"/>
            <w:vAlign w:val="bottom"/>
          </w:tcPr>
          <w:p>
            <w:pPr>
              <w:pStyle w:val="TableContents"/>
              <w:spacing w:before="0" w:after="0"/>
              <w:ind w:left="225" w:right="0" w:hanging="225"/>
              <w:rPr/>
            </w:pPr>
            <w:r>
              <w:rPr/>
              <w:t>Long-term debt</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31,000</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25,000</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7,000</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19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211" w:type="dxa"/>
            <w:tcBorders/>
            <w:shd w:fill="CCEEFF" w:val="clear"/>
            <w:vAlign w:val="bottom"/>
          </w:tcPr>
          <w:p>
            <w:pPr>
              <w:pStyle w:val="TableContents"/>
              <w:spacing w:before="0" w:after="283"/>
              <w:rPr/>
            </w:pPr>
            <w:r>
              <w:rPr/>
              <w:t> </w:t>
            </w:r>
          </w:p>
        </w:tc>
      </w:tr>
      <w:tr>
        <w:trPr/>
        <w:tc>
          <w:tcPr>
            <w:tcW w:w="2430" w:type="dxa"/>
            <w:tcBorders/>
            <w:shd w:fill="auto" w:val="clear"/>
            <w:vAlign w:val="bottom"/>
          </w:tcPr>
          <w:p>
            <w:pPr>
              <w:pStyle w:val="TableContents"/>
              <w:spacing w:before="0" w:after="0"/>
              <w:ind w:left="225" w:right="0" w:hanging="225"/>
              <w:rPr/>
            </w:pPr>
            <w:r>
              <w:rPr/>
              <w:t>Stockholders equity</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105,478</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116,729</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133,543</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170,140</w:t>
            </w:r>
          </w:p>
        </w:tc>
        <w:tc>
          <w:tcPr>
            <w:tcW w:w="1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215,925</w:t>
            </w:r>
          </w:p>
        </w:tc>
        <w:tc>
          <w:tcPr>
            <w:tcW w:w="211" w:type="dxa"/>
            <w:tcBorders/>
            <w:shd w:fill="auto" w:val="clear"/>
            <w:vAlign w:val="bottom"/>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13" w:name="110"/>
      <w:bookmarkEnd w:id="13"/>
      <w:r>
        <w:rPr>
          <w:rFonts w:ascii="Helvetica;Arial;sans-serif" w:hAnsi="Helvetica;Arial;sans-serif"/>
          <w:b/>
          <w:smallCaps/>
          <w:sz w:val="17"/>
        </w:rPr>
        <w:t>Item 7. Managements Discussion and Analysis of Financial Condition and Results of Operations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discussion in this section contains forward-looking statements that involve risks and uncertainties. Our actual results could differ materially from those forward-looking statements. Factors that could cause or contribute to these differences include, but are not limited to, those discussed in this section and throughout this report.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summary consolidated financial data for our fiscal years ended September 30, 2007 (current year or fiscal 2007), September 30, 2006 (prior year or fiscal 2006) and September 30, 2005 (fiscal 2005). </w:t>
      </w:r>
    </w:p>
    <w:p>
      <w:pPr>
        <w:pStyle w:val="TextBody"/>
        <w:spacing w:before="360" w:after="283"/>
        <w:jc w:val="center"/>
        <w:rPr>
          <w:rFonts w:ascii="Helvetica;Arial;sans-serif" w:hAnsi="Helvetica;Arial;sans-serif"/>
          <w:sz w:val="17"/>
        </w:rPr>
      </w:pPr>
      <w:r>
        <w:rPr>
          <w:rFonts w:ascii="Helvetica;Arial;sans-serif" w:hAnsi="Helvetica;Arial;sans-serif"/>
          <w:b/>
          <w:sz w:val="17"/>
        </w:rPr>
        <w:t>Summary Financial Data</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5457"/>
        <w:gridCol w:w="429"/>
        <w:gridCol w:w="162"/>
        <w:gridCol w:w="874"/>
        <w:gridCol w:w="114"/>
        <w:gridCol w:w="431"/>
        <w:gridCol w:w="162"/>
        <w:gridCol w:w="874"/>
        <w:gridCol w:w="114"/>
        <w:gridCol w:w="431"/>
        <w:gridCol w:w="162"/>
        <w:gridCol w:w="876"/>
        <w:gridCol w:w="119"/>
      </w:tblGrid>
      <w:tr>
        <w:trPr/>
        <w:tc>
          <w:tcPr>
            <w:tcW w:w="545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45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4200"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119" w:type="dxa"/>
            <w:tcBorders/>
            <w:shd w:fill="auto" w:val="clear"/>
            <w:vAlign w:val="bottom"/>
          </w:tcPr>
          <w:p>
            <w:pPr>
              <w:pStyle w:val="TableContents"/>
              <w:spacing w:before="0" w:after="283"/>
              <w:rPr/>
            </w:pPr>
            <w:r>
              <w:rPr/>
              <w:t> </w:t>
            </w:r>
          </w:p>
        </w:tc>
      </w:tr>
      <w:tr>
        <w:trPr/>
        <w:tc>
          <w:tcPr>
            <w:tcW w:w="545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03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3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3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19" w:type="dxa"/>
            <w:tcBorders/>
            <w:shd w:fill="auto" w:val="clear"/>
            <w:vAlign w:val="bottom"/>
          </w:tcPr>
          <w:p>
            <w:pPr>
              <w:pStyle w:val="TableContents"/>
              <w:spacing w:before="0" w:after="283"/>
              <w:rPr/>
            </w:pPr>
            <w:r>
              <w:rPr/>
              <w:t> </w:t>
            </w:r>
          </w:p>
        </w:tc>
      </w:tr>
      <w:tr>
        <w:trPr/>
        <w:tc>
          <w:tcPr>
            <w:tcW w:w="5457" w:type="dxa"/>
            <w:tcBorders/>
            <w:shd w:fill="auto" w:val="clear"/>
            <w:vAlign w:val="bottom"/>
          </w:tcPr>
          <w:p>
            <w:pPr>
              <w:pStyle w:val="TableContents"/>
              <w:spacing w:before="0" w:after="0"/>
              <w:ind w:left="225" w:right="0" w:hanging="225"/>
              <w:rPr/>
            </w:pPr>
            <w:r>
              <w:rPr/>
              <w:t> </w:t>
            </w:r>
          </w:p>
        </w:tc>
        <w:tc>
          <w:tcPr>
            <w:tcW w:w="429" w:type="dxa"/>
            <w:tcBorders/>
            <w:shd w:fill="auto" w:val="clear"/>
            <w:vAlign w:val="bottom"/>
          </w:tcPr>
          <w:p>
            <w:pPr>
              <w:pStyle w:val="TableContents"/>
              <w:spacing w:before="0" w:after="283"/>
              <w:rPr/>
            </w:pPr>
            <w:r>
              <w:rPr/>
              <w:t> </w:t>
            </w:r>
          </w:p>
        </w:tc>
        <w:tc>
          <w:tcPr>
            <w:tcW w:w="4200" w:type="dxa"/>
            <w:gridSpan w:val="10"/>
            <w:tcBorders/>
            <w:shd w:fill="auto" w:val="clear"/>
            <w:vAlign w:val="bottom"/>
          </w:tcPr>
          <w:p>
            <w:pPr>
              <w:pStyle w:val="TableContents"/>
              <w:spacing w:before="0" w:after="283"/>
              <w:jc w:val="center"/>
              <w:rPr>
                <w:i/>
              </w:rPr>
            </w:pPr>
            <w:r>
              <w:rPr>
                <w:i/>
              </w:rPr>
              <w:t>(in thousands)</w:t>
            </w:r>
          </w:p>
        </w:tc>
        <w:tc>
          <w:tcPr>
            <w:tcW w:w="119" w:type="dxa"/>
            <w:tcBorders/>
            <w:shd w:fill="auto" w:val="clear"/>
            <w:vAlign w:val="bottom"/>
          </w:tcPr>
          <w:p>
            <w:pPr>
              <w:pStyle w:val="TableContents"/>
              <w:spacing w:before="0" w:after="283"/>
              <w:rPr/>
            </w:pPr>
            <w:r>
              <w:rPr/>
              <w:t> </w:t>
            </w:r>
          </w:p>
        </w:tc>
      </w:tr>
      <w:tr>
        <w:trPr/>
        <w:tc>
          <w:tcPr>
            <w:tcW w:w="5457" w:type="dxa"/>
            <w:tcBorders/>
            <w:shd w:fill="CCEEFF" w:val="clear"/>
            <w:vAlign w:val="bottom"/>
          </w:tcPr>
          <w:p>
            <w:pPr>
              <w:pStyle w:val="TableContents"/>
              <w:spacing w:before="0" w:after="0"/>
              <w:ind w:left="225" w:right="0" w:hanging="225"/>
              <w:rPr>
                <w:b/>
              </w:rPr>
            </w:pPr>
            <w:r>
              <w:rPr>
                <w:b/>
              </w:rPr>
              <w:t>Net revenues:</w:t>
            </w:r>
          </w:p>
        </w:tc>
        <w:tc>
          <w:tcPr>
            <w:tcW w:w="429" w:type="dxa"/>
            <w:tcBorders/>
            <w:shd w:fill="CCEEFF" w:val="clear"/>
            <w:vAlign w:val="bottom"/>
          </w:tcPr>
          <w:p>
            <w:pPr>
              <w:pStyle w:val="TableContents"/>
              <w:spacing w:before="0" w:after="283"/>
              <w:rPr/>
            </w:pPr>
            <w:r>
              <w:rPr/>
              <w:t> </w:t>
            </w:r>
          </w:p>
        </w:tc>
        <w:tc>
          <w:tcPr>
            <w:tcW w:w="4200" w:type="dxa"/>
            <w:gridSpan w:val="10"/>
            <w:tcBorders/>
            <w:shd w:fill="CCEEFF" w:val="clear"/>
            <w:vAlign w:val="bottom"/>
          </w:tcPr>
          <w:p>
            <w:pPr>
              <w:pStyle w:val="TableContents"/>
              <w:spacing w:before="0" w:after="283"/>
              <w:jc w:val="center"/>
              <w:rPr/>
            </w:pPr>
            <w:r>
              <w:rPr/>
              <w:t> </w:t>
            </w:r>
          </w:p>
        </w:tc>
        <w:tc>
          <w:tcPr>
            <w:tcW w:w="119" w:type="dxa"/>
            <w:tcBorders/>
            <w:shd w:fill="CCEEFF" w:val="clear"/>
            <w:vAlign w:val="bottom"/>
          </w:tcPr>
          <w:p>
            <w:pPr>
              <w:pStyle w:val="TableContents"/>
              <w:spacing w:before="0" w:after="283"/>
              <w:rPr/>
            </w:pPr>
            <w:r>
              <w:rPr/>
              <w:t> </w:t>
            </w:r>
          </w:p>
        </w:tc>
      </w:tr>
      <w:tr>
        <w:trPr/>
        <w:tc>
          <w:tcPr>
            <w:tcW w:w="5457" w:type="dxa"/>
            <w:tcBorders/>
            <w:shd w:fill="auto" w:val="clear"/>
            <w:vAlign w:val="bottom"/>
          </w:tcPr>
          <w:p>
            <w:pPr>
              <w:pStyle w:val="TableContents"/>
              <w:spacing w:before="0" w:after="0"/>
              <w:ind w:left="450" w:right="0" w:hanging="225"/>
              <w:rPr/>
            </w:pPr>
            <w:r>
              <w:rPr/>
              <w:t>Sales</w:t>
            </w:r>
          </w:p>
        </w:tc>
        <w:tc>
          <w:tcPr>
            <w:tcW w:w="42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148,410</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177,424</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192,987</w:t>
            </w:r>
          </w:p>
        </w:tc>
        <w:tc>
          <w:tcPr>
            <w:tcW w:w="119" w:type="dxa"/>
            <w:tcBorders/>
            <w:shd w:fill="auto" w:val="clear"/>
            <w:vAlign w:val="bottom"/>
          </w:tcPr>
          <w:p>
            <w:pPr>
              <w:pStyle w:val="TableContents"/>
              <w:spacing w:before="0" w:after="283"/>
              <w:rPr/>
            </w:pPr>
            <w:r>
              <w:rPr/>
              <w:t> </w:t>
            </w:r>
          </w:p>
        </w:tc>
      </w:tr>
      <w:tr>
        <w:trPr/>
        <w:tc>
          <w:tcPr>
            <w:tcW w:w="5457" w:type="dxa"/>
            <w:tcBorders/>
            <w:shd w:fill="CCEEFF" w:val="clear"/>
            <w:vAlign w:val="bottom"/>
          </w:tcPr>
          <w:p>
            <w:pPr>
              <w:pStyle w:val="TableContents"/>
              <w:spacing w:before="0" w:after="0"/>
              <w:ind w:left="450" w:right="0" w:hanging="225"/>
              <w:rPr/>
            </w:pPr>
            <w:r>
              <w:rPr/>
              <w:t>Pawn service charges</w:t>
            </w:r>
          </w:p>
        </w:tc>
        <w:tc>
          <w:tcPr>
            <w:tcW w:w="42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62,274</w:t>
            </w:r>
          </w:p>
        </w:tc>
        <w:tc>
          <w:tcPr>
            <w:tcW w:w="114"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65,325</w:t>
            </w:r>
          </w:p>
        </w:tc>
        <w:tc>
          <w:tcPr>
            <w:tcW w:w="114"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73,551</w:t>
            </w:r>
          </w:p>
        </w:tc>
        <w:tc>
          <w:tcPr>
            <w:tcW w:w="119" w:type="dxa"/>
            <w:tcBorders/>
            <w:shd w:fill="CCEEFF" w:val="clear"/>
            <w:vAlign w:val="bottom"/>
          </w:tcPr>
          <w:p>
            <w:pPr>
              <w:pStyle w:val="TableContents"/>
              <w:spacing w:before="0" w:after="283"/>
              <w:rPr/>
            </w:pPr>
            <w:r>
              <w:rPr/>
              <w:t> </w:t>
            </w:r>
          </w:p>
        </w:tc>
      </w:tr>
      <w:tr>
        <w:trPr/>
        <w:tc>
          <w:tcPr>
            <w:tcW w:w="5457" w:type="dxa"/>
            <w:tcBorders/>
            <w:shd w:fill="auto" w:val="clear"/>
            <w:vAlign w:val="bottom"/>
          </w:tcPr>
          <w:p>
            <w:pPr>
              <w:pStyle w:val="TableContents"/>
              <w:spacing w:before="0" w:after="0"/>
              <w:ind w:left="450" w:right="0" w:hanging="225"/>
              <w:rPr/>
            </w:pPr>
            <w:r>
              <w:rPr/>
              <w:t>Signature loan fees</w:t>
            </w:r>
          </w:p>
        </w:tc>
        <w:tc>
          <w:tcPr>
            <w:tcW w:w="42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42,200</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71,840</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104,347</w:t>
            </w:r>
          </w:p>
        </w:tc>
        <w:tc>
          <w:tcPr>
            <w:tcW w:w="119" w:type="dxa"/>
            <w:tcBorders/>
            <w:shd w:fill="auto" w:val="clear"/>
            <w:vAlign w:val="bottom"/>
          </w:tcPr>
          <w:p>
            <w:pPr>
              <w:pStyle w:val="TableContents"/>
              <w:spacing w:before="0" w:after="283"/>
              <w:rPr/>
            </w:pPr>
            <w:r>
              <w:rPr/>
              <w:t> </w:t>
            </w:r>
          </w:p>
        </w:tc>
      </w:tr>
      <w:tr>
        <w:trPr/>
        <w:tc>
          <w:tcPr>
            <w:tcW w:w="5457" w:type="dxa"/>
            <w:tcBorders/>
            <w:shd w:fill="CCEEFF" w:val="clear"/>
            <w:vAlign w:val="bottom"/>
          </w:tcPr>
          <w:p>
            <w:pPr>
              <w:pStyle w:val="TableContents"/>
              <w:spacing w:before="0" w:after="0"/>
              <w:ind w:left="450" w:right="0" w:hanging="225"/>
              <w:rPr/>
            </w:pPr>
            <w:r>
              <w:rPr/>
              <w:t>Other</w:t>
            </w:r>
          </w:p>
        </w:tc>
        <w:tc>
          <w:tcPr>
            <w:tcW w:w="42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1,275</w:t>
            </w:r>
          </w:p>
        </w:tc>
        <w:tc>
          <w:tcPr>
            <w:tcW w:w="114"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1,263</w:t>
            </w:r>
          </w:p>
        </w:tc>
        <w:tc>
          <w:tcPr>
            <w:tcW w:w="114"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1,330</w:t>
            </w:r>
          </w:p>
        </w:tc>
        <w:tc>
          <w:tcPr>
            <w:tcW w:w="119" w:type="dxa"/>
            <w:tcBorders/>
            <w:shd w:fill="CCEEFF" w:val="clear"/>
            <w:vAlign w:val="bottom"/>
          </w:tcPr>
          <w:p>
            <w:pPr>
              <w:pStyle w:val="TableContents"/>
              <w:spacing w:before="0" w:after="283"/>
              <w:rPr/>
            </w:pPr>
            <w:r>
              <w:rPr/>
              <w:t> </w:t>
            </w:r>
          </w:p>
        </w:tc>
      </w:tr>
      <w:tr>
        <w:trPr/>
        <w:tc>
          <w:tcPr>
            <w:tcW w:w="5457" w:type="dxa"/>
            <w:tcBorders/>
            <w:shd w:fill="auto" w:val="clear"/>
            <w:vAlign w:val="center"/>
          </w:tcPr>
          <w:p>
            <w:pPr>
              <w:pStyle w:val="TableContents"/>
              <w:spacing w:before="0" w:after="0"/>
              <w:ind w:left="225" w:right="0" w:hanging="225"/>
              <w:rPr/>
            </w:pPr>
            <w:r>
              <w:rPr/>
              <w:t> </w:t>
            </w:r>
          </w:p>
        </w:tc>
        <w:tc>
          <w:tcPr>
            <w:tcW w:w="429"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5457" w:type="dxa"/>
            <w:tcBorders/>
            <w:shd w:fill="auto" w:val="clear"/>
            <w:vAlign w:val="bottom"/>
          </w:tcPr>
          <w:p>
            <w:pPr>
              <w:pStyle w:val="TableContents"/>
              <w:spacing w:before="0" w:after="0"/>
              <w:ind w:left="675" w:right="0" w:hanging="225"/>
              <w:rPr/>
            </w:pPr>
            <w:r>
              <w:rPr/>
              <w:t>Total revenues</w:t>
            </w:r>
          </w:p>
        </w:tc>
        <w:tc>
          <w:tcPr>
            <w:tcW w:w="42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254,159</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315,852</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372,215</w:t>
            </w:r>
          </w:p>
        </w:tc>
        <w:tc>
          <w:tcPr>
            <w:tcW w:w="119" w:type="dxa"/>
            <w:tcBorders/>
            <w:shd w:fill="auto" w:val="clear"/>
            <w:vAlign w:val="bottom"/>
          </w:tcPr>
          <w:p>
            <w:pPr>
              <w:pStyle w:val="TableContents"/>
              <w:spacing w:before="0" w:after="283"/>
              <w:rPr/>
            </w:pPr>
            <w:r>
              <w:rPr/>
              <w:t> </w:t>
            </w:r>
          </w:p>
        </w:tc>
      </w:tr>
      <w:tr>
        <w:trPr/>
        <w:tc>
          <w:tcPr>
            <w:tcW w:w="5457" w:type="dxa"/>
            <w:tcBorders/>
            <w:shd w:fill="CCEEFF" w:val="clear"/>
            <w:vAlign w:val="bottom"/>
          </w:tcPr>
          <w:p>
            <w:pPr>
              <w:pStyle w:val="TableContents"/>
              <w:spacing w:before="0" w:after="0"/>
              <w:ind w:left="450" w:right="0" w:hanging="225"/>
              <w:rPr/>
            </w:pPr>
            <w:r>
              <w:rPr/>
              <w:t>Cost of goods sold</w:t>
            </w:r>
          </w:p>
        </w:tc>
        <w:tc>
          <w:tcPr>
            <w:tcW w:w="42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90,678</w:t>
            </w:r>
          </w:p>
        </w:tc>
        <w:tc>
          <w:tcPr>
            <w:tcW w:w="114"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106,873</w:t>
            </w:r>
          </w:p>
        </w:tc>
        <w:tc>
          <w:tcPr>
            <w:tcW w:w="114"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118,007</w:t>
            </w:r>
          </w:p>
        </w:tc>
        <w:tc>
          <w:tcPr>
            <w:tcW w:w="119" w:type="dxa"/>
            <w:tcBorders/>
            <w:shd w:fill="CCEEFF" w:val="clear"/>
            <w:vAlign w:val="bottom"/>
          </w:tcPr>
          <w:p>
            <w:pPr>
              <w:pStyle w:val="TableContents"/>
              <w:spacing w:before="0" w:after="283"/>
              <w:rPr/>
            </w:pPr>
            <w:r>
              <w:rPr/>
              <w:t> </w:t>
            </w:r>
          </w:p>
        </w:tc>
      </w:tr>
      <w:tr>
        <w:trPr/>
        <w:tc>
          <w:tcPr>
            <w:tcW w:w="5457" w:type="dxa"/>
            <w:tcBorders/>
            <w:shd w:fill="auto" w:val="clear"/>
            <w:vAlign w:val="center"/>
          </w:tcPr>
          <w:p>
            <w:pPr>
              <w:pStyle w:val="TableContents"/>
              <w:spacing w:before="0" w:after="0"/>
              <w:ind w:left="225" w:right="0" w:hanging="225"/>
              <w:rPr/>
            </w:pPr>
            <w:r>
              <w:rPr/>
              <w:t> </w:t>
            </w:r>
          </w:p>
        </w:tc>
        <w:tc>
          <w:tcPr>
            <w:tcW w:w="429"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5457" w:type="dxa"/>
            <w:tcBorders/>
            <w:shd w:fill="auto" w:val="clear"/>
            <w:vAlign w:val="bottom"/>
          </w:tcPr>
          <w:p>
            <w:pPr>
              <w:pStyle w:val="TableContents"/>
              <w:spacing w:before="0" w:after="0"/>
              <w:ind w:left="675" w:right="0" w:hanging="225"/>
              <w:rPr/>
            </w:pPr>
            <w:r>
              <w:rPr/>
              <w:t>Net revenues</w:t>
            </w:r>
          </w:p>
        </w:tc>
        <w:tc>
          <w:tcPr>
            <w:tcW w:w="42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163,481</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208,979</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254,208</w:t>
            </w:r>
          </w:p>
        </w:tc>
        <w:tc>
          <w:tcPr>
            <w:tcW w:w="119" w:type="dxa"/>
            <w:tcBorders/>
            <w:shd w:fill="auto" w:val="clear"/>
            <w:vAlign w:val="bottom"/>
          </w:tcPr>
          <w:p>
            <w:pPr>
              <w:pStyle w:val="TableContents"/>
              <w:spacing w:before="0" w:after="283"/>
              <w:rPr/>
            </w:pPr>
            <w:r>
              <w:rPr/>
              <w:t> </w:t>
            </w:r>
          </w:p>
        </w:tc>
      </w:tr>
      <w:tr>
        <w:trPr/>
        <w:tc>
          <w:tcPr>
            <w:tcW w:w="5457" w:type="dxa"/>
            <w:tcBorders/>
            <w:shd w:fill="auto" w:val="clear"/>
            <w:vAlign w:val="center"/>
          </w:tcPr>
          <w:p>
            <w:pPr>
              <w:pStyle w:val="TableContents"/>
              <w:spacing w:before="0" w:after="0"/>
              <w:ind w:left="225" w:right="0" w:hanging="225"/>
              <w:rPr/>
            </w:pPr>
            <w:r>
              <w:rPr/>
              <w:t> </w:t>
            </w:r>
          </w:p>
        </w:tc>
        <w:tc>
          <w:tcPr>
            <w:tcW w:w="429" w:type="dxa"/>
            <w:tcBorders/>
            <w:shd w:fill="auto" w:val="clear"/>
            <w:vAlign w:val="center"/>
          </w:tcPr>
          <w:p>
            <w:pPr>
              <w:pStyle w:val="TableContents"/>
              <w:spacing w:before="0" w:after="283"/>
              <w:rPr/>
            </w:pPr>
            <w:r>
              <w:rPr/>
              <w:t> </w:t>
            </w:r>
          </w:p>
        </w:tc>
        <w:tc>
          <w:tcPr>
            <w:tcW w:w="10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5457" w:type="dxa"/>
            <w:tcBorders/>
            <w:shd w:fill="auto" w:val="clear"/>
            <w:vAlign w:val="bottom"/>
          </w:tcPr>
          <w:p>
            <w:pPr>
              <w:pStyle w:val="TableContents"/>
              <w:spacing w:before="0" w:after="0"/>
              <w:ind w:left="225" w:right="0" w:hanging="225"/>
              <w:rPr/>
            </w:pPr>
            <w:r>
              <w:rPr/>
              <w:t> </w:t>
            </w:r>
          </w:p>
        </w:tc>
        <w:tc>
          <w:tcPr>
            <w:tcW w:w="42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457" w:type="dxa"/>
            <w:tcBorders/>
            <w:shd w:fill="CCEEFF" w:val="clear"/>
            <w:vAlign w:val="bottom"/>
          </w:tcPr>
          <w:p>
            <w:pPr>
              <w:pStyle w:val="TableContents"/>
              <w:spacing w:before="0" w:after="0"/>
              <w:ind w:left="225" w:right="0" w:hanging="225"/>
              <w:rPr>
                <w:b/>
              </w:rPr>
            </w:pPr>
            <w:r>
              <w:rPr>
                <w:b/>
              </w:rPr>
              <w:t>Net Income</w:t>
            </w:r>
          </w:p>
        </w:tc>
        <w:tc>
          <w:tcPr>
            <w:tcW w:w="42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14,752</w:t>
            </w:r>
          </w:p>
        </w:tc>
        <w:tc>
          <w:tcPr>
            <w:tcW w:w="114"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29,259</w:t>
            </w:r>
          </w:p>
        </w:tc>
        <w:tc>
          <w:tcPr>
            <w:tcW w:w="114"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76" w:type="dxa"/>
            <w:tcBorders/>
            <w:shd w:fill="CCEEFF" w:val="clear"/>
            <w:vAlign w:val="bottom"/>
          </w:tcPr>
          <w:p>
            <w:pPr>
              <w:pStyle w:val="TableContents"/>
              <w:spacing w:before="0" w:after="283"/>
              <w:jc w:val="right"/>
              <w:rPr/>
            </w:pPr>
            <w:r>
              <w:rPr/>
              <w:t>37,874</w:t>
            </w:r>
          </w:p>
        </w:tc>
        <w:tc>
          <w:tcPr>
            <w:tcW w:w="119" w:type="dxa"/>
            <w:tcBorders/>
            <w:shd w:fill="CCEEFF" w:val="clear"/>
            <w:vAlign w:val="bottom"/>
          </w:tcPr>
          <w:p>
            <w:pPr>
              <w:pStyle w:val="TableContents"/>
              <w:spacing w:before="0" w:after="283"/>
              <w:rPr/>
            </w:pPr>
            <w:r>
              <w:rPr/>
              <w:t> </w:t>
            </w:r>
          </w:p>
        </w:tc>
      </w:tr>
      <w:tr>
        <w:trPr/>
        <w:tc>
          <w:tcPr>
            <w:tcW w:w="5457" w:type="dxa"/>
            <w:tcBorders/>
            <w:shd w:fill="auto" w:val="clear"/>
            <w:vAlign w:val="center"/>
          </w:tcPr>
          <w:p>
            <w:pPr>
              <w:pStyle w:val="TableContents"/>
              <w:spacing w:before="0" w:after="0"/>
              <w:ind w:left="225" w:right="0" w:hanging="225"/>
              <w:rPr/>
            </w:pPr>
            <w:r>
              <w:rPr/>
              <w:t> </w:t>
            </w:r>
          </w:p>
        </w:tc>
        <w:tc>
          <w:tcPr>
            <w:tcW w:w="429" w:type="dxa"/>
            <w:tcBorders/>
            <w:shd w:fill="auto" w:val="clear"/>
            <w:vAlign w:val="center"/>
          </w:tcPr>
          <w:p>
            <w:pPr>
              <w:pStyle w:val="TableContents"/>
              <w:spacing w:before="0" w:after="283"/>
              <w:rPr/>
            </w:pPr>
            <w:r>
              <w:rPr/>
              <w:t> </w:t>
            </w:r>
          </w:p>
        </w:tc>
        <w:tc>
          <w:tcPr>
            <w:tcW w:w="10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0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Consolidated signature loan data (combined payday loan and credit service activities) are as follows: </w:t>
      </w:r>
    </w:p>
    <w:tbl>
      <w:tblPr>
        <w:tblW w:w="5000" w:type="pct"/>
        <w:jc w:val="center"/>
        <w:tblInd w:w="0" w:type="dxa"/>
        <w:tblCellMar>
          <w:top w:w="0" w:type="dxa"/>
          <w:left w:w="0" w:type="dxa"/>
          <w:bottom w:w="0" w:type="dxa"/>
          <w:right w:w="0" w:type="dxa"/>
        </w:tblCellMar>
      </w:tblPr>
      <w:tblGrid>
        <w:gridCol w:w="5202"/>
        <w:gridCol w:w="395"/>
        <w:gridCol w:w="171"/>
        <w:gridCol w:w="845"/>
        <w:gridCol w:w="225"/>
        <w:gridCol w:w="397"/>
        <w:gridCol w:w="171"/>
        <w:gridCol w:w="845"/>
        <w:gridCol w:w="225"/>
        <w:gridCol w:w="397"/>
        <w:gridCol w:w="171"/>
        <w:gridCol w:w="935"/>
        <w:gridCol w:w="226"/>
      </w:tblGrid>
      <w:tr>
        <w:trPr/>
        <w:tc>
          <w:tcPr>
            <w:tcW w:w="5202"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r>
      <w:tr>
        <w:trPr/>
        <w:tc>
          <w:tcPr>
            <w:tcW w:w="5202"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4382" w:type="dxa"/>
            <w:gridSpan w:val="10"/>
            <w:tcBorders>
              <w:bottom w:val="single" w:sz="2" w:space="0" w:color="000000"/>
            </w:tcBorders>
            <w:shd w:fill="auto" w:val="clear"/>
            <w:tcMar>
              <w:bottom w:w="28" w:type="dxa"/>
            </w:tcMar>
            <w:vAlign w:val="bottom"/>
          </w:tcPr>
          <w:p>
            <w:pPr>
              <w:pStyle w:val="TableContents"/>
              <w:spacing w:before="0" w:after="283"/>
              <w:jc w:val="center"/>
              <w:rPr/>
            </w:pPr>
            <w:r>
              <w:rPr/>
              <w:t>Fiscal Years Ended September 30,</w:t>
            </w:r>
          </w:p>
        </w:tc>
        <w:tc>
          <w:tcPr>
            <w:tcW w:w="226" w:type="dxa"/>
            <w:tcBorders/>
            <w:shd w:fill="auto" w:val="clear"/>
            <w:vAlign w:val="bottom"/>
          </w:tcPr>
          <w:p>
            <w:pPr>
              <w:pStyle w:val="TableContents"/>
              <w:spacing w:before="0" w:after="283"/>
              <w:rPr/>
            </w:pPr>
            <w:r>
              <w:rPr/>
              <w:t> </w:t>
            </w:r>
          </w:p>
        </w:tc>
      </w:tr>
      <w:tr>
        <w:trPr/>
        <w:tc>
          <w:tcPr>
            <w:tcW w:w="5202"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01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01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10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226" w:type="dxa"/>
            <w:tcBorders/>
            <w:shd w:fill="auto" w:val="clear"/>
            <w:vAlign w:val="bottom"/>
          </w:tcPr>
          <w:p>
            <w:pPr>
              <w:pStyle w:val="TableContents"/>
              <w:spacing w:before="0" w:after="283"/>
              <w:rPr/>
            </w:pPr>
            <w:r>
              <w:rPr/>
              <w:t> </w:t>
            </w:r>
          </w:p>
        </w:tc>
      </w:tr>
      <w:tr>
        <w:trPr/>
        <w:tc>
          <w:tcPr>
            <w:tcW w:w="5202"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4382" w:type="dxa"/>
            <w:gridSpan w:val="10"/>
            <w:tcBorders/>
            <w:shd w:fill="auto" w:val="clear"/>
            <w:vAlign w:val="bottom"/>
          </w:tcPr>
          <w:p>
            <w:pPr>
              <w:pStyle w:val="TableContents"/>
              <w:spacing w:before="0" w:after="283"/>
              <w:jc w:val="center"/>
              <w:rPr>
                <w:i/>
              </w:rPr>
            </w:pPr>
            <w:r>
              <w:rPr>
                <w:i/>
              </w:rPr>
              <w:t>(Dollars in thousands)</w:t>
            </w:r>
          </w:p>
        </w:tc>
        <w:tc>
          <w:tcPr>
            <w:tcW w:w="226" w:type="dxa"/>
            <w:tcBorders/>
            <w:shd w:fill="auto" w:val="clear"/>
            <w:vAlign w:val="bottom"/>
          </w:tcPr>
          <w:p>
            <w:pPr>
              <w:pStyle w:val="TableContents"/>
              <w:spacing w:before="0" w:after="283"/>
              <w:rPr/>
            </w:pPr>
            <w:r>
              <w:rPr/>
              <w:t> </w:t>
            </w:r>
          </w:p>
        </w:tc>
      </w:tr>
      <w:tr>
        <w:trPr/>
        <w:tc>
          <w:tcPr>
            <w:tcW w:w="5202" w:type="dxa"/>
            <w:tcBorders/>
            <w:shd w:fill="CCEEFF" w:val="clear"/>
            <w:vAlign w:val="bottom"/>
          </w:tcPr>
          <w:p>
            <w:pPr>
              <w:pStyle w:val="TableContents"/>
              <w:spacing w:before="0" w:after="0"/>
              <w:ind w:left="225" w:right="0" w:hanging="225"/>
              <w:rPr/>
            </w:pPr>
            <w:r>
              <w:rPr/>
              <w:t>Fee revenue</w:t>
            </w:r>
          </w:p>
        </w:tc>
        <w:tc>
          <w:tcPr>
            <w:tcW w:w="3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845" w:type="dxa"/>
            <w:tcBorders/>
            <w:shd w:fill="CCEEFF" w:val="clear"/>
            <w:vAlign w:val="bottom"/>
          </w:tcPr>
          <w:p>
            <w:pPr>
              <w:pStyle w:val="TableContents"/>
              <w:spacing w:before="0" w:after="283"/>
              <w:jc w:val="right"/>
              <w:rPr/>
            </w:pPr>
            <w:r>
              <w:rPr/>
              <w:t>42,200</w:t>
            </w:r>
          </w:p>
        </w:tc>
        <w:tc>
          <w:tcPr>
            <w:tcW w:w="2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845" w:type="dxa"/>
            <w:tcBorders/>
            <w:shd w:fill="CCEEFF" w:val="clear"/>
            <w:vAlign w:val="bottom"/>
          </w:tcPr>
          <w:p>
            <w:pPr>
              <w:pStyle w:val="TableContents"/>
              <w:spacing w:before="0" w:after="283"/>
              <w:jc w:val="right"/>
              <w:rPr/>
            </w:pPr>
            <w:r>
              <w:rPr/>
              <w:t>71,840</w:t>
            </w:r>
          </w:p>
        </w:tc>
        <w:tc>
          <w:tcPr>
            <w:tcW w:w="2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935" w:type="dxa"/>
            <w:tcBorders/>
            <w:shd w:fill="CCEEFF" w:val="clear"/>
            <w:vAlign w:val="bottom"/>
          </w:tcPr>
          <w:p>
            <w:pPr>
              <w:pStyle w:val="TableContents"/>
              <w:spacing w:before="0" w:after="283"/>
              <w:jc w:val="right"/>
              <w:rPr/>
            </w:pPr>
            <w:r>
              <w:rPr/>
              <w:t>104,347</w:t>
            </w:r>
          </w:p>
        </w:tc>
        <w:tc>
          <w:tcPr>
            <w:tcW w:w="226" w:type="dxa"/>
            <w:tcBorders/>
            <w:shd w:fill="CCEEFF" w:val="clear"/>
            <w:vAlign w:val="bottom"/>
          </w:tcPr>
          <w:p>
            <w:pPr>
              <w:pStyle w:val="TableContents"/>
              <w:spacing w:before="0" w:after="283"/>
              <w:rPr/>
            </w:pPr>
            <w:r>
              <w:rPr/>
              <w:t> </w:t>
            </w:r>
          </w:p>
        </w:tc>
      </w:tr>
      <w:tr>
        <w:trPr/>
        <w:tc>
          <w:tcPr>
            <w:tcW w:w="5202" w:type="dxa"/>
            <w:tcBorders/>
            <w:shd w:fill="auto" w:val="clear"/>
            <w:vAlign w:val="bottom"/>
          </w:tcPr>
          <w:p>
            <w:pPr>
              <w:pStyle w:val="TableContents"/>
              <w:spacing w:before="0" w:after="0"/>
              <w:ind w:left="225" w:right="0" w:hanging="225"/>
              <w:rPr/>
            </w:pPr>
            <w:r>
              <w:rPr/>
              <w:t>Bad debt:</w:t>
            </w:r>
          </w:p>
        </w:tc>
        <w:tc>
          <w:tcPr>
            <w:tcW w:w="3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r>
      <w:tr>
        <w:trPr/>
        <w:tc>
          <w:tcPr>
            <w:tcW w:w="5202" w:type="dxa"/>
            <w:tcBorders/>
            <w:shd w:fill="CCEEFF" w:val="clear"/>
            <w:vAlign w:val="bottom"/>
          </w:tcPr>
          <w:p>
            <w:pPr>
              <w:pStyle w:val="TableContents"/>
              <w:spacing w:before="0" w:after="0"/>
              <w:ind w:left="450" w:right="0" w:hanging="225"/>
              <w:rPr/>
            </w:pPr>
            <w:r>
              <w:rPr/>
              <w:t>Net defaults, including interest on brokered loans</w:t>
            </w:r>
          </w:p>
        </w:tc>
        <w:tc>
          <w:tcPr>
            <w:tcW w:w="3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11,682</w:t>
            </w:r>
          </w:p>
        </w:tc>
        <w:tc>
          <w:tcPr>
            <w:tcW w:w="2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17,088</w:t>
            </w:r>
          </w:p>
        </w:tc>
        <w:tc>
          <w:tcPr>
            <w:tcW w:w="2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26,631</w:t>
            </w:r>
          </w:p>
        </w:tc>
        <w:tc>
          <w:tcPr>
            <w:tcW w:w="226" w:type="dxa"/>
            <w:tcBorders/>
            <w:shd w:fill="CCEEFF" w:val="clear"/>
            <w:vAlign w:val="bottom"/>
          </w:tcPr>
          <w:p>
            <w:pPr>
              <w:pStyle w:val="TableContents"/>
              <w:spacing w:before="0" w:after="283"/>
              <w:rPr/>
            </w:pPr>
            <w:r>
              <w:rPr/>
              <w:t> </w:t>
            </w:r>
          </w:p>
        </w:tc>
      </w:tr>
      <w:tr>
        <w:trPr/>
        <w:tc>
          <w:tcPr>
            <w:tcW w:w="5202" w:type="dxa"/>
            <w:tcBorders/>
            <w:shd w:fill="auto" w:val="clear"/>
            <w:vAlign w:val="bottom"/>
          </w:tcPr>
          <w:p>
            <w:pPr>
              <w:pStyle w:val="TableContents"/>
              <w:spacing w:before="0" w:after="0"/>
              <w:ind w:left="450" w:right="0" w:hanging="225"/>
              <w:rPr/>
            </w:pPr>
            <w:r>
              <w:rPr/>
              <w:t>Insufficient funds fees, net of collections</w:t>
            </w:r>
          </w:p>
        </w:tc>
        <w:tc>
          <w:tcPr>
            <w:tcW w:w="3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81</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1,119</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1,154</w:t>
            </w:r>
          </w:p>
        </w:tc>
        <w:tc>
          <w:tcPr>
            <w:tcW w:w="226" w:type="dxa"/>
            <w:tcBorders/>
            <w:shd w:fill="auto" w:val="clear"/>
            <w:vAlign w:val="bottom"/>
          </w:tcPr>
          <w:p>
            <w:pPr>
              <w:pStyle w:val="TableContents"/>
              <w:spacing w:before="0" w:after="283"/>
              <w:rPr/>
            </w:pPr>
            <w:r>
              <w:rPr/>
              <w:t> </w:t>
            </w:r>
          </w:p>
        </w:tc>
      </w:tr>
      <w:tr>
        <w:trPr/>
        <w:tc>
          <w:tcPr>
            <w:tcW w:w="5202" w:type="dxa"/>
            <w:tcBorders/>
            <w:shd w:fill="CCEEFF" w:val="clear"/>
            <w:vAlign w:val="bottom"/>
          </w:tcPr>
          <w:p>
            <w:pPr>
              <w:pStyle w:val="TableContents"/>
              <w:spacing w:before="0" w:after="0"/>
              <w:ind w:left="450" w:right="0" w:hanging="225"/>
              <w:rPr/>
            </w:pPr>
            <w:r>
              <w:rPr/>
              <w:t>Change in valuation allowance</w:t>
            </w:r>
          </w:p>
        </w:tc>
        <w:tc>
          <w:tcPr>
            <w:tcW w:w="3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1,043</w:t>
            </w:r>
          </w:p>
        </w:tc>
        <w:tc>
          <w:tcPr>
            <w:tcW w:w="2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(468</w:t>
            </w:r>
          </w:p>
        </w:tc>
        <w:tc>
          <w:tcPr>
            <w:tcW w:w="225" w:type="dxa"/>
            <w:tcBorders/>
            <w:shd w:fill="CCEEFF" w:val="clear"/>
            <w:vAlign w:val="bottom"/>
          </w:tcPr>
          <w:p>
            <w:pPr>
              <w:pStyle w:val="TableContents"/>
              <w:spacing w:before="0" w:after="283"/>
              <w:rPr/>
            </w:pPr>
            <w:r>
              <w:rPr/>
              <w:t>)</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402</w:t>
            </w:r>
          </w:p>
        </w:tc>
        <w:tc>
          <w:tcPr>
            <w:tcW w:w="226" w:type="dxa"/>
            <w:tcBorders/>
            <w:shd w:fill="CCEEFF" w:val="clear"/>
            <w:vAlign w:val="bottom"/>
          </w:tcPr>
          <w:p>
            <w:pPr>
              <w:pStyle w:val="TableContents"/>
              <w:spacing w:before="0" w:after="283"/>
              <w:rPr/>
            </w:pPr>
            <w:r>
              <w:rPr/>
              <w:t> </w:t>
            </w:r>
          </w:p>
        </w:tc>
      </w:tr>
      <w:tr>
        <w:trPr/>
        <w:tc>
          <w:tcPr>
            <w:tcW w:w="5202" w:type="dxa"/>
            <w:tcBorders/>
            <w:shd w:fill="auto" w:val="clear"/>
            <w:vAlign w:val="bottom"/>
          </w:tcPr>
          <w:p>
            <w:pPr>
              <w:pStyle w:val="TableContents"/>
              <w:spacing w:before="0" w:after="0"/>
              <w:ind w:left="450" w:right="0" w:hanging="225"/>
              <w:rPr/>
            </w:pPr>
            <w:r>
              <w:rPr/>
              <w:t>Other related costs</w:t>
            </w:r>
          </w:p>
        </w:tc>
        <w:tc>
          <w:tcPr>
            <w:tcW w:w="3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194</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158</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321</w:t>
            </w:r>
          </w:p>
        </w:tc>
        <w:tc>
          <w:tcPr>
            <w:tcW w:w="226" w:type="dxa"/>
            <w:tcBorders/>
            <w:shd w:fill="auto" w:val="clear"/>
            <w:vAlign w:val="bottom"/>
          </w:tcPr>
          <w:p>
            <w:pPr>
              <w:pStyle w:val="TableContents"/>
              <w:spacing w:before="0" w:after="283"/>
              <w:rPr/>
            </w:pPr>
            <w:r>
              <w:rPr/>
              <w:t> </w:t>
            </w:r>
          </w:p>
        </w:tc>
      </w:tr>
      <w:tr>
        <w:trPr/>
        <w:tc>
          <w:tcPr>
            <w:tcW w:w="5202"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1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6" w:type="dxa"/>
            <w:tcBorders/>
            <w:shd w:fill="auto" w:val="clear"/>
            <w:vAlign w:val="center"/>
          </w:tcPr>
          <w:p>
            <w:pPr>
              <w:pStyle w:val="TableContents"/>
              <w:spacing w:before="0" w:after="283"/>
              <w:rPr/>
            </w:pPr>
            <w:r>
              <w:rPr/>
              <w:t> </w:t>
            </w:r>
          </w:p>
        </w:tc>
      </w:tr>
      <w:tr>
        <w:trPr/>
        <w:tc>
          <w:tcPr>
            <w:tcW w:w="5202" w:type="dxa"/>
            <w:tcBorders/>
            <w:shd w:fill="CCEEFF" w:val="clear"/>
            <w:vAlign w:val="bottom"/>
          </w:tcPr>
          <w:p>
            <w:pPr>
              <w:pStyle w:val="TableContents"/>
              <w:spacing w:before="0" w:after="0"/>
              <w:ind w:left="675" w:right="0" w:hanging="225"/>
              <w:rPr/>
            </w:pPr>
            <w:r>
              <w:rPr/>
              <w:t>Net bad debt</w:t>
            </w:r>
          </w:p>
        </w:tc>
        <w:tc>
          <w:tcPr>
            <w:tcW w:w="3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13,000</w:t>
            </w:r>
          </w:p>
        </w:tc>
        <w:tc>
          <w:tcPr>
            <w:tcW w:w="2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17,897</w:t>
            </w:r>
          </w:p>
        </w:tc>
        <w:tc>
          <w:tcPr>
            <w:tcW w:w="2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28,508</w:t>
            </w:r>
          </w:p>
        </w:tc>
        <w:tc>
          <w:tcPr>
            <w:tcW w:w="226" w:type="dxa"/>
            <w:tcBorders/>
            <w:shd w:fill="CCEEFF" w:val="clear"/>
            <w:vAlign w:val="bottom"/>
          </w:tcPr>
          <w:p>
            <w:pPr>
              <w:pStyle w:val="TableContents"/>
              <w:spacing w:before="0" w:after="283"/>
              <w:rPr/>
            </w:pPr>
            <w:r>
              <w:rPr/>
              <w:t> </w:t>
            </w:r>
          </w:p>
        </w:tc>
      </w:tr>
      <w:tr>
        <w:trPr/>
        <w:tc>
          <w:tcPr>
            <w:tcW w:w="5202"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1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6" w:type="dxa"/>
            <w:tcBorders/>
            <w:shd w:fill="auto" w:val="clear"/>
            <w:vAlign w:val="center"/>
          </w:tcPr>
          <w:p>
            <w:pPr>
              <w:pStyle w:val="TableContents"/>
              <w:spacing w:before="0" w:after="283"/>
              <w:rPr/>
            </w:pPr>
            <w:r>
              <w:rPr/>
              <w:t> </w:t>
            </w:r>
          </w:p>
        </w:tc>
      </w:tr>
      <w:tr>
        <w:trPr/>
        <w:tc>
          <w:tcPr>
            <w:tcW w:w="5202" w:type="dxa"/>
            <w:tcBorders/>
            <w:shd w:fill="auto" w:val="clear"/>
            <w:vAlign w:val="bottom"/>
          </w:tcPr>
          <w:p>
            <w:pPr>
              <w:pStyle w:val="TableContents"/>
              <w:spacing w:before="0" w:after="0"/>
              <w:ind w:left="225" w:right="0" w:hanging="225"/>
              <w:rPr/>
            </w:pPr>
            <w:r>
              <w:rPr/>
              <w:t>Fee revenue less bad debt</w:t>
            </w:r>
          </w:p>
        </w:tc>
        <w:tc>
          <w:tcPr>
            <w:tcW w:w="3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29,200</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53,943</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935" w:type="dxa"/>
            <w:tcBorders/>
            <w:shd w:fill="auto" w:val="clear"/>
            <w:vAlign w:val="bottom"/>
          </w:tcPr>
          <w:p>
            <w:pPr>
              <w:pStyle w:val="TableContents"/>
              <w:spacing w:before="0" w:after="283"/>
              <w:jc w:val="right"/>
              <w:rPr/>
            </w:pPr>
            <w:r>
              <w:rPr/>
              <w:t>75,839</w:t>
            </w:r>
          </w:p>
        </w:tc>
        <w:tc>
          <w:tcPr>
            <w:tcW w:w="226" w:type="dxa"/>
            <w:tcBorders/>
            <w:shd w:fill="auto" w:val="clear"/>
            <w:vAlign w:val="bottom"/>
          </w:tcPr>
          <w:p>
            <w:pPr>
              <w:pStyle w:val="TableContents"/>
              <w:spacing w:before="0" w:after="283"/>
              <w:rPr/>
            </w:pPr>
            <w:r>
              <w:rPr/>
              <w:t> </w:t>
            </w:r>
          </w:p>
        </w:tc>
      </w:tr>
      <w:tr>
        <w:trPr/>
        <w:tc>
          <w:tcPr>
            <w:tcW w:w="5202"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5"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1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6" w:type="dxa"/>
            <w:tcBorders/>
            <w:shd w:fill="auto" w:val="clear"/>
            <w:vAlign w:val="center"/>
          </w:tcPr>
          <w:p>
            <w:pPr>
              <w:pStyle w:val="TableContents"/>
              <w:spacing w:before="0" w:after="283"/>
              <w:rPr/>
            </w:pPr>
            <w:r>
              <w:rPr/>
              <w:t> </w:t>
            </w:r>
          </w:p>
        </w:tc>
      </w:tr>
      <w:tr>
        <w:trPr/>
        <w:tc>
          <w:tcPr>
            <w:tcW w:w="5202" w:type="dxa"/>
            <w:tcBorders/>
            <w:shd w:fill="auto" w:val="clear"/>
            <w:vAlign w:val="bottom"/>
          </w:tcPr>
          <w:p>
            <w:pPr>
              <w:pStyle w:val="TableContents"/>
              <w:spacing w:before="0" w:after="0"/>
              <w:ind w:left="225" w:right="0" w:hanging="225"/>
              <w:rPr/>
            </w:pPr>
            <w:r>
              <w:rPr/>
              <w:t> </w:t>
            </w:r>
          </w:p>
        </w:tc>
        <w:tc>
          <w:tcPr>
            <w:tcW w:w="3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r>
      <w:tr>
        <w:trPr/>
        <w:tc>
          <w:tcPr>
            <w:tcW w:w="5202" w:type="dxa"/>
            <w:tcBorders/>
            <w:shd w:fill="CCEEFF" w:val="clear"/>
            <w:vAlign w:val="bottom"/>
          </w:tcPr>
          <w:p>
            <w:pPr>
              <w:pStyle w:val="TableContents"/>
              <w:spacing w:before="0" w:after="0"/>
              <w:ind w:left="225" w:right="0" w:hanging="225"/>
              <w:rPr/>
            </w:pPr>
            <w:r>
              <w:rPr/>
              <w:t>Average signature loan balance outstanding during period (a)</w:t>
            </w:r>
          </w:p>
        </w:tc>
        <w:tc>
          <w:tcPr>
            <w:tcW w:w="3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845" w:type="dxa"/>
            <w:tcBorders/>
            <w:shd w:fill="CCEEFF" w:val="clear"/>
            <w:vAlign w:val="bottom"/>
          </w:tcPr>
          <w:p>
            <w:pPr>
              <w:pStyle w:val="TableContents"/>
              <w:spacing w:before="0" w:after="283"/>
              <w:jc w:val="right"/>
              <w:rPr/>
            </w:pPr>
            <w:r>
              <w:rPr/>
              <w:t>10,118</w:t>
            </w:r>
          </w:p>
        </w:tc>
        <w:tc>
          <w:tcPr>
            <w:tcW w:w="2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845" w:type="dxa"/>
            <w:tcBorders/>
            <w:shd w:fill="CCEEFF" w:val="clear"/>
            <w:vAlign w:val="bottom"/>
          </w:tcPr>
          <w:p>
            <w:pPr>
              <w:pStyle w:val="TableContents"/>
              <w:spacing w:before="0" w:after="283"/>
              <w:jc w:val="right"/>
              <w:rPr/>
            </w:pPr>
            <w:r>
              <w:rPr/>
              <w:t>16,369</w:t>
            </w:r>
          </w:p>
        </w:tc>
        <w:tc>
          <w:tcPr>
            <w:tcW w:w="2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935" w:type="dxa"/>
            <w:tcBorders/>
            <w:shd w:fill="CCEEFF" w:val="clear"/>
            <w:vAlign w:val="bottom"/>
          </w:tcPr>
          <w:p>
            <w:pPr>
              <w:pStyle w:val="TableContents"/>
              <w:spacing w:before="0" w:after="283"/>
              <w:jc w:val="right"/>
              <w:rPr/>
            </w:pPr>
            <w:r>
              <w:rPr/>
              <w:t>23,479</w:t>
            </w:r>
          </w:p>
        </w:tc>
        <w:tc>
          <w:tcPr>
            <w:tcW w:w="226" w:type="dxa"/>
            <w:tcBorders/>
            <w:shd w:fill="CCEEFF" w:val="clear"/>
            <w:vAlign w:val="bottom"/>
          </w:tcPr>
          <w:p>
            <w:pPr>
              <w:pStyle w:val="TableContents"/>
              <w:spacing w:before="0" w:after="283"/>
              <w:rPr/>
            </w:pPr>
            <w:r>
              <w:rPr/>
              <w:t> </w:t>
            </w:r>
          </w:p>
        </w:tc>
      </w:tr>
      <w:tr>
        <w:trPr/>
        <w:tc>
          <w:tcPr>
            <w:tcW w:w="5202" w:type="dxa"/>
            <w:tcBorders/>
            <w:shd w:fill="auto" w:val="clear"/>
            <w:vAlign w:val="bottom"/>
          </w:tcPr>
          <w:p>
            <w:pPr>
              <w:pStyle w:val="TableContents"/>
              <w:spacing w:before="0" w:after="0"/>
              <w:ind w:left="225" w:right="0" w:hanging="225"/>
              <w:rPr/>
            </w:pPr>
            <w:r>
              <w:rPr/>
              <w:t>Signature loan balance at end of period (a)</w:t>
            </w:r>
          </w:p>
        </w:tc>
        <w:tc>
          <w:tcPr>
            <w:tcW w:w="3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15,904</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20,653</w:t>
            </w:r>
          </w:p>
        </w:tc>
        <w:tc>
          <w:tcPr>
            <w:tcW w:w="2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935" w:type="dxa"/>
            <w:tcBorders/>
            <w:shd w:fill="auto" w:val="clear"/>
            <w:vAlign w:val="bottom"/>
          </w:tcPr>
          <w:p>
            <w:pPr>
              <w:pStyle w:val="TableContents"/>
              <w:spacing w:before="0" w:after="283"/>
              <w:jc w:val="right"/>
              <w:rPr/>
            </w:pPr>
            <w:r>
              <w:rPr/>
              <w:t>28,125</w:t>
            </w:r>
          </w:p>
        </w:tc>
        <w:tc>
          <w:tcPr>
            <w:tcW w:w="226" w:type="dxa"/>
            <w:tcBorders/>
            <w:shd w:fill="auto" w:val="clear"/>
            <w:vAlign w:val="bottom"/>
          </w:tcPr>
          <w:p>
            <w:pPr>
              <w:pStyle w:val="TableContents"/>
              <w:spacing w:before="0" w:after="283"/>
              <w:rPr/>
            </w:pPr>
            <w:r>
              <w:rPr/>
              <w:t> </w:t>
            </w:r>
          </w:p>
        </w:tc>
      </w:tr>
      <w:tr>
        <w:trPr/>
        <w:tc>
          <w:tcPr>
            <w:tcW w:w="5202" w:type="dxa"/>
            <w:tcBorders/>
            <w:shd w:fill="CCEEFF" w:val="clear"/>
            <w:vAlign w:val="bottom"/>
          </w:tcPr>
          <w:p>
            <w:pPr>
              <w:pStyle w:val="TableContents"/>
              <w:spacing w:before="0" w:after="0"/>
              <w:ind w:left="225" w:right="0" w:hanging="225"/>
              <w:rPr/>
            </w:pPr>
            <w:r>
              <w:rPr/>
              <w:t>Participating stores at end of period</w:t>
            </w:r>
          </w:p>
        </w:tc>
        <w:tc>
          <w:tcPr>
            <w:tcW w:w="3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333</w:t>
            </w:r>
          </w:p>
        </w:tc>
        <w:tc>
          <w:tcPr>
            <w:tcW w:w="2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416</w:t>
            </w:r>
          </w:p>
        </w:tc>
        <w:tc>
          <w:tcPr>
            <w:tcW w:w="2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508</w:t>
            </w:r>
          </w:p>
        </w:tc>
        <w:tc>
          <w:tcPr>
            <w:tcW w:w="226" w:type="dxa"/>
            <w:tcBorders/>
            <w:shd w:fill="CCEEFF" w:val="clear"/>
            <w:vAlign w:val="bottom"/>
          </w:tcPr>
          <w:p>
            <w:pPr>
              <w:pStyle w:val="TableContents"/>
              <w:spacing w:before="0" w:after="283"/>
              <w:rPr/>
            </w:pPr>
            <w:r>
              <w:rPr/>
              <w:t> </w:t>
            </w:r>
          </w:p>
        </w:tc>
      </w:tr>
      <w:tr>
        <w:trPr/>
        <w:tc>
          <w:tcPr>
            <w:tcW w:w="5202" w:type="dxa"/>
            <w:tcBorders/>
            <w:shd w:fill="auto" w:val="clear"/>
            <w:vAlign w:val="bottom"/>
          </w:tcPr>
          <w:p>
            <w:pPr>
              <w:pStyle w:val="TableContents"/>
              <w:spacing w:before="0" w:after="0"/>
              <w:ind w:left="225" w:right="0" w:hanging="225"/>
              <w:rPr/>
            </w:pPr>
            <w:r>
              <w:rPr/>
              <w:t>Signature loan bad debt, as a percent of fee revenue</w:t>
            </w:r>
          </w:p>
        </w:tc>
        <w:tc>
          <w:tcPr>
            <w:tcW w:w="39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30.8</w:t>
            </w:r>
          </w:p>
        </w:tc>
        <w:tc>
          <w:tcPr>
            <w:tcW w:w="225" w:type="dxa"/>
            <w:tcBorders/>
            <w:shd w:fill="auto" w:val="clear"/>
            <w:vAlign w:val="bottom"/>
          </w:tcPr>
          <w:p>
            <w:pPr>
              <w:pStyle w:val="TableContents"/>
              <w:spacing w:before="0" w:after="283"/>
              <w:rPr/>
            </w:pPr>
            <w:r>
              <w:rPr/>
              <w:t>%</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24.9</w:t>
            </w:r>
          </w:p>
        </w:tc>
        <w:tc>
          <w:tcPr>
            <w:tcW w:w="225" w:type="dxa"/>
            <w:tcBorders/>
            <w:shd w:fill="auto" w:val="clear"/>
            <w:vAlign w:val="bottom"/>
          </w:tcPr>
          <w:p>
            <w:pPr>
              <w:pStyle w:val="TableContents"/>
              <w:spacing w:before="0" w:after="283"/>
              <w:rPr/>
            </w:pPr>
            <w:r>
              <w:rPr/>
              <w:t>%</w:t>
            </w:r>
          </w:p>
        </w:tc>
        <w:tc>
          <w:tcPr>
            <w:tcW w:w="39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pPr>
            <w:r>
              <w:rPr/>
              <w:t>27.3</w:t>
            </w:r>
          </w:p>
        </w:tc>
        <w:tc>
          <w:tcPr>
            <w:tcW w:w="226" w:type="dxa"/>
            <w:tcBorders/>
            <w:shd w:fill="auto" w:val="clear"/>
            <w:vAlign w:val="bottom"/>
          </w:tcPr>
          <w:p>
            <w:pPr>
              <w:pStyle w:val="TableContents"/>
              <w:spacing w:before="0" w:after="283"/>
              <w:rPr/>
            </w:pPr>
            <w:r>
              <w:rPr/>
              <w:t>%</w:t>
            </w:r>
          </w:p>
        </w:tc>
      </w:tr>
      <w:tr>
        <w:trPr/>
        <w:tc>
          <w:tcPr>
            <w:tcW w:w="5202" w:type="dxa"/>
            <w:tcBorders/>
            <w:shd w:fill="CCEEFF" w:val="clear"/>
            <w:vAlign w:val="bottom"/>
          </w:tcPr>
          <w:p>
            <w:pPr>
              <w:pStyle w:val="TableContents"/>
              <w:spacing w:before="0" w:after="0"/>
              <w:ind w:left="225" w:right="0" w:hanging="225"/>
              <w:rPr/>
            </w:pPr>
            <w:r>
              <w:rPr/>
              <w:t>Net default rate (a) (b)</w:t>
            </w:r>
          </w:p>
        </w:tc>
        <w:tc>
          <w:tcPr>
            <w:tcW w:w="395"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5.0</w:t>
            </w:r>
          </w:p>
        </w:tc>
        <w:tc>
          <w:tcPr>
            <w:tcW w:w="225" w:type="dxa"/>
            <w:tcBorders/>
            <w:shd w:fill="CCEEFF" w:val="clear"/>
            <w:vAlign w:val="bottom"/>
          </w:tcPr>
          <w:p>
            <w:pPr>
              <w:pStyle w:val="TableContents"/>
              <w:spacing w:before="0" w:after="283"/>
              <w:rPr/>
            </w:pPr>
            <w:r>
              <w:rPr/>
              <w:t>%</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4.7</w:t>
            </w:r>
          </w:p>
        </w:tc>
        <w:tc>
          <w:tcPr>
            <w:tcW w:w="225" w:type="dxa"/>
            <w:tcBorders/>
            <w:shd w:fill="CCEEFF" w:val="clear"/>
            <w:vAlign w:val="bottom"/>
          </w:tcPr>
          <w:p>
            <w:pPr>
              <w:pStyle w:val="TableContents"/>
              <w:spacing w:before="0" w:after="283"/>
              <w:rPr/>
            </w:pPr>
            <w:r>
              <w:rPr/>
              <w:t>%</w:t>
            </w:r>
          </w:p>
        </w:tc>
        <w:tc>
          <w:tcPr>
            <w:tcW w:w="39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pPr>
            <w:r>
              <w:rPr/>
              <w:t>5.0</w:t>
            </w:r>
          </w:p>
        </w:tc>
        <w:tc>
          <w:tcPr>
            <w:tcW w:w="226"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r>
        <w:trPr/>
        <w:tc>
          <w:tcPr>
            <w:tcW w:w="6829" w:type="dxa"/>
            <w:tcBorders/>
            <w:shd w:fill="auto" w:val="clear"/>
            <w:vAlign w:val="center"/>
          </w:tcPr>
          <w:p>
            <w:pPr>
              <w:pStyle w:val="TableContents"/>
              <w:spacing w:before="0" w:after="283"/>
              <w:rPr/>
            </w:pPr>
            <w:r>
              <w:rPr/>
              <w:t> </w:t>
            </w:r>
          </w:p>
        </w:tc>
        <w:tc>
          <w:tcPr>
            <w:tcW w:w="3376" w:type="dxa"/>
            <w:gridSpan w:val="2"/>
            <w:tcBorders/>
            <w:shd w:fill="auto" w:val="clea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(b)</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Principal defaults net of collections, as a percentage of signature loans made and renewed.</w:t>
            </w:r>
          </w:p>
        </w:tc>
      </w:tr>
    </w:tbl>
    <w:p>
      <w:pPr>
        <w:pStyle w:val="TextBody"/>
        <w:jc w:val="center"/>
        <w:rPr>
          <w:rFonts w:ascii="Helvetica;Arial;sans-serif" w:hAnsi="Helvetica;Arial;sans-serif"/>
          <w:sz w:val="17"/>
        </w:rPr>
      </w:pPr>
      <w:r>
        <w:rPr>
          <w:rFonts w:ascii="Helvetica;Arial;sans-serif" w:hAnsi="Helvetica;Arial;san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i/>
          <w:sz w:val="17"/>
        </w:rPr>
        <w:t>Overview</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lend or provide credit services to individuals who do not have cash resources or access to credit to meet their short-term cash needs. We offer pawn loans in 294 domestic pawn stores, including fifteen acquired in the third quarter of fiscal 2007, and four Mexico pawn stores open at September 30, 2007. Pawn loans are non-recourse loans collateralized by tangible personal property. At these stores, we also sell merchandise, primarily collateral forfeited from our pawn lending operations, to customers looking for good value. In 433 EZMONEY stores and 75 of our domestic pawn stores open September 30, 2007, we offer short-term non-collateralized loans, often called payday loans, or fee-based credit services to customers seeking loans (collectively, signature loans).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manage our business as two segments. The EZPAWN Operations segment offers pawn related activities in all 298 pawn stores, and offers signature loans in 75 pawn stores and six EZMONEY stores. The EZMONEY Operations segment offers signature loans in 427 EZMONEY stores, and accounts for approximately 97% of our consolidated signature loan revenues.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tables present store data by operating segment: </w:t>
      </w:r>
    </w:p>
    <w:tbl>
      <w:tblPr>
        <w:tblW w:w="5000" w:type="pct"/>
        <w:jc w:val="center"/>
        <w:tblInd w:w="0" w:type="dxa"/>
        <w:tblCellMar>
          <w:top w:w="0" w:type="dxa"/>
          <w:left w:w="0" w:type="dxa"/>
          <w:bottom w:w="0" w:type="dxa"/>
          <w:right w:w="0" w:type="dxa"/>
        </w:tblCellMar>
      </w:tblPr>
      <w:tblGrid>
        <w:gridCol w:w="4577"/>
        <w:gridCol w:w="339"/>
        <w:gridCol w:w="280"/>
        <w:gridCol w:w="760"/>
        <w:gridCol w:w="348"/>
        <w:gridCol w:w="382"/>
        <w:gridCol w:w="285"/>
        <w:gridCol w:w="905"/>
        <w:gridCol w:w="353"/>
        <w:gridCol w:w="382"/>
        <w:gridCol w:w="302"/>
        <w:gridCol w:w="899"/>
        <w:gridCol w:w="393"/>
      </w:tblGrid>
      <w:tr>
        <w:trPr/>
        <w:tc>
          <w:tcPr>
            <w:tcW w:w="457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r>
      <w:tr>
        <w:trPr/>
        <w:tc>
          <w:tcPr>
            <w:tcW w:w="457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5289" w:type="dxa"/>
            <w:gridSpan w:val="11"/>
            <w:tcBorders>
              <w:bottom w:val="single" w:sz="2" w:space="0" w:color="000000"/>
            </w:tcBorders>
            <w:shd w:fill="auto" w:val="clear"/>
            <w:tcMar>
              <w:bottom w:w="28" w:type="dxa"/>
            </w:tcMar>
            <w:vAlign w:val="bottom"/>
          </w:tcPr>
          <w:p>
            <w:pPr>
              <w:pStyle w:val="TableContents"/>
              <w:spacing w:before="0" w:after="283"/>
              <w:jc w:val="center"/>
              <w:rPr/>
            </w:pPr>
            <w:r>
              <w:rPr/>
              <w:t>Year Ended September 30, 2007</w:t>
            </w:r>
          </w:p>
        </w:tc>
      </w:tr>
      <w:tr>
        <w:trPr/>
        <w:tc>
          <w:tcPr>
            <w:tcW w:w="457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388" w:type="dxa"/>
            <w:gridSpan w:val="3"/>
            <w:tcBorders/>
            <w:shd w:fill="auto" w:val="clear"/>
            <w:vAlign w:val="bottom"/>
          </w:tcPr>
          <w:p>
            <w:pPr>
              <w:pStyle w:val="TableContents"/>
              <w:spacing w:before="0" w:after="283"/>
              <w:jc w:val="center"/>
              <w:rPr/>
            </w:pPr>
            <w:r>
              <w:rPr/>
              <w:t>EZPAWN</w:t>
            </w:r>
          </w:p>
        </w:tc>
        <w:tc>
          <w:tcPr>
            <w:tcW w:w="382" w:type="dxa"/>
            <w:tcBorders/>
            <w:shd w:fill="auto" w:val="clear"/>
            <w:vAlign w:val="bottom"/>
          </w:tcPr>
          <w:p>
            <w:pPr>
              <w:pStyle w:val="TableContents"/>
              <w:spacing w:before="0" w:after="283"/>
              <w:rPr/>
            </w:pPr>
            <w:r>
              <w:rPr/>
              <w:t> </w:t>
            </w:r>
          </w:p>
        </w:tc>
        <w:tc>
          <w:tcPr>
            <w:tcW w:w="1543" w:type="dxa"/>
            <w:gridSpan w:val="3"/>
            <w:tcBorders/>
            <w:shd w:fill="auto" w:val="clear"/>
            <w:vAlign w:val="bottom"/>
          </w:tcPr>
          <w:p>
            <w:pPr>
              <w:pStyle w:val="TableContents"/>
              <w:spacing w:before="0" w:after="283"/>
              <w:jc w:val="center"/>
              <w:rPr/>
            </w:pPr>
            <w:r>
              <w:rPr/>
              <w:t>EZMONEY</w:t>
            </w:r>
          </w:p>
        </w:tc>
        <w:tc>
          <w:tcPr>
            <w:tcW w:w="382" w:type="dxa"/>
            <w:tcBorders/>
            <w:shd w:fill="auto" w:val="clear"/>
            <w:vAlign w:val="bottom"/>
          </w:tcPr>
          <w:p>
            <w:pPr>
              <w:pStyle w:val="TableContents"/>
              <w:spacing w:before="0" w:after="283"/>
              <w:rPr/>
            </w:pPr>
            <w:r>
              <w:rPr/>
              <w:t> </w:t>
            </w:r>
          </w:p>
        </w:tc>
        <w:tc>
          <w:tcPr>
            <w:tcW w:w="1594" w:type="dxa"/>
            <w:gridSpan w:val="3"/>
            <w:tcBorders/>
            <w:shd w:fill="auto" w:val="clear"/>
            <w:vAlign w:val="bottom"/>
          </w:tcPr>
          <w:p>
            <w:pPr>
              <w:pStyle w:val="TableContents"/>
              <w:spacing w:before="0" w:after="283"/>
              <w:jc w:val="center"/>
              <w:rPr/>
            </w:pPr>
            <w:r>
              <w:rPr/>
              <w:t> </w:t>
            </w:r>
          </w:p>
        </w:tc>
      </w:tr>
      <w:tr>
        <w:trPr/>
        <w:tc>
          <w:tcPr>
            <w:tcW w:w="4577"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388" w:type="dxa"/>
            <w:gridSpan w:val="3"/>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382" w:type="dxa"/>
            <w:tcBorders/>
            <w:shd w:fill="auto" w:val="clear"/>
            <w:vAlign w:val="bottom"/>
          </w:tcPr>
          <w:p>
            <w:pPr>
              <w:pStyle w:val="TableContents"/>
              <w:spacing w:before="0" w:after="283"/>
              <w:rPr/>
            </w:pPr>
            <w:r>
              <w:rPr/>
              <w:t> </w:t>
            </w:r>
          </w:p>
        </w:tc>
        <w:tc>
          <w:tcPr>
            <w:tcW w:w="1543" w:type="dxa"/>
            <w:gridSpan w:val="3"/>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382" w:type="dxa"/>
            <w:tcBorders/>
            <w:shd w:fill="auto" w:val="clear"/>
            <w:vAlign w:val="bottom"/>
          </w:tcPr>
          <w:p>
            <w:pPr>
              <w:pStyle w:val="TableContents"/>
              <w:spacing w:before="0" w:after="283"/>
              <w:rPr/>
            </w:pPr>
            <w:r>
              <w:rPr/>
              <w:t> </w:t>
            </w:r>
          </w:p>
        </w:tc>
        <w:tc>
          <w:tcPr>
            <w:tcW w:w="1594" w:type="dxa"/>
            <w:gridSpan w:val="3"/>
            <w:tcBorders>
              <w:bottom w:val="single" w:sz="2" w:space="0" w:color="000000"/>
            </w:tcBorders>
            <w:shd w:fill="auto" w:val="clear"/>
            <w:tcMar>
              <w:bottom w:w="28" w:type="dxa"/>
            </w:tcMar>
            <w:vAlign w:val="bottom"/>
          </w:tcPr>
          <w:p>
            <w:pPr>
              <w:pStyle w:val="TableContents"/>
              <w:spacing w:before="0" w:after="283"/>
              <w:jc w:val="center"/>
              <w:rPr/>
            </w:pPr>
            <w:r>
              <w:rPr/>
              <w:t>Consolidated</w:t>
            </w:r>
          </w:p>
        </w:tc>
      </w:tr>
      <w:tr>
        <w:trPr/>
        <w:tc>
          <w:tcPr>
            <w:tcW w:w="4577" w:type="dxa"/>
            <w:tcBorders/>
            <w:shd w:fill="CCEEFF" w:val="clear"/>
            <w:vAlign w:val="bottom"/>
          </w:tcPr>
          <w:p>
            <w:pPr>
              <w:pStyle w:val="TableContents"/>
              <w:spacing w:before="0" w:after="0"/>
              <w:ind w:left="225" w:right="0" w:hanging="225"/>
              <w:rPr/>
            </w:pPr>
            <w:r>
              <w:rPr/>
              <w:t>Stores in operation:</w:t>
            </w:r>
          </w:p>
        </w:tc>
        <w:tc>
          <w:tcPr>
            <w:tcW w:w="339"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r>
      <w:tr>
        <w:trPr/>
        <w:tc>
          <w:tcPr>
            <w:tcW w:w="4577" w:type="dxa"/>
            <w:tcBorders/>
            <w:shd w:fill="auto" w:val="clear"/>
            <w:vAlign w:val="bottom"/>
          </w:tcPr>
          <w:p>
            <w:pPr>
              <w:pStyle w:val="TableContents"/>
              <w:spacing w:before="0" w:after="0"/>
              <w:ind w:left="450" w:right="0" w:hanging="225"/>
              <w:rPr/>
            </w:pPr>
            <w:r>
              <w:rPr/>
              <w:t>Beginning of period</w:t>
            </w:r>
          </w:p>
        </w:tc>
        <w:tc>
          <w:tcPr>
            <w:tcW w:w="33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286</w:t>
            </w:r>
          </w:p>
        </w:tc>
        <w:tc>
          <w:tcPr>
            <w:tcW w:w="34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328</w:t>
            </w:r>
          </w:p>
        </w:tc>
        <w:tc>
          <w:tcPr>
            <w:tcW w:w="3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614</w:t>
            </w:r>
          </w:p>
        </w:tc>
        <w:tc>
          <w:tcPr>
            <w:tcW w:w="393" w:type="dxa"/>
            <w:tcBorders/>
            <w:shd w:fill="auto" w:val="clear"/>
            <w:vAlign w:val="bottom"/>
          </w:tcPr>
          <w:p>
            <w:pPr>
              <w:pStyle w:val="TableContents"/>
              <w:spacing w:before="0" w:after="283"/>
              <w:rPr/>
            </w:pPr>
            <w:r>
              <w:rPr/>
              <w:t> </w:t>
            </w:r>
          </w:p>
        </w:tc>
      </w:tr>
      <w:tr>
        <w:trPr/>
        <w:tc>
          <w:tcPr>
            <w:tcW w:w="4577" w:type="dxa"/>
            <w:tcBorders/>
            <w:shd w:fill="CCEEFF" w:val="clear"/>
            <w:vAlign w:val="bottom"/>
          </w:tcPr>
          <w:p>
            <w:pPr>
              <w:pStyle w:val="TableContents"/>
              <w:spacing w:before="0" w:after="0"/>
              <w:ind w:left="450" w:right="0" w:hanging="225"/>
              <w:rPr/>
            </w:pPr>
            <w:r>
              <w:rPr/>
              <w:t>New openings</w:t>
            </w:r>
          </w:p>
        </w:tc>
        <w:tc>
          <w:tcPr>
            <w:tcW w:w="339"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4</w:t>
            </w:r>
          </w:p>
        </w:tc>
        <w:tc>
          <w:tcPr>
            <w:tcW w:w="34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100</w:t>
            </w:r>
          </w:p>
        </w:tc>
        <w:tc>
          <w:tcPr>
            <w:tcW w:w="35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104</w:t>
            </w:r>
          </w:p>
        </w:tc>
        <w:tc>
          <w:tcPr>
            <w:tcW w:w="393" w:type="dxa"/>
            <w:tcBorders/>
            <w:shd w:fill="CCEEFF" w:val="clear"/>
            <w:vAlign w:val="bottom"/>
          </w:tcPr>
          <w:p>
            <w:pPr>
              <w:pStyle w:val="TableContents"/>
              <w:spacing w:before="0" w:after="283"/>
              <w:rPr/>
            </w:pPr>
            <w:r>
              <w:rPr/>
              <w:t> </w:t>
            </w:r>
          </w:p>
        </w:tc>
      </w:tr>
      <w:tr>
        <w:trPr/>
        <w:tc>
          <w:tcPr>
            <w:tcW w:w="4577" w:type="dxa"/>
            <w:tcBorders/>
            <w:shd w:fill="auto" w:val="clear"/>
            <w:vAlign w:val="bottom"/>
          </w:tcPr>
          <w:p>
            <w:pPr>
              <w:pStyle w:val="TableContents"/>
              <w:spacing w:before="0" w:after="0"/>
              <w:ind w:left="450" w:right="0" w:hanging="225"/>
              <w:rPr/>
            </w:pPr>
            <w:r>
              <w:rPr/>
              <w:t>Acquired</w:t>
            </w:r>
          </w:p>
        </w:tc>
        <w:tc>
          <w:tcPr>
            <w:tcW w:w="33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15</w:t>
            </w:r>
          </w:p>
        </w:tc>
        <w:tc>
          <w:tcPr>
            <w:tcW w:w="34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1</w:t>
            </w:r>
          </w:p>
        </w:tc>
        <w:tc>
          <w:tcPr>
            <w:tcW w:w="3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16</w:t>
            </w:r>
          </w:p>
        </w:tc>
        <w:tc>
          <w:tcPr>
            <w:tcW w:w="393" w:type="dxa"/>
            <w:tcBorders/>
            <w:shd w:fill="auto" w:val="clear"/>
            <w:vAlign w:val="bottom"/>
          </w:tcPr>
          <w:p>
            <w:pPr>
              <w:pStyle w:val="TableContents"/>
              <w:spacing w:before="0" w:after="283"/>
              <w:rPr/>
            </w:pPr>
            <w:r>
              <w:rPr/>
              <w:t> </w:t>
            </w:r>
          </w:p>
        </w:tc>
      </w:tr>
      <w:tr>
        <w:trPr/>
        <w:tc>
          <w:tcPr>
            <w:tcW w:w="4577" w:type="dxa"/>
            <w:tcBorders/>
            <w:shd w:fill="CCEEFF" w:val="clear"/>
            <w:vAlign w:val="bottom"/>
          </w:tcPr>
          <w:p>
            <w:pPr>
              <w:pStyle w:val="TableContents"/>
              <w:spacing w:before="0" w:after="0"/>
              <w:ind w:left="450" w:right="0" w:hanging="225"/>
              <w:rPr/>
            </w:pPr>
            <w:r>
              <w:rPr/>
              <w:t>Sold, combined, or closed</w:t>
            </w:r>
          </w:p>
        </w:tc>
        <w:tc>
          <w:tcPr>
            <w:tcW w:w="339"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 </w:t>
            </w:r>
          </w:p>
        </w:tc>
        <w:tc>
          <w:tcPr>
            <w:tcW w:w="760" w:type="dxa"/>
            <w:tcBorders/>
            <w:shd w:fill="CCEEFF" w:val="clear"/>
            <w:vAlign w:val="bottom"/>
          </w:tcPr>
          <w:p>
            <w:pPr>
              <w:pStyle w:val="TableContents"/>
              <w:spacing w:before="0" w:after="283"/>
              <w:jc w:val="right"/>
              <w:rPr/>
            </w:pPr>
            <w:r>
              <w:rPr/>
              <w:t>(1</w:t>
            </w:r>
          </w:p>
        </w:tc>
        <w:tc>
          <w:tcPr>
            <w:tcW w:w="348" w:type="dxa"/>
            <w:tcBorders/>
            <w:shd w:fill="CCEEFF" w:val="clear"/>
            <w:vAlign w:val="bottom"/>
          </w:tcPr>
          <w:p>
            <w:pPr>
              <w:pStyle w:val="TableContents"/>
              <w:spacing w:before="0" w:after="283"/>
              <w:rPr/>
            </w:pPr>
            <w:r>
              <w:rPr/>
              <w:t>)</w:t>
            </w:r>
          </w:p>
        </w:tc>
        <w:tc>
          <w:tcPr>
            <w:tcW w:w="382"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jc w:val="right"/>
              <w:rPr/>
            </w:pPr>
            <w:r>
              <w:rPr/>
              <w:t> </w:t>
            </w:r>
          </w:p>
        </w:tc>
        <w:tc>
          <w:tcPr>
            <w:tcW w:w="905" w:type="dxa"/>
            <w:tcBorders/>
            <w:shd w:fill="CCEEFF" w:val="clear"/>
            <w:vAlign w:val="bottom"/>
          </w:tcPr>
          <w:p>
            <w:pPr>
              <w:pStyle w:val="TableContents"/>
              <w:spacing w:before="0" w:after="283"/>
              <w:jc w:val="right"/>
              <w:rPr/>
            </w:pPr>
            <w:r>
              <w:rPr/>
              <w:t>(2</w:t>
            </w:r>
          </w:p>
        </w:tc>
        <w:tc>
          <w:tcPr>
            <w:tcW w:w="353" w:type="dxa"/>
            <w:tcBorders/>
            <w:shd w:fill="CCEEFF" w:val="clear"/>
            <w:vAlign w:val="bottom"/>
          </w:tcPr>
          <w:p>
            <w:pPr>
              <w:pStyle w:val="TableContents"/>
              <w:spacing w:before="0" w:after="283"/>
              <w:rPr/>
            </w:pPr>
            <w:r>
              <w:rPr/>
              <w:t>)</w:t>
            </w:r>
          </w:p>
        </w:tc>
        <w:tc>
          <w:tcPr>
            <w:tcW w:w="38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jc w:val="right"/>
              <w:rPr/>
            </w:pPr>
            <w:r>
              <w:rPr/>
              <w:t> </w:t>
            </w:r>
          </w:p>
        </w:tc>
        <w:tc>
          <w:tcPr>
            <w:tcW w:w="899" w:type="dxa"/>
            <w:tcBorders/>
            <w:shd w:fill="CCEEFF" w:val="clear"/>
            <w:vAlign w:val="bottom"/>
          </w:tcPr>
          <w:p>
            <w:pPr>
              <w:pStyle w:val="TableContents"/>
              <w:spacing w:before="0" w:after="283"/>
              <w:jc w:val="right"/>
              <w:rPr/>
            </w:pPr>
            <w:r>
              <w:rPr/>
              <w:t>(3</w:t>
            </w:r>
          </w:p>
        </w:tc>
        <w:tc>
          <w:tcPr>
            <w:tcW w:w="393" w:type="dxa"/>
            <w:tcBorders/>
            <w:shd w:fill="CCEEFF" w:val="clear"/>
            <w:vAlign w:val="bottom"/>
          </w:tcPr>
          <w:p>
            <w:pPr>
              <w:pStyle w:val="TableContents"/>
              <w:spacing w:before="0" w:after="283"/>
              <w:rPr/>
            </w:pPr>
            <w:r>
              <w:rPr/>
              <w:t>)</w:t>
            </w:r>
          </w:p>
        </w:tc>
      </w:tr>
      <w:tr>
        <w:trPr/>
        <w:tc>
          <w:tcPr>
            <w:tcW w:w="4577"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76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4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90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5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899"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93" w:type="dxa"/>
            <w:tcBorders/>
            <w:shd w:fill="auto" w:val="clear"/>
            <w:vAlign w:val="center"/>
          </w:tcPr>
          <w:p>
            <w:pPr>
              <w:pStyle w:val="TableContents"/>
              <w:spacing w:before="0" w:after="283"/>
              <w:rPr/>
            </w:pPr>
            <w:r>
              <w:rPr/>
              <w:t> </w:t>
            </w:r>
          </w:p>
        </w:tc>
      </w:tr>
      <w:tr>
        <w:trPr/>
        <w:tc>
          <w:tcPr>
            <w:tcW w:w="4577" w:type="dxa"/>
            <w:tcBorders/>
            <w:shd w:fill="auto" w:val="clear"/>
            <w:vAlign w:val="bottom"/>
          </w:tcPr>
          <w:p>
            <w:pPr>
              <w:pStyle w:val="TableContents"/>
              <w:spacing w:before="0" w:after="0"/>
              <w:ind w:left="450" w:right="0" w:hanging="225"/>
              <w:rPr/>
            </w:pPr>
            <w:r>
              <w:rPr/>
              <w:t>End of period</w:t>
            </w:r>
          </w:p>
        </w:tc>
        <w:tc>
          <w:tcPr>
            <w:tcW w:w="33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304</w:t>
            </w:r>
          </w:p>
        </w:tc>
        <w:tc>
          <w:tcPr>
            <w:tcW w:w="34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 </w:t>
            </w:r>
            <w:r>
              <w:rPr/>
              <w:t>427</w:t>
            </w:r>
          </w:p>
        </w:tc>
        <w:tc>
          <w:tcPr>
            <w:tcW w:w="3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731</w:t>
            </w:r>
          </w:p>
        </w:tc>
        <w:tc>
          <w:tcPr>
            <w:tcW w:w="393" w:type="dxa"/>
            <w:tcBorders/>
            <w:shd w:fill="auto" w:val="clear"/>
            <w:vAlign w:val="bottom"/>
          </w:tcPr>
          <w:p>
            <w:pPr>
              <w:pStyle w:val="TableContents"/>
              <w:spacing w:before="0" w:after="283"/>
              <w:rPr/>
            </w:pPr>
            <w:r>
              <w:rPr/>
              <w:t> </w:t>
            </w:r>
          </w:p>
        </w:tc>
      </w:tr>
      <w:tr>
        <w:trPr/>
        <w:tc>
          <w:tcPr>
            <w:tcW w:w="4577"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760"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4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905"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5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899"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93" w:type="dxa"/>
            <w:tcBorders/>
            <w:shd w:fill="auto" w:val="clear"/>
            <w:vAlign w:val="center"/>
          </w:tcPr>
          <w:p>
            <w:pPr>
              <w:pStyle w:val="TableContents"/>
              <w:spacing w:before="0" w:after="283"/>
              <w:rPr/>
            </w:pPr>
            <w:r>
              <w:rPr/>
              <w:t> </w:t>
            </w:r>
          </w:p>
        </w:tc>
      </w:tr>
      <w:tr>
        <w:trPr/>
        <w:tc>
          <w:tcPr>
            <w:tcW w:w="4577"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r>
      <w:tr>
        <w:trPr/>
        <w:tc>
          <w:tcPr>
            <w:tcW w:w="4577" w:type="dxa"/>
            <w:tcBorders/>
            <w:shd w:fill="CCEEFF" w:val="clear"/>
            <w:vAlign w:val="bottom"/>
          </w:tcPr>
          <w:p>
            <w:pPr>
              <w:pStyle w:val="TableContents"/>
              <w:spacing w:before="0" w:after="0"/>
              <w:ind w:left="225" w:right="0" w:hanging="225"/>
              <w:rPr/>
            </w:pPr>
            <w:r>
              <w:rPr/>
              <w:t>Average number of stores during the period</w:t>
            </w:r>
          </w:p>
        </w:tc>
        <w:tc>
          <w:tcPr>
            <w:tcW w:w="339"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292</w:t>
            </w:r>
          </w:p>
        </w:tc>
        <w:tc>
          <w:tcPr>
            <w:tcW w:w="34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362</w:t>
            </w:r>
          </w:p>
        </w:tc>
        <w:tc>
          <w:tcPr>
            <w:tcW w:w="35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654</w:t>
            </w:r>
          </w:p>
        </w:tc>
        <w:tc>
          <w:tcPr>
            <w:tcW w:w="393" w:type="dxa"/>
            <w:tcBorders/>
            <w:shd w:fill="CCEEFF" w:val="clear"/>
            <w:vAlign w:val="bottom"/>
          </w:tcPr>
          <w:p>
            <w:pPr>
              <w:pStyle w:val="TableContents"/>
              <w:spacing w:before="0" w:after="283"/>
              <w:rPr/>
            </w:pPr>
            <w:r>
              <w:rPr/>
              <w:t> </w:t>
            </w:r>
          </w:p>
        </w:tc>
      </w:tr>
      <w:tr>
        <w:trPr/>
        <w:tc>
          <w:tcPr>
            <w:tcW w:w="4577"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r>
      <w:tr>
        <w:trPr/>
        <w:tc>
          <w:tcPr>
            <w:tcW w:w="4577" w:type="dxa"/>
            <w:tcBorders/>
            <w:shd w:fill="auto" w:val="clear"/>
            <w:vAlign w:val="bottom"/>
          </w:tcPr>
          <w:p>
            <w:pPr>
              <w:pStyle w:val="TableContents"/>
              <w:spacing w:before="0" w:after="0"/>
              <w:ind w:left="225" w:right="0" w:hanging="225"/>
              <w:rPr/>
            </w:pPr>
            <w:r>
              <w:rPr/>
              <w:t>Composition of ending stores:</w:t>
            </w:r>
          </w:p>
        </w:tc>
        <w:tc>
          <w:tcPr>
            <w:tcW w:w="33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r>
      <w:tr>
        <w:trPr/>
        <w:tc>
          <w:tcPr>
            <w:tcW w:w="4577" w:type="dxa"/>
            <w:tcBorders/>
            <w:shd w:fill="CCEEFF" w:val="clear"/>
            <w:vAlign w:val="bottom"/>
          </w:tcPr>
          <w:p>
            <w:pPr>
              <w:pStyle w:val="TableContents"/>
              <w:spacing w:before="0" w:after="0"/>
              <w:ind w:left="450" w:right="0" w:hanging="225"/>
              <w:rPr/>
            </w:pPr>
            <w:r>
              <w:rPr/>
              <w:t>EZPAWN  United States</w:t>
            </w:r>
          </w:p>
        </w:tc>
        <w:tc>
          <w:tcPr>
            <w:tcW w:w="339"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294</w:t>
            </w:r>
          </w:p>
        </w:tc>
        <w:tc>
          <w:tcPr>
            <w:tcW w:w="34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w:t>
            </w:r>
          </w:p>
        </w:tc>
        <w:tc>
          <w:tcPr>
            <w:tcW w:w="35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294</w:t>
            </w:r>
          </w:p>
        </w:tc>
        <w:tc>
          <w:tcPr>
            <w:tcW w:w="393" w:type="dxa"/>
            <w:tcBorders/>
            <w:shd w:fill="CCEEFF" w:val="clear"/>
            <w:vAlign w:val="bottom"/>
          </w:tcPr>
          <w:p>
            <w:pPr>
              <w:pStyle w:val="TableContents"/>
              <w:spacing w:before="0" w:after="283"/>
              <w:rPr/>
            </w:pPr>
            <w:r>
              <w:rPr/>
              <w:t> </w:t>
            </w:r>
          </w:p>
        </w:tc>
      </w:tr>
      <w:tr>
        <w:trPr/>
        <w:tc>
          <w:tcPr>
            <w:tcW w:w="4577" w:type="dxa"/>
            <w:tcBorders/>
            <w:shd w:fill="auto" w:val="clear"/>
            <w:vAlign w:val="bottom"/>
          </w:tcPr>
          <w:p>
            <w:pPr>
              <w:pStyle w:val="TableContents"/>
              <w:spacing w:before="0" w:after="0"/>
              <w:ind w:left="450" w:right="0" w:hanging="225"/>
              <w:rPr/>
            </w:pPr>
            <w:r>
              <w:rPr/>
              <w:t>EZPAWN  Mexico</w:t>
            </w:r>
          </w:p>
        </w:tc>
        <w:tc>
          <w:tcPr>
            <w:tcW w:w="33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4</w:t>
            </w:r>
          </w:p>
        </w:tc>
        <w:tc>
          <w:tcPr>
            <w:tcW w:w="34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w:t>
            </w:r>
          </w:p>
        </w:tc>
        <w:tc>
          <w:tcPr>
            <w:tcW w:w="3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4</w:t>
            </w:r>
          </w:p>
        </w:tc>
        <w:tc>
          <w:tcPr>
            <w:tcW w:w="393" w:type="dxa"/>
            <w:tcBorders/>
            <w:shd w:fill="auto" w:val="clear"/>
            <w:vAlign w:val="bottom"/>
          </w:tcPr>
          <w:p>
            <w:pPr>
              <w:pStyle w:val="TableContents"/>
              <w:spacing w:before="0" w:after="283"/>
              <w:rPr/>
            </w:pPr>
            <w:r>
              <w:rPr/>
              <w:t> </w:t>
            </w:r>
          </w:p>
        </w:tc>
      </w:tr>
      <w:tr>
        <w:trPr/>
        <w:tc>
          <w:tcPr>
            <w:tcW w:w="4577" w:type="dxa"/>
            <w:tcBorders/>
            <w:shd w:fill="CCEEFF" w:val="clear"/>
            <w:vAlign w:val="bottom"/>
          </w:tcPr>
          <w:p>
            <w:pPr>
              <w:pStyle w:val="TableContents"/>
              <w:spacing w:before="0" w:after="0"/>
              <w:ind w:left="450" w:right="0" w:hanging="225"/>
              <w:rPr/>
            </w:pPr>
            <w:r>
              <w:rPr/>
              <w:t>EZMONEY signature loan stores adjoining EZPAWNs</w:t>
            </w:r>
          </w:p>
        </w:tc>
        <w:tc>
          <w:tcPr>
            <w:tcW w:w="339"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6</w:t>
            </w:r>
          </w:p>
        </w:tc>
        <w:tc>
          <w:tcPr>
            <w:tcW w:w="34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164</w:t>
            </w:r>
          </w:p>
        </w:tc>
        <w:tc>
          <w:tcPr>
            <w:tcW w:w="35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170</w:t>
            </w:r>
          </w:p>
        </w:tc>
        <w:tc>
          <w:tcPr>
            <w:tcW w:w="393" w:type="dxa"/>
            <w:tcBorders/>
            <w:shd w:fill="CCEEFF" w:val="clear"/>
            <w:vAlign w:val="bottom"/>
          </w:tcPr>
          <w:p>
            <w:pPr>
              <w:pStyle w:val="TableContents"/>
              <w:spacing w:before="0" w:after="283"/>
              <w:rPr/>
            </w:pPr>
            <w:r>
              <w:rPr/>
              <w:t> </w:t>
            </w:r>
          </w:p>
        </w:tc>
      </w:tr>
      <w:tr>
        <w:trPr/>
        <w:tc>
          <w:tcPr>
            <w:tcW w:w="4577" w:type="dxa"/>
            <w:tcBorders/>
            <w:shd w:fill="auto" w:val="clear"/>
            <w:vAlign w:val="bottom"/>
          </w:tcPr>
          <w:p>
            <w:pPr>
              <w:pStyle w:val="TableContents"/>
              <w:spacing w:before="0" w:after="0"/>
              <w:ind w:left="450" w:right="0" w:hanging="225"/>
              <w:rPr/>
            </w:pPr>
            <w:r>
              <w:rPr/>
              <w:t>EZMONEY signature loan stores  free standing</w:t>
            </w:r>
          </w:p>
        </w:tc>
        <w:tc>
          <w:tcPr>
            <w:tcW w:w="33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w:t>
            </w:r>
          </w:p>
        </w:tc>
        <w:tc>
          <w:tcPr>
            <w:tcW w:w="34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263</w:t>
            </w:r>
          </w:p>
        </w:tc>
        <w:tc>
          <w:tcPr>
            <w:tcW w:w="3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263</w:t>
            </w:r>
          </w:p>
        </w:tc>
        <w:tc>
          <w:tcPr>
            <w:tcW w:w="393" w:type="dxa"/>
            <w:tcBorders/>
            <w:shd w:fill="auto" w:val="clear"/>
            <w:vAlign w:val="bottom"/>
          </w:tcPr>
          <w:p>
            <w:pPr>
              <w:pStyle w:val="TableContents"/>
              <w:spacing w:before="0" w:after="283"/>
              <w:rPr/>
            </w:pPr>
            <w:r>
              <w:rPr/>
              <w:t> </w:t>
            </w:r>
          </w:p>
        </w:tc>
      </w:tr>
      <w:tr>
        <w:trPr/>
        <w:tc>
          <w:tcPr>
            <w:tcW w:w="4577"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76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4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90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5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899"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93" w:type="dxa"/>
            <w:tcBorders/>
            <w:shd w:fill="auto" w:val="clear"/>
            <w:vAlign w:val="center"/>
          </w:tcPr>
          <w:p>
            <w:pPr>
              <w:pStyle w:val="TableContents"/>
              <w:spacing w:before="0" w:after="283"/>
              <w:rPr/>
            </w:pPr>
            <w:r>
              <w:rPr/>
              <w:t> </w:t>
            </w:r>
          </w:p>
        </w:tc>
      </w:tr>
      <w:tr>
        <w:trPr/>
        <w:tc>
          <w:tcPr>
            <w:tcW w:w="4577" w:type="dxa"/>
            <w:tcBorders/>
            <w:shd w:fill="CCEEFF" w:val="clear"/>
            <w:vAlign w:val="bottom"/>
          </w:tcPr>
          <w:p>
            <w:pPr>
              <w:pStyle w:val="TableContents"/>
              <w:spacing w:before="0" w:after="0"/>
              <w:ind w:left="450" w:right="0" w:hanging="225"/>
              <w:rPr/>
            </w:pPr>
            <w:r>
              <w:rPr/>
              <w:t>Total stores in operation</w:t>
            </w:r>
          </w:p>
        </w:tc>
        <w:tc>
          <w:tcPr>
            <w:tcW w:w="339"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304</w:t>
            </w:r>
          </w:p>
        </w:tc>
        <w:tc>
          <w:tcPr>
            <w:tcW w:w="34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427</w:t>
            </w:r>
          </w:p>
        </w:tc>
        <w:tc>
          <w:tcPr>
            <w:tcW w:w="35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731</w:t>
            </w:r>
          </w:p>
        </w:tc>
        <w:tc>
          <w:tcPr>
            <w:tcW w:w="393" w:type="dxa"/>
            <w:tcBorders/>
            <w:shd w:fill="CCEEFF" w:val="clear"/>
            <w:vAlign w:val="bottom"/>
          </w:tcPr>
          <w:p>
            <w:pPr>
              <w:pStyle w:val="TableContents"/>
              <w:spacing w:before="0" w:after="283"/>
              <w:rPr/>
            </w:pPr>
            <w:r>
              <w:rPr/>
              <w:t> </w:t>
            </w:r>
          </w:p>
        </w:tc>
      </w:tr>
      <w:tr>
        <w:trPr/>
        <w:tc>
          <w:tcPr>
            <w:tcW w:w="4577"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760"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4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905"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5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899"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93" w:type="dxa"/>
            <w:tcBorders/>
            <w:shd w:fill="auto" w:val="clear"/>
            <w:vAlign w:val="center"/>
          </w:tcPr>
          <w:p>
            <w:pPr>
              <w:pStyle w:val="TableContents"/>
              <w:spacing w:before="0" w:after="283"/>
              <w:rPr/>
            </w:pPr>
            <w:r>
              <w:rPr/>
              <w:t> </w:t>
            </w:r>
          </w:p>
        </w:tc>
      </w:tr>
      <w:tr>
        <w:trPr/>
        <w:tc>
          <w:tcPr>
            <w:tcW w:w="4577" w:type="dxa"/>
            <w:tcBorders/>
            <w:shd w:fill="auto" w:val="clear"/>
            <w:vAlign w:val="center"/>
          </w:tcPr>
          <w:p>
            <w:pPr>
              <w:pStyle w:val="TableContents"/>
              <w:spacing w:before="0" w:after="283"/>
              <w:rPr/>
            </w:pPr>
            <w:r>
              <w:rPr/>
              <w:t> </w:t>
            </w:r>
          </w:p>
        </w:tc>
        <w:tc>
          <w:tcPr>
            <w:tcW w:w="5628" w:type="dxa"/>
            <w:gridSpan w:val="12"/>
            <w:tcBorders/>
            <w:shd w:fill="auto" w:val="clear"/>
          </w:tcPr>
          <w:p>
            <w:pPr>
              <w:pStyle w:val="TableContents"/>
              <w:spacing w:before="0" w:after="283"/>
              <w:rPr>
                <w:sz w:val="4"/>
                <w:szCs w:val="4"/>
              </w:rPr>
            </w:pPr>
            <w:r>
              <w:rPr>
                <w:sz w:val="4"/>
                <w:szCs w:val="4"/>
              </w:rPr>
            </w:r>
          </w:p>
        </w:tc>
      </w:tr>
      <w:tr>
        <w:trPr/>
        <w:tc>
          <w:tcPr>
            <w:tcW w:w="4577" w:type="dxa"/>
            <w:tcBorders/>
            <w:shd w:fill="auto" w:val="clear"/>
            <w:vAlign w:val="bottom"/>
          </w:tcPr>
          <w:p>
            <w:pPr>
              <w:pStyle w:val="TableContents"/>
              <w:spacing w:before="0" w:after="0"/>
              <w:ind w:left="450" w:right="0" w:hanging="225"/>
              <w:rPr/>
            </w:pPr>
            <w:r>
              <w:rPr/>
              <w:t>Total stores offering signature loans</w:t>
            </w:r>
          </w:p>
        </w:tc>
        <w:tc>
          <w:tcPr>
            <w:tcW w:w="33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81</w:t>
            </w:r>
          </w:p>
        </w:tc>
        <w:tc>
          <w:tcPr>
            <w:tcW w:w="34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427</w:t>
            </w:r>
          </w:p>
        </w:tc>
        <w:tc>
          <w:tcPr>
            <w:tcW w:w="35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508</w:t>
            </w:r>
          </w:p>
        </w:tc>
        <w:tc>
          <w:tcPr>
            <w:tcW w:w="393"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573"/>
        <w:gridCol w:w="339"/>
        <w:gridCol w:w="279"/>
        <w:gridCol w:w="761"/>
        <w:gridCol w:w="347"/>
        <w:gridCol w:w="384"/>
        <w:gridCol w:w="297"/>
        <w:gridCol w:w="872"/>
        <w:gridCol w:w="374"/>
        <w:gridCol w:w="384"/>
        <w:gridCol w:w="300"/>
        <w:gridCol w:w="898"/>
        <w:gridCol w:w="397"/>
      </w:tblGrid>
      <w:tr>
        <w:trPr/>
        <w:tc>
          <w:tcPr>
            <w:tcW w:w="4573"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5293" w:type="dxa"/>
            <w:gridSpan w:val="11"/>
            <w:tcBorders>
              <w:bottom w:val="single" w:sz="2" w:space="0" w:color="000000"/>
            </w:tcBorders>
            <w:shd w:fill="auto" w:val="clear"/>
            <w:tcMar>
              <w:bottom w:w="28" w:type="dxa"/>
            </w:tcMar>
            <w:vAlign w:val="bottom"/>
          </w:tcPr>
          <w:p>
            <w:pPr>
              <w:pStyle w:val="TableContents"/>
              <w:spacing w:before="0" w:after="283"/>
              <w:jc w:val="center"/>
              <w:rPr/>
            </w:pPr>
            <w:r>
              <w:rPr/>
              <w:t>Year Ended September 30, 2006</w:t>
            </w:r>
          </w:p>
        </w:tc>
      </w:tr>
      <w:tr>
        <w:trPr/>
        <w:tc>
          <w:tcPr>
            <w:tcW w:w="4573"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387" w:type="dxa"/>
            <w:gridSpan w:val="3"/>
            <w:tcBorders/>
            <w:shd w:fill="auto" w:val="clear"/>
            <w:vAlign w:val="bottom"/>
          </w:tcPr>
          <w:p>
            <w:pPr>
              <w:pStyle w:val="TableContents"/>
              <w:spacing w:before="0" w:after="283"/>
              <w:jc w:val="center"/>
              <w:rPr/>
            </w:pPr>
            <w:r>
              <w:rPr/>
              <w:t>EZPAWN</w:t>
            </w:r>
          </w:p>
        </w:tc>
        <w:tc>
          <w:tcPr>
            <w:tcW w:w="384" w:type="dxa"/>
            <w:tcBorders/>
            <w:shd w:fill="auto" w:val="clear"/>
            <w:vAlign w:val="bottom"/>
          </w:tcPr>
          <w:p>
            <w:pPr>
              <w:pStyle w:val="TableContents"/>
              <w:spacing w:before="0" w:after="283"/>
              <w:rPr/>
            </w:pPr>
            <w:r>
              <w:rPr/>
              <w:t> </w:t>
            </w:r>
          </w:p>
        </w:tc>
        <w:tc>
          <w:tcPr>
            <w:tcW w:w="1543" w:type="dxa"/>
            <w:gridSpan w:val="3"/>
            <w:tcBorders/>
            <w:shd w:fill="auto" w:val="clear"/>
            <w:vAlign w:val="bottom"/>
          </w:tcPr>
          <w:p>
            <w:pPr>
              <w:pStyle w:val="TableContents"/>
              <w:spacing w:before="0" w:after="283"/>
              <w:jc w:val="center"/>
              <w:rPr/>
            </w:pPr>
            <w:r>
              <w:rPr/>
              <w:t>EZMONEY</w:t>
            </w:r>
          </w:p>
        </w:tc>
        <w:tc>
          <w:tcPr>
            <w:tcW w:w="384" w:type="dxa"/>
            <w:tcBorders/>
            <w:shd w:fill="auto" w:val="clear"/>
            <w:vAlign w:val="bottom"/>
          </w:tcPr>
          <w:p>
            <w:pPr>
              <w:pStyle w:val="TableContents"/>
              <w:spacing w:before="0" w:after="283"/>
              <w:rPr/>
            </w:pPr>
            <w:r>
              <w:rPr/>
              <w:t> </w:t>
            </w:r>
          </w:p>
        </w:tc>
        <w:tc>
          <w:tcPr>
            <w:tcW w:w="1595" w:type="dxa"/>
            <w:gridSpan w:val="3"/>
            <w:tcBorders/>
            <w:shd w:fill="auto" w:val="clear"/>
            <w:vAlign w:val="bottom"/>
          </w:tcPr>
          <w:p>
            <w:pPr>
              <w:pStyle w:val="TableContents"/>
              <w:spacing w:before="0" w:after="283"/>
              <w:jc w:val="center"/>
              <w:rPr/>
            </w:pPr>
            <w:r>
              <w:rPr/>
              <w:t> </w:t>
            </w:r>
          </w:p>
        </w:tc>
      </w:tr>
      <w:tr>
        <w:trPr/>
        <w:tc>
          <w:tcPr>
            <w:tcW w:w="4573"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387" w:type="dxa"/>
            <w:gridSpan w:val="3"/>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384" w:type="dxa"/>
            <w:tcBorders/>
            <w:shd w:fill="auto" w:val="clear"/>
            <w:vAlign w:val="bottom"/>
          </w:tcPr>
          <w:p>
            <w:pPr>
              <w:pStyle w:val="TableContents"/>
              <w:spacing w:before="0" w:after="283"/>
              <w:rPr/>
            </w:pPr>
            <w:r>
              <w:rPr/>
              <w:t> </w:t>
            </w:r>
          </w:p>
        </w:tc>
        <w:tc>
          <w:tcPr>
            <w:tcW w:w="1543" w:type="dxa"/>
            <w:gridSpan w:val="3"/>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384" w:type="dxa"/>
            <w:tcBorders/>
            <w:shd w:fill="auto" w:val="clear"/>
            <w:vAlign w:val="bottom"/>
          </w:tcPr>
          <w:p>
            <w:pPr>
              <w:pStyle w:val="TableContents"/>
              <w:spacing w:before="0" w:after="283"/>
              <w:rPr/>
            </w:pPr>
            <w:r>
              <w:rPr/>
              <w:t> </w:t>
            </w:r>
          </w:p>
        </w:tc>
        <w:tc>
          <w:tcPr>
            <w:tcW w:w="1595" w:type="dxa"/>
            <w:gridSpan w:val="3"/>
            <w:tcBorders>
              <w:bottom w:val="single" w:sz="2" w:space="0" w:color="000000"/>
            </w:tcBorders>
            <w:shd w:fill="auto" w:val="clear"/>
            <w:tcMar>
              <w:bottom w:w="28" w:type="dxa"/>
            </w:tcMar>
            <w:vAlign w:val="bottom"/>
          </w:tcPr>
          <w:p>
            <w:pPr>
              <w:pStyle w:val="TableContents"/>
              <w:spacing w:before="0" w:after="283"/>
              <w:jc w:val="center"/>
              <w:rPr/>
            </w:pPr>
            <w:r>
              <w:rPr/>
              <w:t>Consolidated</w:t>
            </w:r>
          </w:p>
        </w:tc>
      </w:tr>
      <w:tr>
        <w:trPr/>
        <w:tc>
          <w:tcPr>
            <w:tcW w:w="4573" w:type="dxa"/>
            <w:tcBorders/>
            <w:shd w:fill="CCEEFF" w:val="clear"/>
            <w:vAlign w:val="bottom"/>
          </w:tcPr>
          <w:p>
            <w:pPr>
              <w:pStyle w:val="TableContents"/>
              <w:spacing w:before="0" w:after="0"/>
              <w:ind w:left="225" w:right="0" w:hanging="225"/>
              <w:rPr/>
            </w:pPr>
            <w:r>
              <w:rPr/>
              <w:t>Stores in operation:</w:t>
            </w:r>
          </w:p>
        </w:tc>
        <w:tc>
          <w:tcPr>
            <w:tcW w:w="339"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0"/>
              <w:ind w:left="450" w:right="0" w:hanging="225"/>
              <w:rPr/>
            </w:pPr>
            <w:r>
              <w:rPr/>
              <w:t>Beginning of period</w:t>
            </w:r>
          </w:p>
        </w:tc>
        <w:tc>
          <w:tcPr>
            <w:tcW w:w="3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286</w:t>
            </w:r>
          </w:p>
        </w:tc>
        <w:tc>
          <w:tcPr>
            <w:tcW w:w="347"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228</w:t>
            </w:r>
          </w:p>
        </w:tc>
        <w:tc>
          <w:tcPr>
            <w:tcW w:w="37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514</w:t>
            </w:r>
          </w:p>
        </w:tc>
        <w:tc>
          <w:tcPr>
            <w:tcW w:w="397" w:type="dxa"/>
            <w:tcBorders/>
            <w:shd w:fill="auto" w:val="clear"/>
            <w:vAlign w:val="bottom"/>
          </w:tcPr>
          <w:p>
            <w:pPr>
              <w:pStyle w:val="TableContents"/>
              <w:spacing w:before="0" w:after="283"/>
              <w:rPr/>
            </w:pPr>
            <w:r>
              <w:rPr/>
              <w:t> </w:t>
            </w:r>
          </w:p>
        </w:tc>
      </w:tr>
      <w:tr>
        <w:trPr/>
        <w:tc>
          <w:tcPr>
            <w:tcW w:w="4573" w:type="dxa"/>
            <w:tcBorders/>
            <w:shd w:fill="CCEEFF" w:val="clear"/>
            <w:vAlign w:val="bottom"/>
          </w:tcPr>
          <w:p>
            <w:pPr>
              <w:pStyle w:val="TableContents"/>
              <w:spacing w:before="0" w:after="0"/>
              <w:ind w:left="450" w:right="0" w:hanging="225"/>
              <w:rPr/>
            </w:pPr>
            <w:r>
              <w:rPr/>
              <w:t>New openings</w:t>
            </w:r>
          </w:p>
        </w:tc>
        <w:tc>
          <w:tcPr>
            <w:tcW w:w="339"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w:t>
            </w:r>
          </w:p>
        </w:tc>
        <w:tc>
          <w:tcPr>
            <w:tcW w:w="347"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101</w:t>
            </w:r>
          </w:p>
        </w:tc>
        <w:tc>
          <w:tcPr>
            <w:tcW w:w="374"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101</w:t>
            </w:r>
          </w:p>
        </w:tc>
        <w:tc>
          <w:tcPr>
            <w:tcW w:w="397" w:type="dxa"/>
            <w:tcBorders/>
            <w:shd w:fill="CCEEFF"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0"/>
              <w:ind w:left="450" w:right="0" w:hanging="225"/>
              <w:rPr/>
            </w:pPr>
            <w:r>
              <w:rPr/>
              <w:t>Acquired</w:t>
            </w:r>
          </w:p>
        </w:tc>
        <w:tc>
          <w:tcPr>
            <w:tcW w:w="3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3</w:t>
            </w:r>
          </w:p>
        </w:tc>
        <w:tc>
          <w:tcPr>
            <w:tcW w:w="347"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w:t>
            </w:r>
          </w:p>
        </w:tc>
        <w:tc>
          <w:tcPr>
            <w:tcW w:w="37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3</w:t>
            </w:r>
          </w:p>
        </w:tc>
        <w:tc>
          <w:tcPr>
            <w:tcW w:w="397" w:type="dxa"/>
            <w:tcBorders/>
            <w:shd w:fill="auto" w:val="clear"/>
            <w:vAlign w:val="bottom"/>
          </w:tcPr>
          <w:p>
            <w:pPr>
              <w:pStyle w:val="TableContents"/>
              <w:spacing w:before="0" w:after="283"/>
              <w:rPr/>
            </w:pPr>
            <w:r>
              <w:rPr/>
              <w:t> </w:t>
            </w:r>
          </w:p>
        </w:tc>
      </w:tr>
      <w:tr>
        <w:trPr/>
        <w:tc>
          <w:tcPr>
            <w:tcW w:w="4573" w:type="dxa"/>
            <w:tcBorders/>
            <w:shd w:fill="CCEEFF" w:val="clear"/>
            <w:vAlign w:val="bottom"/>
          </w:tcPr>
          <w:p>
            <w:pPr>
              <w:pStyle w:val="TableContents"/>
              <w:spacing w:before="0" w:after="0"/>
              <w:ind w:left="450" w:right="0" w:hanging="225"/>
              <w:rPr/>
            </w:pPr>
            <w:r>
              <w:rPr/>
              <w:t>Sold, combined, or closed</w:t>
            </w:r>
          </w:p>
        </w:tc>
        <w:tc>
          <w:tcPr>
            <w:tcW w:w="339"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 </w:t>
            </w:r>
          </w:p>
        </w:tc>
        <w:tc>
          <w:tcPr>
            <w:tcW w:w="761" w:type="dxa"/>
            <w:tcBorders/>
            <w:shd w:fill="CCEEFF" w:val="clear"/>
            <w:vAlign w:val="bottom"/>
          </w:tcPr>
          <w:p>
            <w:pPr>
              <w:pStyle w:val="TableContents"/>
              <w:spacing w:before="0" w:after="283"/>
              <w:jc w:val="right"/>
              <w:rPr/>
            </w:pPr>
            <w:r>
              <w:rPr/>
              <w:t>(3</w:t>
            </w:r>
          </w:p>
        </w:tc>
        <w:tc>
          <w:tcPr>
            <w:tcW w:w="347" w:type="dxa"/>
            <w:tcBorders/>
            <w:shd w:fill="CCEEFF" w:val="clear"/>
            <w:vAlign w:val="bottom"/>
          </w:tcPr>
          <w:p>
            <w:pPr>
              <w:pStyle w:val="TableContents"/>
              <w:spacing w:before="0" w:after="283"/>
              <w:rPr/>
            </w:pPr>
            <w:r>
              <w:rPr/>
              <w:t>)</w:t>
            </w:r>
          </w:p>
        </w:tc>
        <w:tc>
          <w:tcPr>
            <w:tcW w:w="38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right"/>
              <w:rPr/>
            </w:pPr>
            <w:r>
              <w:rPr/>
              <w:t> </w:t>
            </w:r>
          </w:p>
        </w:tc>
        <w:tc>
          <w:tcPr>
            <w:tcW w:w="872" w:type="dxa"/>
            <w:tcBorders/>
            <w:shd w:fill="CCEEFF" w:val="clear"/>
            <w:vAlign w:val="bottom"/>
          </w:tcPr>
          <w:p>
            <w:pPr>
              <w:pStyle w:val="TableContents"/>
              <w:spacing w:before="0" w:after="283"/>
              <w:jc w:val="right"/>
              <w:rPr/>
            </w:pPr>
            <w:r>
              <w:rPr/>
              <w:t>(1</w:t>
            </w:r>
          </w:p>
        </w:tc>
        <w:tc>
          <w:tcPr>
            <w:tcW w:w="374" w:type="dxa"/>
            <w:tcBorders/>
            <w:shd w:fill="CCEEFF" w:val="clear"/>
            <w:vAlign w:val="bottom"/>
          </w:tcPr>
          <w:p>
            <w:pPr>
              <w:pStyle w:val="TableContents"/>
              <w:spacing w:before="0" w:after="283"/>
              <w:rPr/>
            </w:pPr>
            <w:r>
              <w:rPr/>
              <w:t>)</w:t>
            </w:r>
          </w:p>
        </w:tc>
        <w:tc>
          <w:tcPr>
            <w:tcW w:w="384"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right"/>
              <w:rPr/>
            </w:pPr>
            <w:r>
              <w:rPr/>
              <w:t> </w:t>
            </w:r>
          </w:p>
        </w:tc>
        <w:tc>
          <w:tcPr>
            <w:tcW w:w="898" w:type="dxa"/>
            <w:tcBorders/>
            <w:shd w:fill="CCEEFF" w:val="clear"/>
            <w:vAlign w:val="bottom"/>
          </w:tcPr>
          <w:p>
            <w:pPr>
              <w:pStyle w:val="TableContents"/>
              <w:spacing w:before="0" w:after="283"/>
              <w:jc w:val="right"/>
              <w:rPr/>
            </w:pPr>
            <w:r>
              <w:rPr/>
              <w:t>(4</w:t>
            </w:r>
          </w:p>
        </w:tc>
        <w:tc>
          <w:tcPr>
            <w:tcW w:w="397" w:type="dxa"/>
            <w:tcBorders/>
            <w:shd w:fill="CCEEFF" w:val="clear"/>
            <w:vAlign w:val="bottom"/>
          </w:tcPr>
          <w:p>
            <w:pPr>
              <w:pStyle w:val="TableContents"/>
              <w:spacing w:before="0" w:after="283"/>
              <w:rPr/>
            </w:pPr>
            <w:r>
              <w:rPr/>
              <w:t>)</w:t>
            </w:r>
          </w:p>
        </w:tc>
      </w:tr>
      <w:tr>
        <w:trPr/>
        <w:tc>
          <w:tcPr>
            <w:tcW w:w="4573"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761"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47"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872"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74"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898"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97" w:type="dxa"/>
            <w:tcBorders/>
            <w:shd w:fill="auto" w:val="clear"/>
            <w:vAlign w:val="center"/>
          </w:tcPr>
          <w:p>
            <w:pPr>
              <w:pStyle w:val="TableContents"/>
              <w:spacing w:before="0" w:after="283"/>
              <w:rPr/>
            </w:pPr>
            <w:r>
              <w:rPr/>
              <w:t> </w:t>
            </w:r>
          </w:p>
        </w:tc>
      </w:tr>
      <w:tr>
        <w:trPr/>
        <w:tc>
          <w:tcPr>
            <w:tcW w:w="4573" w:type="dxa"/>
            <w:tcBorders/>
            <w:shd w:fill="auto" w:val="clear"/>
            <w:vAlign w:val="bottom"/>
          </w:tcPr>
          <w:p>
            <w:pPr>
              <w:pStyle w:val="TableContents"/>
              <w:spacing w:before="0" w:after="0"/>
              <w:ind w:left="450" w:right="0" w:hanging="225"/>
              <w:rPr/>
            </w:pPr>
            <w:r>
              <w:rPr/>
              <w:t>End of period</w:t>
            </w:r>
          </w:p>
        </w:tc>
        <w:tc>
          <w:tcPr>
            <w:tcW w:w="3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286</w:t>
            </w:r>
          </w:p>
        </w:tc>
        <w:tc>
          <w:tcPr>
            <w:tcW w:w="347"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328</w:t>
            </w:r>
          </w:p>
        </w:tc>
        <w:tc>
          <w:tcPr>
            <w:tcW w:w="37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614</w:t>
            </w:r>
          </w:p>
        </w:tc>
        <w:tc>
          <w:tcPr>
            <w:tcW w:w="397" w:type="dxa"/>
            <w:tcBorders/>
            <w:shd w:fill="auto" w:val="clear"/>
            <w:vAlign w:val="bottom"/>
          </w:tcPr>
          <w:p>
            <w:pPr>
              <w:pStyle w:val="TableContents"/>
              <w:spacing w:before="0" w:after="283"/>
              <w:rPr/>
            </w:pPr>
            <w:r>
              <w:rPr/>
              <w:t> </w:t>
            </w:r>
          </w:p>
        </w:tc>
      </w:tr>
      <w:tr>
        <w:trPr/>
        <w:tc>
          <w:tcPr>
            <w:tcW w:w="4573"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761"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47"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872"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74"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898"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97" w:type="dxa"/>
            <w:tcBorders/>
            <w:shd w:fill="auto" w:val="clear"/>
            <w:vAlign w:val="center"/>
          </w:tcPr>
          <w:p>
            <w:pPr>
              <w:pStyle w:val="TableContents"/>
              <w:spacing w:before="0" w:after="283"/>
              <w:rPr/>
            </w:pPr>
            <w:r>
              <w:rPr/>
              <w:t> </w:t>
            </w:r>
          </w:p>
        </w:tc>
      </w:tr>
      <w:tr>
        <w:trPr/>
        <w:tc>
          <w:tcPr>
            <w:tcW w:w="4573"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r>
      <w:tr>
        <w:trPr/>
        <w:tc>
          <w:tcPr>
            <w:tcW w:w="4573" w:type="dxa"/>
            <w:tcBorders/>
            <w:shd w:fill="CCEEFF" w:val="clear"/>
            <w:vAlign w:val="bottom"/>
          </w:tcPr>
          <w:p>
            <w:pPr>
              <w:pStyle w:val="TableContents"/>
              <w:spacing w:before="0" w:after="0"/>
              <w:ind w:left="225" w:right="0" w:hanging="225"/>
              <w:rPr/>
            </w:pPr>
            <w:r>
              <w:rPr/>
              <w:t>Average number of stores during the period</w:t>
            </w:r>
          </w:p>
        </w:tc>
        <w:tc>
          <w:tcPr>
            <w:tcW w:w="339"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286</w:t>
            </w:r>
          </w:p>
        </w:tc>
        <w:tc>
          <w:tcPr>
            <w:tcW w:w="347"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259</w:t>
            </w:r>
          </w:p>
        </w:tc>
        <w:tc>
          <w:tcPr>
            <w:tcW w:w="374"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545</w:t>
            </w:r>
          </w:p>
        </w:tc>
        <w:tc>
          <w:tcPr>
            <w:tcW w:w="397" w:type="dxa"/>
            <w:tcBorders/>
            <w:shd w:fill="CCEEFF"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0"/>
              <w:ind w:left="225" w:right="0" w:hanging="225"/>
              <w:rPr/>
            </w:pPr>
            <w:r>
              <w:rPr/>
              <w:t>Composition of ending stores:</w:t>
            </w:r>
          </w:p>
        </w:tc>
        <w:tc>
          <w:tcPr>
            <w:tcW w:w="3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r>
      <w:tr>
        <w:trPr/>
        <w:tc>
          <w:tcPr>
            <w:tcW w:w="4573" w:type="dxa"/>
            <w:tcBorders/>
            <w:shd w:fill="CCEEFF" w:val="clear"/>
            <w:vAlign w:val="bottom"/>
          </w:tcPr>
          <w:p>
            <w:pPr>
              <w:pStyle w:val="TableContents"/>
              <w:spacing w:before="0" w:after="0"/>
              <w:ind w:left="450" w:right="0" w:hanging="225"/>
              <w:rPr/>
            </w:pPr>
            <w:r>
              <w:rPr/>
              <w:t>EZPAWN  United States</w:t>
            </w:r>
          </w:p>
        </w:tc>
        <w:tc>
          <w:tcPr>
            <w:tcW w:w="339"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280</w:t>
            </w:r>
          </w:p>
        </w:tc>
        <w:tc>
          <w:tcPr>
            <w:tcW w:w="347"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w:t>
            </w:r>
          </w:p>
        </w:tc>
        <w:tc>
          <w:tcPr>
            <w:tcW w:w="374"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280</w:t>
            </w:r>
          </w:p>
        </w:tc>
        <w:tc>
          <w:tcPr>
            <w:tcW w:w="397" w:type="dxa"/>
            <w:tcBorders/>
            <w:shd w:fill="CCEEFF"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0"/>
              <w:ind w:left="450" w:right="0" w:hanging="225"/>
              <w:rPr/>
            </w:pPr>
            <w:r>
              <w:rPr/>
              <w:t>EZMONEY signature loan stores adjoining EZPAWNs</w:t>
            </w:r>
          </w:p>
        </w:tc>
        <w:tc>
          <w:tcPr>
            <w:tcW w:w="3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6</w:t>
            </w:r>
          </w:p>
        </w:tc>
        <w:tc>
          <w:tcPr>
            <w:tcW w:w="347"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159</w:t>
            </w:r>
          </w:p>
        </w:tc>
        <w:tc>
          <w:tcPr>
            <w:tcW w:w="37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165</w:t>
            </w:r>
          </w:p>
        </w:tc>
        <w:tc>
          <w:tcPr>
            <w:tcW w:w="397" w:type="dxa"/>
            <w:tcBorders/>
            <w:shd w:fill="auto" w:val="clear"/>
            <w:vAlign w:val="bottom"/>
          </w:tcPr>
          <w:p>
            <w:pPr>
              <w:pStyle w:val="TableContents"/>
              <w:spacing w:before="0" w:after="283"/>
              <w:rPr/>
            </w:pPr>
            <w:r>
              <w:rPr/>
              <w:t> </w:t>
            </w:r>
          </w:p>
        </w:tc>
      </w:tr>
      <w:tr>
        <w:trPr/>
        <w:tc>
          <w:tcPr>
            <w:tcW w:w="4573" w:type="dxa"/>
            <w:tcBorders/>
            <w:shd w:fill="CCEEFF" w:val="clear"/>
            <w:vAlign w:val="bottom"/>
          </w:tcPr>
          <w:p>
            <w:pPr>
              <w:pStyle w:val="TableContents"/>
              <w:spacing w:before="0" w:after="0"/>
              <w:ind w:left="450" w:right="0" w:hanging="225"/>
              <w:rPr/>
            </w:pPr>
            <w:r>
              <w:rPr/>
              <w:t>EZMONEY signature loan stores  free standing</w:t>
            </w:r>
          </w:p>
        </w:tc>
        <w:tc>
          <w:tcPr>
            <w:tcW w:w="339"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w:t>
            </w:r>
          </w:p>
        </w:tc>
        <w:tc>
          <w:tcPr>
            <w:tcW w:w="347"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169</w:t>
            </w:r>
          </w:p>
        </w:tc>
        <w:tc>
          <w:tcPr>
            <w:tcW w:w="374"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169</w:t>
            </w:r>
          </w:p>
        </w:tc>
        <w:tc>
          <w:tcPr>
            <w:tcW w:w="397" w:type="dxa"/>
            <w:tcBorders/>
            <w:shd w:fill="CCEEFF" w:val="clear"/>
            <w:vAlign w:val="bottom"/>
          </w:tcPr>
          <w:p>
            <w:pPr>
              <w:pStyle w:val="TableContents"/>
              <w:spacing w:before="0" w:after="283"/>
              <w:rPr/>
            </w:pPr>
            <w:r>
              <w:rPr/>
              <w:t> </w:t>
            </w:r>
          </w:p>
        </w:tc>
      </w:tr>
      <w:tr>
        <w:trPr/>
        <w:tc>
          <w:tcPr>
            <w:tcW w:w="4573"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761"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47"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872"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74"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898"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97" w:type="dxa"/>
            <w:tcBorders/>
            <w:shd w:fill="auto" w:val="clear"/>
            <w:vAlign w:val="center"/>
          </w:tcPr>
          <w:p>
            <w:pPr>
              <w:pStyle w:val="TableContents"/>
              <w:spacing w:before="0" w:after="283"/>
              <w:rPr/>
            </w:pPr>
            <w:r>
              <w:rPr/>
              <w:t> </w:t>
            </w:r>
          </w:p>
        </w:tc>
      </w:tr>
      <w:tr>
        <w:trPr/>
        <w:tc>
          <w:tcPr>
            <w:tcW w:w="4573" w:type="dxa"/>
            <w:tcBorders/>
            <w:shd w:fill="auto" w:val="clear"/>
            <w:vAlign w:val="bottom"/>
          </w:tcPr>
          <w:p>
            <w:pPr>
              <w:pStyle w:val="TableContents"/>
              <w:spacing w:before="0" w:after="0"/>
              <w:ind w:left="450" w:right="0" w:hanging="225"/>
              <w:rPr/>
            </w:pPr>
            <w:r>
              <w:rPr/>
              <w:t>Total stores in operation</w:t>
            </w:r>
          </w:p>
        </w:tc>
        <w:tc>
          <w:tcPr>
            <w:tcW w:w="339"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286</w:t>
            </w:r>
          </w:p>
        </w:tc>
        <w:tc>
          <w:tcPr>
            <w:tcW w:w="347"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328</w:t>
            </w:r>
          </w:p>
        </w:tc>
        <w:tc>
          <w:tcPr>
            <w:tcW w:w="37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614</w:t>
            </w:r>
          </w:p>
        </w:tc>
        <w:tc>
          <w:tcPr>
            <w:tcW w:w="397" w:type="dxa"/>
            <w:tcBorders/>
            <w:shd w:fill="auto" w:val="clear"/>
            <w:vAlign w:val="bottom"/>
          </w:tcPr>
          <w:p>
            <w:pPr>
              <w:pStyle w:val="TableContents"/>
              <w:spacing w:before="0" w:after="283"/>
              <w:rPr/>
            </w:pPr>
            <w:r>
              <w:rPr/>
              <w:t> </w:t>
            </w:r>
          </w:p>
        </w:tc>
      </w:tr>
      <w:tr>
        <w:trPr/>
        <w:tc>
          <w:tcPr>
            <w:tcW w:w="4573"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761"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47"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872"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74"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898"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97" w:type="dxa"/>
            <w:tcBorders/>
            <w:shd w:fill="auto" w:val="clear"/>
            <w:vAlign w:val="center"/>
          </w:tcPr>
          <w:p>
            <w:pPr>
              <w:pStyle w:val="TableContents"/>
              <w:spacing w:before="0" w:after="283"/>
              <w:rPr/>
            </w:pPr>
            <w:r>
              <w:rPr/>
              <w:t> </w:t>
            </w:r>
          </w:p>
        </w:tc>
      </w:tr>
      <w:tr>
        <w:trPr/>
        <w:tc>
          <w:tcPr>
            <w:tcW w:w="4573" w:type="dxa"/>
            <w:tcBorders/>
            <w:shd w:fill="auto" w:val="clear"/>
            <w:vAlign w:val="center"/>
          </w:tcPr>
          <w:p>
            <w:pPr>
              <w:pStyle w:val="TableContents"/>
              <w:spacing w:before="0" w:after="283"/>
              <w:rPr/>
            </w:pPr>
            <w:r>
              <w:rPr/>
              <w:t> </w:t>
            </w:r>
          </w:p>
        </w:tc>
        <w:tc>
          <w:tcPr>
            <w:tcW w:w="5632" w:type="dxa"/>
            <w:gridSpan w:val="12"/>
            <w:tcBorders/>
            <w:shd w:fill="auto" w:val="clear"/>
          </w:tcPr>
          <w:p>
            <w:pPr>
              <w:pStyle w:val="TableContents"/>
              <w:spacing w:before="0" w:after="283"/>
              <w:rPr>
                <w:sz w:val="4"/>
                <w:szCs w:val="4"/>
              </w:rPr>
            </w:pPr>
            <w:r>
              <w:rPr>
                <w:sz w:val="4"/>
                <w:szCs w:val="4"/>
              </w:rPr>
            </w:r>
          </w:p>
        </w:tc>
      </w:tr>
      <w:tr>
        <w:trPr/>
        <w:tc>
          <w:tcPr>
            <w:tcW w:w="4573" w:type="dxa"/>
            <w:tcBorders/>
            <w:shd w:fill="CCEEFF" w:val="clear"/>
            <w:vAlign w:val="bottom"/>
          </w:tcPr>
          <w:p>
            <w:pPr>
              <w:pStyle w:val="TableContents"/>
              <w:spacing w:before="0" w:after="0"/>
              <w:ind w:left="450" w:right="0" w:hanging="225"/>
              <w:rPr/>
            </w:pPr>
            <w:r>
              <w:rPr/>
              <w:t>Total stores offering signature loans</w:t>
            </w:r>
          </w:p>
        </w:tc>
        <w:tc>
          <w:tcPr>
            <w:tcW w:w="339"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88</w:t>
            </w:r>
          </w:p>
        </w:tc>
        <w:tc>
          <w:tcPr>
            <w:tcW w:w="347"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328</w:t>
            </w:r>
          </w:p>
        </w:tc>
        <w:tc>
          <w:tcPr>
            <w:tcW w:w="374"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416</w:t>
            </w:r>
          </w:p>
        </w:tc>
        <w:tc>
          <w:tcPr>
            <w:tcW w:w="397" w:type="dxa"/>
            <w:tcBorders/>
            <w:shd w:fill="CCEEFF" w:val="clear"/>
            <w:vAlign w:val="bottom"/>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4570"/>
        <w:gridCol w:w="339"/>
        <w:gridCol w:w="287"/>
        <w:gridCol w:w="811"/>
        <w:gridCol w:w="290"/>
        <w:gridCol w:w="386"/>
        <w:gridCol w:w="296"/>
        <w:gridCol w:w="872"/>
        <w:gridCol w:w="374"/>
        <w:gridCol w:w="386"/>
        <w:gridCol w:w="300"/>
        <w:gridCol w:w="895"/>
        <w:gridCol w:w="399"/>
      </w:tblGrid>
      <w:tr>
        <w:trPr/>
        <w:tc>
          <w:tcPr>
            <w:tcW w:w="457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r>
      <w:tr>
        <w:trPr/>
        <w:tc>
          <w:tcPr>
            <w:tcW w:w="457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5296" w:type="dxa"/>
            <w:gridSpan w:val="11"/>
            <w:tcBorders>
              <w:bottom w:val="single" w:sz="2" w:space="0" w:color="000000"/>
            </w:tcBorders>
            <w:shd w:fill="auto" w:val="clear"/>
            <w:tcMar>
              <w:bottom w:w="28" w:type="dxa"/>
            </w:tcMar>
            <w:vAlign w:val="bottom"/>
          </w:tcPr>
          <w:p>
            <w:pPr>
              <w:pStyle w:val="TableContents"/>
              <w:spacing w:before="0" w:after="283"/>
              <w:jc w:val="center"/>
              <w:rPr/>
            </w:pPr>
            <w:r>
              <w:rPr/>
              <w:t>Year Ended September 30, 2005</w:t>
            </w:r>
          </w:p>
        </w:tc>
      </w:tr>
      <w:tr>
        <w:trPr/>
        <w:tc>
          <w:tcPr>
            <w:tcW w:w="457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388" w:type="dxa"/>
            <w:gridSpan w:val="3"/>
            <w:tcBorders/>
            <w:shd w:fill="auto" w:val="clear"/>
            <w:vAlign w:val="bottom"/>
          </w:tcPr>
          <w:p>
            <w:pPr>
              <w:pStyle w:val="TableContents"/>
              <w:spacing w:before="0" w:after="283"/>
              <w:jc w:val="center"/>
              <w:rPr/>
            </w:pPr>
            <w:r>
              <w:rPr/>
              <w:t>EZPAWN</w:t>
            </w:r>
          </w:p>
        </w:tc>
        <w:tc>
          <w:tcPr>
            <w:tcW w:w="386" w:type="dxa"/>
            <w:tcBorders/>
            <w:shd w:fill="auto" w:val="clear"/>
            <w:vAlign w:val="bottom"/>
          </w:tcPr>
          <w:p>
            <w:pPr>
              <w:pStyle w:val="TableContents"/>
              <w:spacing w:before="0" w:after="283"/>
              <w:rPr/>
            </w:pPr>
            <w:r>
              <w:rPr/>
              <w:t> </w:t>
            </w:r>
          </w:p>
        </w:tc>
        <w:tc>
          <w:tcPr>
            <w:tcW w:w="1542" w:type="dxa"/>
            <w:gridSpan w:val="3"/>
            <w:tcBorders/>
            <w:shd w:fill="auto" w:val="clear"/>
            <w:vAlign w:val="bottom"/>
          </w:tcPr>
          <w:p>
            <w:pPr>
              <w:pStyle w:val="TableContents"/>
              <w:spacing w:before="0" w:after="283"/>
              <w:jc w:val="center"/>
              <w:rPr/>
            </w:pPr>
            <w:r>
              <w:rPr/>
              <w:t>EZMONEY</w:t>
            </w:r>
          </w:p>
        </w:tc>
        <w:tc>
          <w:tcPr>
            <w:tcW w:w="386" w:type="dxa"/>
            <w:tcBorders/>
            <w:shd w:fill="auto" w:val="clear"/>
            <w:vAlign w:val="bottom"/>
          </w:tcPr>
          <w:p>
            <w:pPr>
              <w:pStyle w:val="TableContents"/>
              <w:spacing w:before="0" w:after="283"/>
              <w:rPr/>
            </w:pPr>
            <w:r>
              <w:rPr/>
              <w:t> </w:t>
            </w:r>
          </w:p>
        </w:tc>
        <w:tc>
          <w:tcPr>
            <w:tcW w:w="1594" w:type="dxa"/>
            <w:gridSpan w:val="3"/>
            <w:tcBorders/>
            <w:shd w:fill="auto" w:val="clear"/>
            <w:vAlign w:val="bottom"/>
          </w:tcPr>
          <w:p>
            <w:pPr>
              <w:pStyle w:val="TableContents"/>
              <w:spacing w:before="0" w:after="283"/>
              <w:jc w:val="center"/>
              <w:rPr/>
            </w:pPr>
            <w:r>
              <w:rPr/>
              <w:t> </w:t>
            </w:r>
          </w:p>
        </w:tc>
      </w:tr>
      <w:tr>
        <w:trPr/>
        <w:tc>
          <w:tcPr>
            <w:tcW w:w="457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388" w:type="dxa"/>
            <w:gridSpan w:val="3"/>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386" w:type="dxa"/>
            <w:tcBorders/>
            <w:shd w:fill="auto" w:val="clear"/>
            <w:vAlign w:val="bottom"/>
          </w:tcPr>
          <w:p>
            <w:pPr>
              <w:pStyle w:val="TableContents"/>
              <w:spacing w:before="0" w:after="283"/>
              <w:rPr/>
            </w:pPr>
            <w:r>
              <w:rPr/>
              <w:t> </w:t>
            </w:r>
          </w:p>
        </w:tc>
        <w:tc>
          <w:tcPr>
            <w:tcW w:w="1542" w:type="dxa"/>
            <w:gridSpan w:val="3"/>
            <w:tcBorders>
              <w:bottom w:val="single" w:sz="2" w:space="0" w:color="000000"/>
            </w:tcBorders>
            <w:shd w:fill="auto" w:val="clear"/>
            <w:tcMar>
              <w:bottom w:w="28" w:type="dxa"/>
            </w:tcMar>
            <w:vAlign w:val="bottom"/>
          </w:tcPr>
          <w:p>
            <w:pPr>
              <w:pStyle w:val="TableContents"/>
              <w:spacing w:before="0" w:after="283"/>
              <w:jc w:val="center"/>
              <w:rPr/>
            </w:pPr>
            <w:r>
              <w:rPr/>
              <w:t>Operations</w:t>
            </w:r>
          </w:p>
        </w:tc>
        <w:tc>
          <w:tcPr>
            <w:tcW w:w="386" w:type="dxa"/>
            <w:tcBorders/>
            <w:shd w:fill="auto" w:val="clear"/>
            <w:vAlign w:val="bottom"/>
          </w:tcPr>
          <w:p>
            <w:pPr>
              <w:pStyle w:val="TableContents"/>
              <w:spacing w:before="0" w:after="283"/>
              <w:rPr/>
            </w:pPr>
            <w:r>
              <w:rPr/>
              <w:t> </w:t>
            </w:r>
          </w:p>
        </w:tc>
        <w:tc>
          <w:tcPr>
            <w:tcW w:w="1594" w:type="dxa"/>
            <w:gridSpan w:val="3"/>
            <w:tcBorders>
              <w:bottom w:val="single" w:sz="2" w:space="0" w:color="000000"/>
            </w:tcBorders>
            <w:shd w:fill="auto" w:val="clear"/>
            <w:tcMar>
              <w:bottom w:w="28" w:type="dxa"/>
            </w:tcMar>
            <w:vAlign w:val="bottom"/>
          </w:tcPr>
          <w:p>
            <w:pPr>
              <w:pStyle w:val="TableContents"/>
              <w:spacing w:before="0" w:after="283"/>
              <w:jc w:val="center"/>
              <w:rPr/>
            </w:pPr>
            <w:r>
              <w:rPr/>
              <w:t>Consolidated</w:t>
            </w:r>
          </w:p>
        </w:tc>
      </w:tr>
      <w:tr>
        <w:trPr/>
        <w:tc>
          <w:tcPr>
            <w:tcW w:w="4570" w:type="dxa"/>
            <w:tcBorders/>
            <w:shd w:fill="CCEEFF" w:val="clear"/>
            <w:vAlign w:val="bottom"/>
          </w:tcPr>
          <w:p>
            <w:pPr>
              <w:pStyle w:val="TableContents"/>
              <w:spacing w:before="0" w:after="0"/>
              <w:ind w:left="225" w:right="0" w:hanging="225"/>
              <w:rPr/>
            </w:pPr>
            <w:r>
              <w:rPr/>
              <w:t>Stores in operation:</w:t>
            </w:r>
          </w:p>
        </w:tc>
        <w:tc>
          <w:tcPr>
            <w:tcW w:w="33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r>
      <w:tr>
        <w:trPr/>
        <w:tc>
          <w:tcPr>
            <w:tcW w:w="4570" w:type="dxa"/>
            <w:tcBorders/>
            <w:shd w:fill="auto" w:val="clear"/>
            <w:vAlign w:val="bottom"/>
          </w:tcPr>
          <w:p>
            <w:pPr>
              <w:pStyle w:val="TableContents"/>
              <w:spacing w:before="0" w:after="0"/>
              <w:ind w:left="450" w:right="0" w:hanging="225"/>
              <w:rPr/>
            </w:pPr>
            <w:r>
              <w:rPr/>
              <w:t>Beginning of period</w:t>
            </w:r>
          </w:p>
        </w:tc>
        <w:tc>
          <w:tcPr>
            <w:tcW w:w="33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286</w:t>
            </w:r>
          </w:p>
        </w:tc>
        <w:tc>
          <w:tcPr>
            <w:tcW w:w="29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119</w:t>
            </w:r>
          </w:p>
        </w:tc>
        <w:tc>
          <w:tcPr>
            <w:tcW w:w="37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405</w:t>
            </w:r>
          </w:p>
        </w:tc>
        <w:tc>
          <w:tcPr>
            <w:tcW w:w="399" w:type="dxa"/>
            <w:tcBorders/>
            <w:shd w:fill="auto" w:val="clear"/>
            <w:vAlign w:val="bottom"/>
          </w:tcPr>
          <w:p>
            <w:pPr>
              <w:pStyle w:val="TableContents"/>
              <w:spacing w:before="0" w:after="283"/>
              <w:rPr/>
            </w:pPr>
            <w:r>
              <w:rPr/>
              <w:t> </w:t>
            </w:r>
          </w:p>
        </w:tc>
      </w:tr>
      <w:tr>
        <w:trPr/>
        <w:tc>
          <w:tcPr>
            <w:tcW w:w="4570" w:type="dxa"/>
            <w:tcBorders/>
            <w:shd w:fill="CCEEFF" w:val="clear"/>
            <w:vAlign w:val="bottom"/>
          </w:tcPr>
          <w:p>
            <w:pPr>
              <w:pStyle w:val="TableContents"/>
              <w:spacing w:before="0" w:after="0"/>
              <w:ind w:left="450" w:right="0" w:hanging="225"/>
              <w:rPr/>
            </w:pPr>
            <w:r>
              <w:rPr/>
              <w:t>New openings</w:t>
            </w:r>
          </w:p>
        </w:tc>
        <w:tc>
          <w:tcPr>
            <w:tcW w:w="33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w:t>
            </w:r>
          </w:p>
        </w:tc>
        <w:tc>
          <w:tcPr>
            <w:tcW w:w="29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110</w:t>
            </w:r>
          </w:p>
        </w:tc>
        <w:tc>
          <w:tcPr>
            <w:tcW w:w="374"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110</w:t>
            </w:r>
          </w:p>
        </w:tc>
        <w:tc>
          <w:tcPr>
            <w:tcW w:w="399" w:type="dxa"/>
            <w:tcBorders/>
            <w:shd w:fill="CCEEFF" w:val="clear"/>
            <w:vAlign w:val="bottom"/>
          </w:tcPr>
          <w:p>
            <w:pPr>
              <w:pStyle w:val="TableContents"/>
              <w:spacing w:before="0" w:after="283"/>
              <w:rPr/>
            </w:pPr>
            <w:r>
              <w:rPr/>
              <w:t> </w:t>
            </w:r>
          </w:p>
        </w:tc>
      </w:tr>
      <w:tr>
        <w:trPr/>
        <w:tc>
          <w:tcPr>
            <w:tcW w:w="4570" w:type="dxa"/>
            <w:tcBorders/>
            <w:shd w:fill="auto" w:val="clear"/>
            <w:vAlign w:val="bottom"/>
          </w:tcPr>
          <w:p>
            <w:pPr>
              <w:pStyle w:val="TableContents"/>
              <w:spacing w:before="0" w:after="0"/>
              <w:ind w:left="450" w:right="0" w:hanging="225"/>
              <w:rPr/>
            </w:pPr>
            <w:r>
              <w:rPr/>
              <w:t>Acquired</w:t>
            </w:r>
          </w:p>
        </w:tc>
        <w:tc>
          <w:tcPr>
            <w:tcW w:w="33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w:t>
            </w:r>
          </w:p>
        </w:tc>
        <w:tc>
          <w:tcPr>
            <w:tcW w:w="29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w:t>
            </w:r>
          </w:p>
        </w:tc>
        <w:tc>
          <w:tcPr>
            <w:tcW w:w="37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w:t>
            </w:r>
          </w:p>
        </w:tc>
        <w:tc>
          <w:tcPr>
            <w:tcW w:w="399" w:type="dxa"/>
            <w:tcBorders/>
            <w:shd w:fill="auto" w:val="clear"/>
            <w:vAlign w:val="bottom"/>
          </w:tcPr>
          <w:p>
            <w:pPr>
              <w:pStyle w:val="TableContents"/>
              <w:spacing w:before="0" w:after="283"/>
              <w:rPr/>
            </w:pPr>
            <w:r>
              <w:rPr/>
              <w:t> </w:t>
            </w:r>
          </w:p>
        </w:tc>
      </w:tr>
      <w:tr>
        <w:trPr/>
        <w:tc>
          <w:tcPr>
            <w:tcW w:w="4570" w:type="dxa"/>
            <w:tcBorders/>
            <w:shd w:fill="CCEEFF" w:val="clear"/>
            <w:vAlign w:val="bottom"/>
          </w:tcPr>
          <w:p>
            <w:pPr>
              <w:pStyle w:val="TableContents"/>
              <w:spacing w:before="0" w:after="0"/>
              <w:ind w:left="450" w:right="0" w:hanging="225"/>
              <w:rPr/>
            </w:pPr>
            <w:r>
              <w:rPr/>
              <w:t>Sold, combined, or closed</w:t>
            </w:r>
          </w:p>
        </w:tc>
        <w:tc>
          <w:tcPr>
            <w:tcW w:w="33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w:t>
            </w:r>
          </w:p>
        </w:tc>
        <w:tc>
          <w:tcPr>
            <w:tcW w:w="29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jc w:val="right"/>
              <w:rPr/>
            </w:pPr>
            <w:r>
              <w:rPr/>
              <w:t> </w:t>
            </w:r>
          </w:p>
        </w:tc>
        <w:tc>
          <w:tcPr>
            <w:tcW w:w="872" w:type="dxa"/>
            <w:tcBorders/>
            <w:shd w:fill="CCEEFF" w:val="clear"/>
            <w:vAlign w:val="bottom"/>
          </w:tcPr>
          <w:p>
            <w:pPr>
              <w:pStyle w:val="TableContents"/>
              <w:spacing w:before="0" w:after="283"/>
              <w:jc w:val="right"/>
              <w:rPr/>
            </w:pPr>
            <w:r>
              <w:rPr/>
              <w:t>(1</w:t>
            </w:r>
          </w:p>
        </w:tc>
        <w:tc>
          <w:tcPr>
            <w:tcW w:w="374" w:type="dxa"/>
            <w:tcBorders/>
            <w:shd w:fill="CCEEFF" w:val="clear"/>
            <w:vAlign w:val="bottom"/>
          </w:tcPr>
          <w:p>
            <w:pPr>
              <w:pStyle w:val="TableContents"/>
              <w:spacing w:before="0" w:after="283"/>
              <w:rPr/>
            </w:pPr>
            <w:r>
              <w:rPr/>
              <w:t>)</w:t>
            </w:r>
          </w:p>
        </w:tc>
        <w:tc>
          <w:tcPr>
            <w:tcW w:w="38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right"/>
              <w:rPr/>
            </w:pPr>
            <w:r>
              <w:rPr/>
              <w:t> </w:t>
            </w:r>
          </w:p>
        </w:tc>
        <w:tc>
          <w:tcPr>
            <w:tcW w:w="895" w:type="dxa"/>
            <w:tcBorders/>
            <w:shd w:fill="CCEEFF" w:val="clear"/>
            <w:vAlign w:val="bottom"/>
          </w:tcPr>
          <w:p>
            <w:pPr>
              <w:pStyle w:val="TableContents"/>
              <w:spacing w:before="0" w:after="283"/>
              <w:jc w:val="right"/>
              <w:rPr/>
            </w:pPr>
            <w:r>
              <w:rPr/>
              <w:t>(1</w:t>
            </w:r>
          </w:p>
        </w:tc>
        <w:tc>
          <w:tcPr>
            <w:tcW w:w="399" w:type="dxa"/>
            <w:tcBorders/>
            <w:shd w:fill="CCEEFF" w:val="clear"/>
            <w:vAlign w:val="bottom"/>
          </w:tcPr>
          <w:p>
            <w:pPr>
              <w:pStyle w:val="TableContents"/>
              <w:spacing w:before="0" w:after="283"/>
              <w:rPr/>
            </w:pPr>
            <w:r>
              <w:rPr/>
              <w:t>)</w:t>
            </w:r>
          </w:p>
        </w:tc>
      </w:tr>
      <w:tr>
        <w:trPr/>
        <w:tc>
          <w:tcPr>
            <w:tcW w:w="4570"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811"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872"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74"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89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99" w:type="dxa"/>
            <w:tcBorders/>
            <w:shd w:fill="auto" w:val="clear"/>
            <w:vAlign w:val="center"/>
          </w:tcPr>
          <w:p>
            <w:pPr>
              <w:pStyle w:val="TableContents"/>
              <w:spacing w:before="0" w:after="283"/>
              <w:rPr/>
            </w:pPr>
            <w:r>
              <w:rPr/>
              <w:t> </w:t>
            </w:r>
          </w:p>
        </w:tc>
      </w:tr>
      <w:tr>
        <w:trPr/>
        <w:tc>
          <w:tcPr>
            <w:tcW w:w="4570" w:type="dxa"/>
            <w:tcBorders/>
            <w:shd w:fill="auto" w:val="clear"/>
            <w:vAlign w:val="bottom"/>
          </w:tcPr>
          <w:p>
            <w:pPr>
              <w:pStyle w:val="TableContents"/>
              <w:spacing w:before="0" w:after="0"/>
              <w:ind w:left="450" w:right="0" w:hanging="225"/>
              <w:rPr/>
            </w:pPr>
            <w:r>
              <w:rPr/>
              <w:t>End of period</w:t>
            </w:r>
          </w:p>
        </w:tc>
        <w:tc>
          <w:tcPr>
            <w:tcW w:w="33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286</w:t>
            </w:r>
          </w:p>
        </w:tc>
        <w:tc>
          <w:tcPr>
            <w:tcW w:w="29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228</w:t>
            </w:r>
          </w:p>
        </w:tc>
        <w:tc>
          <w:tcPr>
            <w:tcW w:w="37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514</w:t>
            </w:r>
          </w:p>
        </w:tc>
        <w:tc>
          <w:tcPr>
            <w:tcW w:w="399" w:type="dxa"/>
            <w:tcBorders/>
            <w:shd w:fill="auto" w:val="clear"/>
            <w:vAlign w:val="bottom"/>
          </w:tcPr>
          <w:p>
            <w:pPr>
              <w:pStyle w:val="TableContents"/>
              <w:spacing w:before="0" w:after="283"/>
              <w:rPr/>
            </w:pPr>
            <w:r>
              <w:rPr/>
              <w:t> </w:t>
            </w:r>
          </w:p>
        </w:tc>
      </w:tr>
      <w:tr>
        <w:trPr/>
        <w:tc>
          <w:tcPr>
            <w:tcW w:w="4570"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811"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872"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74"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895"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99" w:type="dxa"/>
            <w:tcBorders/>
            <w:shd w:fill="auto" w:val="clear"/>
            <w:vAlign w:val="center"/>
          </w:tcPr>
          <w:p>
            <w:pPr>
              <w:pStyle w:val="TableContents"/>
              <w:spacing w:before="0" w:after="283"/>
              <w:rPr/>
            </w:pPr>
            <w:r>
              <w:rPr/>
              <w:t> </w:t>
            </w:r>
          </w:p>
        </w:tc>
      </w:tr>
      <w:tr>
        <w:trPr/>
        <w:tc>
          <w:tcPr>
            <w:tcW w:w="4570"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r>
      <w:tr>
        <w:trPr/>
        <w:tc>
          <w:tcPr>
            <w:tcW w:w="4570" w:type="dxa"/>
            <w:tcBorders/>
            <w:shd w:fill="CCEEFF" w:val="clear"/>
            <w:vAlign w:val="bottom"/>
          </w:tcPr>
          <w:p>
            <w:pPr>
              <w:pStyle w:val="TableContents"/>
              <w:spacing w:before="0" w:after="0"/>
              <w:ind w:left="225" w:right="0" w:hanging="225"/>
              <w:rPr/>
            </w:pPr>
            <w:r>
              <w:rPr/>
              <w:t>Average number of stores during the period</w:t>
            </w:r>
          </w:p>
        </w:tc>
        <w:tc>
          <w:tcPr>
            <w:tcW w:w="33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286</w:t>
            </w:r>
          </w:p>
        </w:tc>
        <w:tc>
          <w:tcPr>
            <w:tcW w:w="29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176</w:t>
            </w:r>
          </w:p>
        </w:tc>
        <w:tc>
          <w:tcPr>
            <w:tcW w:w="374"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462</w:t>
            </w:r>
          </w:p>
        </w:tc>
        <w:tc>
          <w:tcPr>
            <w:tcW w:w="399" w:type="dxa"/>
            <w:tcBorders/>
            <w:shd w:fill="CCEEFF" w:val="clear"/>
            <w:vAlign w:val="bottom"/>
          </w:tcPr>
          <w:p>
            <w:pPr>
              <w:pStyle w:val="TableContents"/>
              <w:spacing w:before="0" w:after="283"/>
              <w:rPr/>
            </w:pPr>
            <w:r>
              <w:rPr/>
              <w:t> </w:t>
            </w:r>
          </w:p>
        </w:tc>
      </w:tr>
      <w:tr>
        <w:trPr/>
        <w:tc>
          <w:tcPr>
            <w:tcW w:w="4570" w:type="dxa"/>
            <w:tcBorders/>
            <w:shd w:fill="auto" w:val="clear"/>
            <w:vAlign w:val="bottom"/>
          </w:tcPr>
          <w:p>
            <w:pPr>
              <w:pStyle w:val="TableContents"/>
              <w:spacing w:before="0" w:after="0"/>
              <w:ind w:left="225" w:right="0" w:hanging="225"/>
              <w:rPr/>
            </w:pPr>
            <w:r>
              <w:rPr/>
              <w:t> </w:t>
            </w:r>
          </w:p>
        </w:tc>
        <w:tc>
          <w:tcPr>
            <w:tcW w:w="33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r>
      <w:tr>
        <w:trPr/>
        <w:tc>
          <w:tcPr>
            <w:tcW w:w="4570" w:type="dxa"/>
            <w:tcBorders/>
            <w:shd w:fill="auto" w:val="clear"/>
            <w:vAlign w:val="bottom"/>
          </w:tcPr>
          <w:p>
            <w:pPr>
              <w:pStyle w:val="TableContents"/>
              <w:spacing w:before="0" w:after="0"/>
              <w:ind w:left="225" w:right="0" w:hanging="225"/>
              <w:rPr/>
            </w:pPr>
            <w:r>
              <w:rPr/>
              <w:t>Composition of ending stores:</w:t>
            </w:r>
          </w:p>
        </w:tc>
        <w:tc>
          <w:tcPr>
            <w:tcW w:w="33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r>
      <w:tr>
        <w:trPr/>
        <w:tc>
          <w:tcPr>
            <w:tcW w:w="4570" w:type="dxa"/>
            <w:tcBorders/>
            <w:shd w:fill="CCEEFF" w:val="clear"/>
            <w:vAlign w:val="bottom"/>
          </w:tcPr>
          <w:p>
            <w:pPr>
              <w:pStyle w:val="TableContents"/>
              <w:spacing w:before="0" w:after="0"/>
              <w:ind w:left="450" w:right="0" w:hanging="225"/>
              <w:rPr/>
            </w:pPr>
            <w:r>
              <w:rPr/>
              <w:t>EZPAWN  United States</w:t>
            </w:r>
          </w:p>
        </w:tc>
        <w:tc>
          <w:tcPr>
            <w:tcW w:w="33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280</w:t>
            </w:r>
          </w:p>
        </w:tc>
        <w:tc>
          <w:tcPr>
            <w:tcW w:w="29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w:t>
            </w:r>
          </w:p>
        </w:tc>
        <w:tc>
          <w:tcPr>
            <w:tcW w:w="374"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280</w:t>
            </w:r>
          </w:p>
        </w:tc>
        <w:tc>
          <w:tcPr>
            <w:tcW w:w="399" w:type="dxa"/>
            <w:tcBorders/>
            <w:shd w:fill="CCEEFF" w:val="clear"/>
            <w:vAlign w:val="bottom"/>
          </w:tcPr>
          <w:p>
            <w:pPr>
              <w:pStyle w:val="TableContents"/>
              <w:spacing w:before="0" w:after="283"/>
              <w:rPr/>
            </w:pPr>
            <w:r>
              <w:rPr/>
              <w:t> </w:t>
            </w:r>
          </w:p>
        </w:tc>
      </w:tr>
      <w:tr>
        <w:trPr/>
        <w:tc>
          <w:tcPr>
            <w:tcW w:w="4570" w:type="dxa"/>
            <w:tcBorders/>
            <w:shd w:fill="auto" w:val="clear"/>
            <w:vAlign w:val="bottom"/>
          </w:tcPr>
          <w:p>
            <w:pPr>
              <w:pStyle w:val="TableContents"/>
              <w:spacing w:before="0" w:after="0"/>
              <w:ind w:left="450" w:right="0" w:hanging="225"/>
              <w:rPr/>
            </w:pPr>
            <w:r>
              <w:rPr/>
              <w:t>EZMONEY signature loan stores adjoining EZPAWNs</w:t>
            </w:r>
          </w:p>
        </w:tc>
        <w:tc>
          <w:tcPr>
            <w:tcW w:w="33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6</w:t>
            </w:r>
          </w:p>
        </w:tc>
        <w:tc>
          <w:tcPr>
            <w:tcW w:w="29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152</w:t>
            </w:r>
          </w:p>
        </w:tc>
        <w:tc>
          <w:tcPr>
            <w:tcW w:w="37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158</w:t>
            </w:r>
          </w:p>
        </w:tc>
        <w:tc>
          <w:tcPr>
            <w:tcW w:w="399" w:type="dxa"/>
            <w:tcBorders/>
            <w:shd w:fill="auto" w:val="clear"/>
            <w:vAlign w:val="bottom"/>
          </w:tcPr>
          <w:p>
            <w:pPr>
              <w:pStyle w:val="TableContents"/>
              <w:spacing w:before="0" w:after="283"/>
              <w:rPr/>
            </w:pPr>
            <w:r>
              <w:rPr/>
              <w:t> </w:t>
            </w:r>
          </w:p>
        </w:tc>
      </w:tr>
      <w:tr>
        <w:trPr/>
        <w:tc>
          <w:tcPr>
            <w:tcW w:w="4570" w:type="dxa"/>
            <w:tcBorders/>
            <w:shd w:fill="CCEEFF" w:val="clear"/>
            <w:vAlign w:val="bottom"/>
          </w:tcPr>
          <w:p>
            <w:pPr>
              <w:pStyle w:val="TableContents"/>
              <w:spacing w:before="0" w:after="0"/>
              <w:ind w:left="450" w:right="0" w:hanging="225"/>
              <w:rPr/>
            </w:pPr>
            <w:r>
              <w:rPr/>
              <w:t>EZMONEY signature loan stores  free standing</w:t>
            </w:r>
          </w:p>
        </w:tc>
        <w:tc>
          <w:tcPr>
            <w:tcW w:w="33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w:t>
            </w:r>
          </w:p>
        </w:tc>
        <w:tc>
          <w:tcPr>
            <w:tcW w:w="29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76</w:t>
            </w:r>
          </w:p>
        </w:tc>
        <w:tc>
          <w:tcPr>
            <w:tcW w:w="374"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76</w:t>
            </w:r>
          </w:p>
        </w:tc>
        <w:tc>
          <w:tcPr>
            <w:tcW w:w="399" w:type="dxa"/>
            <w:tcBorders/>
            <w:shd w:fill="CCEEFF" w:val="clear"/>
            <w:vAlign w:val="bottom"/>
          </w:tcPr>
          <w:p>
            <w:pPr>
              <w:pStyle w:val="TableContents"/>
              <w:spacing w:before="0" w:after="283"/>
              <w:rPr/>
            </w:pPr>
            <w:r>
              <w:rPr/>
              <w:t> </w:t>
            </w:r>
          </w:p>
        </w:tc>
      </w:tr>
      <w:tr>
        <w:trPr/>
        <w:tc>
          <w:tcPr>
            <w:tcW w:w="4570"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811"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872"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74"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89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99" w:type="dxa"/>
            <w:tcBorders/>
            <w:shd w:fill="auto" w:val="clear"/>
            <w:vAlign w:val="center"/>
          </w:tcPr>
          <w:p>
            <w:pPr>
              <w:pStyle w:val="TableContents"/>
              <w:spacing w:before="0" w:after="283"/>
              <w:rPr/>
            </w:pPr>
            <w:r>
              <w:rPr/>
              <w:t> </w:t>
            </w:r>
          </w:p>
        </w:tc>
      </w:tr>
      <w:tr>
        <w:trPr/>
        <w:tc>
          <w:tcPr>
            <w:tcW w:w="4570" w:type="dxa"/>
            <w:tcBorders/>
            <w:shd w:fill="auto" w:val="clear"/>
            <w:vAlign w:val="bottom"/>
          </w:tcPr>
          <w:p>
            <w:pPr>
              <w:pStyle w:val="TableContents"/>
              <w:spacing w:before="0" w:after="0"/>
              <w:ind w:left="450" w:right="0" w:hanging="225"/>
              <w:rPr/>
            </w:pPr>
            <w:r>
              <w:rPr/>
              <w:t>Total stores in operation</w:t>
            </w:r>
          </w:p>
        </w:tc>
        <w:tc>
          <w:tcPr>
            <w:tcW w:w="33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286</w:t>
            </w:r>
          </w:p>
        </w:tc>
        <w:tc>
          <w:tcPr>
            <w:tcW w:w="29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228</w:t>
            </w:r>
          </w:p>
        </w:tc>
        <w:tc>
          <w:tcPr>
            <w:tcW w:w="37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514</w:t>
            </w:r>
          </w:p>
        </w:tc>
        <w:tc>
          <w:tcPr>
            <w:tcW w:w="399" w:type="dxa"/>
            <w:tcBorders/>
            <w:shd w:fill="auto" w:val="clear"/>
            <w:vAlign w:val="bottom"/>
          </w:tcPr>
          <w:p>
            <w:pPr>
              <w:pStyle w:val="TableContents"/>
              <w:spacing w:before="0" w:after="283"/>
              <w:rPr/>
            </w:pPr>
            <w:r>
              <w:rPr/>
              <w:t> </w:t>
            </w:r>
          </w:p>
        </w:tc>
      </w:tr>
      <w:tr>
        <w:trPr/>
        <w:tc>
          <w:tcPr>
            <w:tcW w:w="4570" w:type="dxa"/>
            <w:tcBorders/>
            <w:shd w:fill="auto" w:val="clear"/>
            <w:vAlign w:val="center"/>
          </w:tcPr>
          <w:p>
            <w:pPr>
              <w:pStyle w:val="TableContents"/>
              <w:spacing w:before="0" w:after="0"/>
              <w:ind w:left="225" w:right="0" w:hanging="225"/>
              <w:rPr/>
            </w:pPr>
            <w:r>
              <w:rPr/>
              <w:t> </w:t>
            </w:r>
          </w:p>
        </w:tc>
        <w:tc>
          <w:tcPr>
            <w:tcW w:w="33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811"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872"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74"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pPr>
            <w:r>
              <w:rPr/>
              <w:t> </w:t>
            </w:r>
          </w:p>
        </w:tc>
        <w:tc>
          <w:tcPr>
            <w:tcW w:w="895"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99" w:type="dxa"/>
            <w:tcBorders/>
            <w:shd w:fill="auto" w:val="clear"/>
            <w:vAlign w:val="center"/>
          </w:tcPr>
          <w:p>
            <w:pPr>
              <w:pStyle w:val="TableContents"/>
              <w:spacing w:before="0" w:after="283"/>
              <w:rPr/>
            </w:pPr>
            <w:r>
              <w:rPr/>
              <w:t> </w:t>
            </w:r>
          </w:p>
        </w:tc>
      </w:tr>
      <w:tr>
        <w:trPr/>
        <w:tc>
          <w:tcPr>
            <w:tcW w:w="4570" w:type="dxa"/>
            <w:tcBorders/>
            <w:shd w:fill="auto" w:val="clear"/>
            <w:vAlign w:val="center"/>
          </w:tcPr>
          <w:p>
            <w:pPr>
              <w:pStyle w:val="TableContents"/>
              <w:spacing w:before="0" w:after="283"/>
              <w:rPr/>
            </w:pPr>
            <w:r>
              <w:rPr/>
              <w:t> </w:t>
            </w:r>
          </w:p>
        </w:tc>
        <w:tc>
          <w:tcPr>
            <w:tcW w:w="5635" w:type="dxa"/>
            <w:gridSpan w:val="12"/>
            <w:tcBorders/>
            <w:shd w:fill="auto" w:val="clear"/>
          </w:tcPr>
          <w:p>
            <w:pPr>
              <w:pStyle w:val="TableContents"/>
              <w:spacing w:before="0" w:after="283"/>
              <w:rPr>
                <w:sz w:val="4"/>
                <w:szCs w:val="4"/>
              </w:rPr>
            </w:pPr>
            <w:r>
              <w:rPr>
                <w:sz w:val="4"/>
                <w:szCs w:val="4"/>
              </w:rPr>
            </w:r>
          </w:p>
        </w:tc>
      </w:tr>
      <w:tr>
        <w:trPr/>
        <w:tc>
          <w:tcPr>
            <w:tcW w:w="4570" w:type="dxa"/>
            <w:tcBorders/>
            <w:shd w:fill="CCEEFF" w:val="clear"/>
            <w:vAlign w:val="bottom"/>
          </w:tcPr>
          <w:p>
            <w:pPr>
              <w:pStyle w:val="TableContents"/>
              <w:spacing w:before="0" w:after="0"/>
              <w:ind w:left="450" w:right="0" w:hanging="225"/>
              <w:rPr/>
            </w:pPr>
            <w:r>
              <w:rPr/>
              <w:t>Total stores offering signature loans</w:t>
            </w:r>
          </w:p>
        </w:tc>
        <w:tc>
          <w:tcPr>
            <w:tcW w:w="33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104</w:t>
            </w:r>
          </w:p>
        </w:tc>
        <w:tc>
          <w:tcPr>
            <w:tcW w:w="29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228</w:t>
            </w:r>
          </w:p>
        </w:tc>
        <w:tc>
          <w:tcPr>
            <w:tcW w:w="374"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332</w:t>
            </w:r>
          </w:p>
        </w:tc>
        <w:tc>
          <w:tcPr>
            <w:tcW w:w="399" w:type="dxa"/>
            <w:tcBorders/>
            <w:shd w:fill="CCEEFF"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earn pawn service charge revenue on our pawn lending. While allowable service charges vary by state and loan size, a majority of our pawn loans are in amounts that allow 20% per month, or 240% annually. Our average pawn loan amount typically ranges between $80 and $100 but varies depending on the valuation of each item pawned. The total loan term, consisting of the primary term and grace period, ranges between 45 and 120 days.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Between August and November 2005, we reduced the total loan term on new pawn loans from 90 days to 60 days in 215 of our pawn stores. Forty-three stores had previously made the change. We estimate this change reduced our pawn portfolio approximately 15% for the loans in these stores that were between 60 and 90 days old, with very little or no impact on pawn service charge revenues. This change also created a one-time doubling of forfeitures in fiscal 2006 as loans made 90 and 60 days earlier simultaneously forfeited for a 30-day period, resulting in a higher level of inventory available for sale (beginning inventory plus forfeitures and purchases). We experienced this doubling of forfeitures as loans in these 215 stores matured in the first two quarters of fiscal 2006.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our pawnshops, we acquire inventory for retail sales through pawn loan forfeitures and, to a lesser extent, through purchases of customers merchandise. The gross profit on sales of inventory depends primarily on our assessment of the resale value at the time the property is either accepted as loan collateral or purchased. Improper assessment of the resale value in the lending or purchasing process can result in lower margins or reduced marketability of the merchandise.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September 30, 2007, 264 of our 433 EZMONEY stores and 50 of our 298 pawn stores offered credit services to customers seeking loans from unaffiliated lenders. We do not participate in any of the loans made by the lenders, but earn a fee for helping customers obtain credit and for enhancing customers creditworthiness by providing letters of credit. We also offer a free service to all credit service customers to improve or establish their credit histories by reporting their payments to an external credit-reporting agency.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connection with our credit services, the unaffiliated lenders offer customers two types of loans. In all 264 EZMONEY stores offering credit services, customers can obtain short-term loans, with principal amounts up to $1,500, averaging $540. Terms of these short-term loans are generally less than 30 days, averaging about 18 days, with due dates corresponding with the customers next payday. We typically earn a fee of 20% of the loan amount for our short-term loan credit services. In 35 EZMONEY stores offering credit services, customers can obtain longer-term installment loans from the unaffiliated lenders. The installment loans typically carry terms of about five months with ten equal installment payments due </w:t>
      </w:r>
    </w:p>
    <w:p>
      <w:pPr>
        <w:pStyle w:val="TextBody"/>
        <w:jc w:val="center"/>
        <w:rPr>
          <w:rFonts w:ascii="Helvetica;Arial;sans-serif" w:hAnsi="Helvetica;Arial;sans-serif"/>
          <w:sz w:val="17"/>
        </w:rPr>
      </w:pPr>
      <w:r>
        <w:rPr>
          <w:rFonts w:ascii="Helvetica;Arial;sans-serif" w:hAnsi="Helvetica;Arial;san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customers paydays. Installment loan principal amounts range from $1,525 to $3,000, averaging about $2,300. With each installment payment, we earn a fee of 10% of the initial loan amount. At September 30, 2007, short-term loans comprised 98% of the balance of loans brokered through our credit services, and installment loans comprised the remaining 2%.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earn payday loan fee revenue on our payday loans. In 194 stores, we make payday loans subject to state law. The average payday loan amount is approximately $435 and the term is generally less than 30 days, averaging about 19 days. We typically charge a fee of 15% to 22% of the loan amount for a 7 to 23-day period. Through December 2005, we also marketed and serviced payday loans made by County Bank of Rehoboth Beach in some of our stores. We could purchase a 90% participation in the County Bank loans we marketed. As of December 31, 2005, County Bank discontinued its payday loan program. Most of our stores previously marketing County Bank loans now provide credit services to customers in obtaining loans from unaffiliated lenders.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June 18, 2007, we completed the acquisition of fifteen pawnshops and one payday loan store from Jumping Jack Cash in Colorado for $23.2 million of cash and direct transaction costs. Results of the acquired stores are included in our consolidated results from the date of acquisition. The purchase price was allocated as presented in Note C, </w:t>
      </w:r>
      <w:r>
        <w:rPr>
          <w:rFonts w:ascii="Helvetica;Arial;sans-serif" w:hAnsi="Helvetica;Arial;sans-serif"/>
          <w:i/>
          <w:sz w:val="17"/>
        </w:rPr>
        <w:t xml:space="preserve">Acquisitions, </w:t>
      </w:r>
      <w:r>
        <w:rPr>
          <w:rFonts w:ascii="Helvetica;Arial;sans-serif" w:hAnsi="Helvetica;Arial;sans-serif"/>
          <w:sz w:val="17"/>
        </w:rPr>
        <w:t xml:space="preserve">in the consolidated financial statements filed with this annual report.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fiscal 2007, the EZPAWN Operations segment contributed $10.1 million greater store operating income compared to the prior year, primarily from an $8.2 million increase in pawn service charges and a $4.4 million increase in gross profit on sales, partially offset by higher operating costs. Our EZMONEY Operations segment contributed $7.7 million greater store operating income, comprised of higher fees net of bad debt, somewhat offset by higher operating costs primarily at new stores. After a $4.0 million increase in administrative expenses and a $1.2 million increase in depreciation and amortization, operating income increased $12.6 million to $55.5 million. After increases in net interest income and our equity interest in the income of Albemarle &amp; Bond, a $5.8 million increase in income taxes, and less material changes in other items, our consolidated net income improved to $37.9 million in the current year from $29.3 million in the prior year. </w:t>
      </w:r>
    </w:p>
    <w:p>
      <w:pPr>
        <w:pStyle w:val="TextBody"/>
        <w:spacing w:before="240" w:after="283"/>
        <w:jc w:val="left"/>
        <w:rPr>
          <w:rFonts w:ascii="Helvetica;Arial;sans-serif" w:hAnsi="Helvetica;Arial;sans-serif"/>
          <w:sz w:val="17"/>
        </w:rPr>
      </w:pPr>
      <w:r>
        <w:rPr>
          <w:rFonts w:ascii="Helvetica;Arial;sans-serif" w:hAnsi="Helvetica;Arial;sans-serif"/>
          <w:b/>
          <w:i/>
          <w:sz w:val="17"/>
        </w:rPr>
        <w:t>Critical Accounting Policies and Estimates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Managements Discussion and Analysis of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allowance for losses on signature loans,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believe the following critical accounting policies and estimates could have a significant impact on our results of operations. You should refer to Note A of our consolidated financial statements for a more complete review of other accounting policies and estimates used in the preparation of our consolidated financial statements.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PAWN LOAN AND SALES REVENUE RECOGNITION: 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to three months. Unexpected variations in any of these factors could change our estimate of collectible loans, affecting our earnings and financial condition. If a pawn loan is not repaid, we value the forfeited collateral (inventory) at the lower of cost (pawn loan principal) or </w:t>
      </w:r>
    </w:p>
    <w:p>
      <w:pPr>
        <w:pStyle w:val="TextBody"/>
        <w:jc w:val="center"/>
        <w:rPr>
          <w:rFonts w:ascii="Helvetica;Arial;sans-serif" w:hAnsi="Helvetica;Arial;sans-serif"/>
          <w:sz w:val="17"/>
        </w:rPr>
      </w:pPr>
      <w:r>
        <w:rPr>
          <w:rFonts w:ascii="Helvetica;Arial;sans-serif" w:hAnsi="Helvetica;Arial;san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market (net realizable value) of the property. We record sales revenue and the related cost when this inventory is sold.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CREDIT SERVICE REVENUE RECOGNITION: We earn credit service fees when we assist customers in obtaining loans from unaffiliated lenders. We accrue the percentage of credit service fees we expect to collect. Accrued fees related to defaulted loans reduce credit service fee revenue upon loan default, and increase credit service fee revenue upon collection. Credit service revenue is included in Signature loan fees on our statements of operations.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CREDIT SERVICE BAD DEBT: We issue letters of credit to enhance the creditworthiness of our credit service customers seeking loans from unaffiliated lenders. The letters of credit assure the lenders that if borrowers default on the loans, we will pay the lenders, upon demand, the principal and accrued interest owed it by the borrowers plus any insufficient funds fee.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for 60 days, we generally sell them to an unaffiliated company on a weekly basis as another method of recovery. We account for the sale of defaulted accounts in the same manner as internal collections of defaulted accounts.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majority of our credit service customers obtain short-term loans with a single maturity date. These short-term loans, with maturity dates averaging about 18 days, are considered defaulted if they have not been repaid or renewed by the maturity date. Other credit service customers obtain installment loans with a series of payments due over as much as a five-month period. If one payment of an installment loan is delinquent, that one payment is considered defaulted. If more than one installment payment is delinquent at any time, the entire loan is considered defaulted.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CREDIT SERVICE ALLOWANCE FOR LOSSES: We also provide an allowance for losses we expect to incur under letters of credit for loans that have not yet matured. The allowance is based on recent loan default experience adjusted for seasonal variations. It includes all amounts we expect to pay to the unaffiliated lenders upon loan default, including loan principal, accrued interest and insufficient funds fees, net of the amounts we expect to collect from borrowers (Expected LOC Losses). Changes in the allowance are charged to signature loan bad debt expense. We include the balance of Expected LOC Losses in Accounts payable and other accrued expenses on our balance sheet. At September 30, 2007, the allowance for Expected LOC Losses was $1.2 million. At that date, our maximum exposure for losses on letters of credit, if all brokered loans defaulted and none was collected, was $24.7 million. This amount includes principal, interest and insufficient funds fees. Based on the expected loss and collection percentages, we also provide an allowance for the credit service fees we expect not to collect, and charge changes in this allowance to signature loan fee revenue.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accuracy of our allowance estimates is dependent upon several factors, including our ability to predict future default rates based on historical trends and expected future events. Actual loan losses could vary from those estimated due to variance in any of these factors. Increased defaults and credit losses may occur during a national or regional economic downturn, in response to regulatory changes or for other reasons, resulting in the need to increase the allowance. We believe we effectively manage these risks through our underwriting criteria and closely monitoring the performance of the portfolio.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PAYDAY LOAN REVENUE RECOGNITION: We accrue fees on the percentage of payday loans we believe to be collectible using the interest method. Accrued fees related to defaulted loans reduce fee revenue upon loan default, and increase fee revenue upon collection. Payday loan fee revenue is included in Signature loan fees on our statements of operations.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PAYDAY LOAN BAD DEBT: We consider a loan defaulted if it has not been repaid or renewed by the maturity date. Although defaulted loans may 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for 60 days, we generally sell them to an unaffiliated company on a weekly basis as </w:t>
      </w:r>
    </w:p>
    <w:p>
      <w:pPr>
        <w:pStyle w:val="TextBody"/>
        <w:jc w:val="center"/>
        <w:rPr>
          <w:rFonts w:ascii="Helvetica;Arial;sans-serif" w:hAnsi="Helvetica;Arial;sans-serif"/>
          <w:sz w:val="17"/>
        </w:rPr>
      </w:pPr>
      <w:r>
        <w:rPr>
          <w:rFonts w:ascii="Helvetica;Arial;sans-serif" w:hAnsi="Helvetica;Arial;sans-serif"/>
          <w:sz w:val="17"/>
        </w:rP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another method of recovery. We account for the sale of defaulted loans in the same manner as internal collections of defaulted loans.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PAYDAY LOAN ALLOWANCE FOR LOSSES: We provide an allowance for losses on payday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At September 30, 2007, the combined allowances for uncollectible principal and interest on payday loans were $0.3 million.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INVENTORY: If a pawn loan is not redeemed, we record the forfeited collateral at cost. We do not record loan loss allowances or charge-offs on the principal portion of pawn loans, as they are fully collateralized. In order to state inventory at the lower of cost (specific identification) or market (net realizable value), we record an allowance for shrinkage and excess, obsolete or slow moving inventory. The allowance is based on the type and age of merchandise and recent sales trends and margins. At September 30, 2007, the inventory valuation allowance was $3.8 million, or 9.0% of gross inventory. We record changes in the inventory valuation allowance as cost of goods sold. The accuracy of our inventory allowance is dependent on our ability to predict future events based on historical trends. Unexpected variations in sales margins, inventory turnover, or other factors, including fluctuations in gold values could increase or decrease our inventory allowance.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INCOME TAXES: As part of the process of preparing the consolidated financial statements, we estimate income taxes in each jurisdiction in which we operate. This involves estimating the actual current tax liability and assessing temporary differences in recognition of income for tax and accounting purposes. These differences result in deferred tax assets and liabilities that we include in our balance sheet. We then assess the likelihood that the deferred tax assets will be recovered from future taxable income. If we determined we would not be able to realize all or part of our net deferred tax assets in the future, an increase to the valuation allowance would be charged to the income tax provision in that period. Likewise, if we determined we would be able to realize our deferred tax assets in the future in excess of the net recorded amount, a decrease to the valuation allowance would decrease the tax provision in that period. We assess the need for a deferred tax asset valuation allowance quarterly. Our valuation allowance was $0.4 million at September 30,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SHARE-BASED COMPENSATION: We account for share-based compensation in accordance with the fair value recognition provisions of SFAS No. 123(R), Share-based Payment. We estimate the grant-date fair value of options using the Black-Scholes-Merton option-pricing model and amortize that fair value to compensation expense on a straight-line basis over the options vesting periods.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Certain prior year balances have been reclassified to conform to the current year presentation. </w:t>
      </w:r>
    </w:p>
    <w:p>
      <w:pPr>
        <w:pStyle w:val="TextBody"/>
        <w:spacing w:before="240" w:after="283"/>
        <w:jc w:val="left"/>
        <w:rPr>
          <w:rFonts w:ascii="Helvetica;Arial;sans-serif" w:hAnsi="Helvetica;Arial;sans-serif"/>
          <w:sz w:val="17"/>
        </w:rPr>
      </w:pPr>
      <w:r>
        <w:rPr>
          <w:rFonts w:ascii="Helvetica;Arial;sans-serif" w:hAnsi="Helvetica;Arial;sans-serif"/>
          <w:b/>
          <w:i/>
          <w:sz w:val="17"/>
        </w:rPr>
        <w:t>Off-Balance Sheet Arrangements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We issue letters of credit to enhance the creditworthiness of our credit service customers seeking loans from unaffiliated lenders. The letters of credit assure the lenders that if borrowers default on the loans, we will pay the lenders, upon demand, the principal and accrued interest owed it by the borrowers plus any insufficient funds fee.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Financial Interpretation No. 46 regarding variable interest entities</w:t>
      </w:r>
      <w:r>
        <w:rPr>
          <w:rFonts w:ascii="Helvetica;Arial;sans-serif" w:hAnsi="Helvetica;Arial;sans-serif"/>
          <w:i/>
          <w:sz w:val="17"/>
        </w:rPr>
        <w: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include an allowance for Expected LOC Losses in Accounts payable and other accrued expenses on our balance sheet. At September 30, 2007, the allowance for Expected LOC Losses was $1.2 million. At that date, our maximum exposure for losses on letters of credit, if all brokered loans defaulted and none was collected, was $24.7 million. This amount includes principal, interest and insufficient funds fees. </w:t>
      </w:r>
    </w:p>
    <w:p>
      <w:pPr>
        <w:pStyle w:val="TextBody"/>
        <w:jc w:val="center"/>
        <w:rPr>
          <w:rFonts w:ascii="Helvetica;Arial;sans-serif" w:hAnsi="Helvetica;Arial;sans-serif"/>
          <w:sz w:val="17"/>
        </w:rPr>
      </w:pPr>
      <w:r>
        <w:rPr>
          <w:rFonts w:ascii="Helvetica;Arial;sans-serif" w:hAnsi="Helvetica;Arial;sans-serif"/>
          <w:sz w:val="17"/>
        </w:rP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no other off-balance sheet arrangements. </w:t>
      </w:r>
    </w:p>
    <w:p>
      <w:pPr>
        <w:pStyle w:val="TextBody"/>
        <w:spacing w:before="240" w:after="283"/>
        <w:jc w:val="left"/>
        <w:rPr>
          <w:rFonts w:ascii="Helvetica;Arial;sans-serif" w:hAnsi="Helvetica;Arial;sans-serif"/>
          <w:sz w:val="17"/>
        </w:rPr>
      </w:pPr>
      <w:r>
        <w:rPr>
          <w:rFonts w:ascii="Helvetica;Arial;sans-serif" w:hAnsi="Helvetica;Arial;sans-serif"/>
          <w:b/>
          <w:i/>
          <w:sz w:val="17"/>
        </w:rPr>
        <w:t>Effect of Adopting a New Accounting Principle for Share-based Compensation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Prior to October 1, 2005, we accounted for our share-based compensation under the recognition and measurement provisions of APB 25, as permitted by SFAS No. 123, Accounting for Stock-Based Compensation. For periods prior to October 1, 2005, share-based employee compensation cost was recognized in the Statement of Operations for only restricted stock grants and options granted at prices below market price on the date of grant. Effective October 1, 2005, we adopted the fair value recognition provisions of SFAS No. 123(R), Share-based Payment, using the modified prospective transition method, as more fully described in Note I of the financial statements included in this report. In accordance with the modified prospective transition provisions, we have not restated results for prior periods.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net income includes the following compensation costs related to our share-based compensation arrangements: </w:t>
      </w:r>
    </w:p>
    <w:tbl>
      <w:tblPr>
        <w:tblW w:w="5000" w:type="pct"/>
        <w:jc w:val="center"/>
        <w:tblInd w:w="0" w:type="dxa"/>
        <w:tblCellMar>
          <w:top w:w="0" w:type="dxa"/>
          <w:left w:w="0" w:type="dxa"/>
          <w:bottom w:w="0" w:type="dxa"/>
          <w:right w:w="0" w:type="dxa"/>
        </w:tblCellMar>
      </w:tblPr>
      <w:tblGrid>
        <w:gridCol w:w="5868"/>
        <w:gridCol w:w="446"/>
        <w:gridCol w:w="157"/>
        <w:gridCol w:w="657"/>
        <w:gridCol w:w="133"/>
        <w:gridCol w:w="449"/>
        <w:gridCol w:w="157"/>
        <w:gridCol w:w="712"/>
        <w:gridCol w:w="133"/>
        <w:gridCol w:w="449"/>
        <w:gridCol w:w="157"/>
        <w:gridCol w:w="754"/>
        <w:gridCol w:w="133"/>
      </w:tblGrid>
      <w:tr>
        <w:trPr/>
        <w:tc>
          <w:tcPr>
            <w:tcW w:w="586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758"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33" w:type="dxa"/>
            <w:tcBorders/>
            <w:shd w:fill="auto"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81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8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91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3" w:type="dxa"/>
            <w:tcBorders/>
            <w:shd w:fill="auto"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758" w:type="dxa"/>
            <w:gridSpan w:val="10"/>
            <w:tcBorders/>
            <w:shd w:fill="auto" w:val="clear"/>
            <w:vAlign w:val="bottom"/>
          </w:tcPr>
          <w:p>
            <w:pPr>
              <w:pStyle w:val="TableContents"/>
              <w:spacing w:before="0" w:after="283"/>
              <w:jc w:val="center"/>
              <w:rPr>
                <w:i/>
              </w:rPr>
            </w:pPr>
            <w:r>
              <w:rPr>
                <w:i/>
              </w:rPr>
              <w:t>(In thousands)</w:t>
            </w:r>
          </w:p>
        </w:tc>
        <w:tc>
          <w:tcPr>
            <w:tcW w:w="133" w:type="dxa"/>
            <w:tcBorders/>
            <w:shd w:fill="auto" w:val="clear"/>
            <w:vAlign w:val="bottom"/>
          </w:tcPr>
          <w:p>
            <w:pPr>
              <w:pStyle w:val="TableContents"/>
              <w:spacing w:before="0" w:after="283"/>
              <w:rPr/>
            </w:pPr>
            <w:r>
              <w:rPr/>
              <w:t> </w:t>
            </w:r>
          </w:p>
        </w:tc>
      </w:tr>
      <w:tr>
        <w:trPr/>
        <w:tc>
          <w:tcPr>
            <w:tcW w:w="5868" w:type="dxa"/>
            <w:tcBorders/>
            <w:shd w:fill="CCEEFF" w:val="clear"/>
            <w:vAlign w:val="bottom"/>
          </w:tcPr>
          <w:p>
            <w:pPr>
              <w:pStyle w:val="TableContents"/>
              <w:spacing w:before="0" w:after="0"/>
              <w:ind w:left="225" w:right="0" w:hanging="225"/>
              <w:rPr/>
            </w:pPr>
            <w:r>
              <w:rPr/>
              <w:t>Gross compensation costs</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0"/>
              <w:ind w:left="450" w:right="0" w:hanging="225"/>
              <w:rPr/>
            </w:pPr>
            <w:r>
              <w:rPr/>
              <w:t>Stock options</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657"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12" w:type="dxa"/>
            <w:tcBorders/>
            <w:shd w:fill="auto" w:val="clear"/>
            <w:vAlign w:val="bottom"/>
          </w:tcPr>
          <w:p>
            <w:pPr>
              <w:pStyle w:val="TableContents"/>
              <w:spacing w:before="0" w:after="283"/>
              <w:jc w:val="right"/>
              <w:rPr/>
            </w:pPr>
            <w:r>
              <w:rPr/>
              <w:t>1,321</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54" w:type="dxa"/>
            <w:tcBorders/>
            <w:shd w:fill="auto" w:val="clear"/>
            <w:vAlign w:val="bottom"/>
          </w:tcPr>
          <w:p>
            <w:pPr>
              <w:pStyle w:val="TableContents"/>
              <w:spacing w:before="0" w:after="283"/>
              <w:jc w:val="right"/>
              <w:rPr/>
            </w:pPr>
            <w:r>
              <w:rPr/>
              <w:t>1,164</w:t>
            </w:r>
          </w:p>
        </w:tc>
        <w:tc>
          <w:tcPr>
            <w:tcW w:w="133" w:type="dxa"/>
            <w:tcBorders/>
            <w:shd w:fill="auto" w:val="clear"/>
            <w:vAlign w:val="bottom"/>
          </w:tcPr>
          <w:p>
            <w:pPr>
              <w:pStyle w:val="TableContents"/>
              <w:spacing w:before="0" w:after="283"/>
              <w:rPr/>
            </w:pPr>
            <w:r>
              <w:rPr/>
              <w:t> </w:t>
            </w:r>
          </w:p>
        </w:tc>
      </w:tr>
      <w:tr>
        <w:trPr/>
        <w:tc>
          <w:tcPr>
            <w:tcW w:w="5868" w:type="dxa"/>
            <w:tcBorders/>
            <w:shd w:fill="CCEEFF" w:val="clear"/>
            <w:vAlign w:val="bottom"/>
          </w:tcPr>
          <w:p>
            <w:pPr>
              <w:pStyle w:val="TableContents"/>
              <w:spacing w:before="0" w:after="0"/>
              <w:ind w:left="450" w:right="0" w:hanging="225"/>
              <w:rPr/>
            </w:pPr>
            <w:r>
              <w:rPr/>
              <w:t>Restricted stock</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pPr>
            <w:r>
              <w:rPr/>
              <w:t>588</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76</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2,463</w:t>
            </w:r>
          </w:p>
        </w:tc>
        <w:tc>
          <w:tcPr>
            <w:tcW w:w="133" w:type="dxa"/>
            <w:tcBorders/>
            <w:shd w:fill="CCEEFF" w:val="clear"/>
            <w:vAlign w:val="bottom"/>
          </w:tcPr>
          <w:p>
            <w:pPr>
              <w:pStyle w:val="TableContents"/>
              <w:spacing w:before="0" w:after="283"/>
              <w:rPr/>
            </w:pPr>
            <w:r>
              <w:rPr/>
              <w:t> </w:t>
            </w:r>
          </w:p>
        </w:tc>
      </w:tr>
      <w:tr>
        <w:trPr/>
        <w:tc>
          <w:tcPr>
            <w:tcW w:w="5868" w:type="dxa"/>
            <w:tcBorders/>
            <w:shd w:fill="auto" w:val="clear"/>
            <w:vAlign w:val="center"/>
          </w:tcPr>
          <w:p>
            <w:pPr>
              <w:pStyle w:val="TableContents"/>
              <w:spacing w:before="0" w:after="0"/>
              <w:ind w:left="225" w:right="0" w:hanging="225"/>
              <w:rPr/>
            </w:pPr>
            <w:r>
              <w:rPr/>
              <w:t> </w:t>
            </w:r>
          </w:p>
        </w:tc>
        <w:tc>
          <w:tcPr>
            <w:tcW w:w="446" w:type="dxa"/>
            <w:tcBorders/>
            <w:shd w:fill="auto" w:val="clear"/>
            <w:vAlign w:val="center"/>
          </w:tcPr>
          <w:p>
            <w:pPr>
              <w:pStyle w:val="TableContents"/>
              <w:spacing w:before="0" w:after="283"/>
              <w:rPr/>
            </w:pPr>
            <w:r>
              <w:rPr/>
              <w:t> </w:t>
            </w:r>
          </w:p>
        </w:tc>
        <w:tc>
          <w:tcPr>
            <w:tcW w:w="8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8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9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5868" w:type="dxa"/>
            <w:tcBorders/>
            <w:shd w:fill="auto" w:val="clear"/>
            <w:vAlign w:val="bottom"/>
          </w:tcPr>
          <w:p>
            <w:pPr>
              <w:pStyle w:val="TableContents"/>
              <w:spacing w:before="0" w:after="0"/>
              <w:ind w:left="450" w:right="0" w:hanging="225"/>
              <w:rPr/>
            </w:pPr>
            <w:r>
              <w:rPr/>
              <w:t>Total gross compensation costs</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588</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1,397</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3,627</w:t>
            </w:r>
          </w:p>
        </w:tc>
        <w:tc>
          <w:tcPr>
            <w:tcW w:w="133" w:type="dxa"/>
            <w:tcBorders/>
            <w:shd w:fill="auto"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0"/>
              <w:ind w:left="225" w:right="0" w:hanging="225"/>
              <w:rPr/>
            </w:pPr>
            <w:r>
              <w:rPr/>
              <w:t> </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68" w:type="dxa"/>
            <w:tcBorders/>
            <w:shd w:fill="CCEEFF" w:val="clear"/>
            <w:vAlign w:val="bottom"/>
          </w:tcPr>
          <w:p>
            <w:pPr>
              <w:pStyle w:val="TableContents"/>
              <w:spacing w:before="0" w:after="0"/>
              <w:ind w:left="225" w:right="0" w:hanging="225"/>
              <w:rPr/>
            </w:pPr>
            <w:r>
              <w:rPr/>
              <w:t>Income tax benefits</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0"/>
              <w:ind w:left="450" w:right="0" w:hanging="225"/>
              <w:rPr/>
            </w:pPr>
            <w:r>
              <w:rPr/>
              <w:t>Stock options</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712" w:type="dxa"/>
            <w:tcBorders/>
            <w:shd w:fill="auto" w:val="clear"/>
            <w:vAlign w:val="bottom"/>
          </w:tcPr>
          <w:p>
            <w:pPr>
              <w:pStyle w:val="TableContents"/>
              <w:spacing w:before="0" w:after="283"/>
              <w:jc w:val="right"/>
              <w:rPr/>
            </w:pPr>
            <w:r>
              <w:rPr/>
              <w:t>(154</w:t>
            </w:r>
          </w:p>
        </w:tc>
        <w:tc>
          <w:tcPr>
            <w:tcW w:w="133" w:type="dxa"/>
            <w:tcBorders/>
            <w:shd w:fill="auto" w:val="clear"/>
            <w:vAlign w:val="bottom"/>
          </w:tcPr>
          <w:p>
            <w:pPr>
              <w:pStyle w:val="TableContents"/>
              <w:spacing w:before="0" w:after="283"/>
              <w:rPr/>
            </w:pPr>
            <w:r>
              <w:rPr/>
              <w:t>)</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(277</w:t>
            </w:r>
          </w:p>
        </w:tc>
        <w:tc>
          <w:tcPr>
            <w:tcW w:w="133" w:type="dxa"/>
            <w:tcBorders/>
            <w:shd w:fill="auto" w:val="clear"/>
            <w:vAlign w:val="bottom"/>
          </w:tcPr>
          <w:p>
            <w:pPr>
              <w:pStyle w:val="TableContents"/>
              <w:spacing w:before="0" w:after="283"/>
              <w:rPr/>
            </w:pPr>
            <w:r>
              <w:rPr/>
              <w:t>)</w:t>
            </w:r>
          </w:p>
        </w:tc>
      </w:tr>
      <w:tr>
        <w:trPr/>
        <w:tc>
          <w:tcPr>
            <w:tcW w:w="5868" w:type="dxa"/>
            <w:tcBorders/>
            <w:shd w:fill="CCEEFF" w:val="clear"/>
            <w:vAlign w:val="bottom"/>
          </w:tcPr>
          <w:p>
            <w:pPr>
              <w:pStyle w:val="TableContents"/>
              <w:spacing w:before="0" w:after="0"/>
              <w:ind w:left="450" w:right="0" w:hanging="225"/>
              <w:rPr/>
            </w:pPr>
            <w:r>
              <w:rPr/>
              <w:t>Restricted stock</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57" w:type="dxa"/>
            <w:tcBorders/>
            <w:shd w:fill="CCEEFF" w:val="clear"/>
            <w:vAlign w:val="bottom"/>
          </w:tcPr>
          <w:p>
            <w:pPr>
              <w:pStyle w:val="TableContents"/>
              <w:spacing w:before="0" w:after="283"/>
              <w:jc w:val="right"/>
              <w:rPr/>
            </w:pPr>
            <w:r>
              <w:rPr/>
              <w:t>(206</w:t>
            </w:r>
          </w:p>
        </w:tc>
        <w:tc>
          <w:tcPr>
            <w:tcW w:w="133" w:type="dxa"/>
            <w:tcBorders/>
            <w:shd w:fill="CCEEFF" w:val="clear"/>
            <w:vAlign w:val="bottom"/>
          </w:tcPr>
          <w:p>
            <w:pPr>
              <w:pStyle w:val="TableContents"/>
              <w:spacing w:before="0" w:after="283"/>
              <w:rPr/>
            </w:pPr>
            <w:r>
              <w:rPr/>
              <w:t>)</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712" w:type="dxa"/>
            <w:tcBorders/>
            <w:shd w:fill="CCEEFF" w:val="clear"/>
            <w:vAlign w:val="bottom"/>
          </w:tcPr>
          <w:p>
            <w:pPr>
              <w:pStyle w:val="TableContents"/>
              <w:spacing w:before="0" w:after="283"/>
              <w:jc w:val="right"/>
              <w:rPr/>
            </w:pPr>
            <w:r>
              <w:rPr/>
              <w:t>(26</w:t>
            </w:r>
          </w:p>
        </w:tc>
        <w:tc>
          <w:tcPr>
            <w:tcW w:w="133" w:type="dxa"/>
            <w:tcBorders/>
            <w:shd w:fill="CCEEFF" w:val="clear"/>
            <w:vAlign w:val="bottom"/>
          </w:tcPr>
          <w:p>
            <w:pPr>
              <w:pStyle w:val="TableContents"/>
              <w:spacing w:before="0" w:after="283"/>
              <w:rPr/>
            </w:pPr>
            <w:r>
              <w:rPr/>
              <w:t>)</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(836</w:t>
            </w:r>
          </w:p>
        </w:tc>
        <w:tc>
          <w:tcPr>
            <w:tcW w:w="133" w:type="dxa"/>
            <w:tcBorders/>
            <w:shd w:fill="CCEEFF" w:val="clear"/>
            <w:vAlign w:val="bottom"/>
          </w:tcPr>
          <w:p>
            <w:pPr>
              <w:pStyle w:val="TableContents"/>
              <w:spacing w:before="0" w:after="283"/>
              <w:rPr/>
            </w:pPr>
            <w:r>
              <w:rPr/>
              <w:t>)</w:t>
            </w:r>
          </w:p>
        </w:tc>
      </w:tr>
      <w:tr>
        <w:trPr/>
        <w:tc>
          <w:tcPr>
            <w:tcW w:w="5868" w:type="dxa"/>
            <w:tcBorders/>
            <w:shd w:fill="auto" w:val="clear"/>
            <w:vAlign w:val="center"/>
          </w:tcPr>
          <w:p>
            <w:pPr>
              <w:pStyle w:val="TableContents"/>
              <w:spacing w:before="0" w:after="0"/>
              <w:ind w:left="225" w:right="0" w:hanging="225"/>
              <w:rPr/>
            </w:pPr>
            <w:r>
              <w:rPr/>
              <w:t> </w:t>
            </w:r>
          </w:p>
        </w:tc>
        <w:tc>
          <w:tcPr>
            <w:tcW w:w="446" w:type="dxa"/>
            <w:tcBorders/>
            <w:shd w:fill="auto" w:val="clear"/>
            <w:vAlign w:val="center"/>
          </w:tcPr>
          <w:p>
            <w:pPr>
              <w:pStyle w:val="TableContents"/>
              <w:spacing w:before="0" w:after="283"/>
              <w:rPr/>
            </w:pPr>
            <w:r>
              <w:rPr/>
              <w:t> </w:t>
            </w:r>
          </w:p>
        </w:tc>
        <w:tc>
          <w:tcPr>
            <w:tcW w:w="8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8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9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5868" w:type="dxa"/>
            <w:tcBorders/>
            <w:shd w:fill="auto" w:val="clear"/>
            <w:vAlign w:val="bottom"/>
          </w:tcPr>
          <w:p>
            <w:pPr>
              <w:pStyle w:val="TableContents"/>
              <w:spacing w:before="0" w:after="0"/>
              <w:ind w:left="450" w:right="0" w:hanging="225"/>
              <w:rPr/>
            </w:pPr>
            <w:r>
              <w:rPr/>
              <w:t>Total income tax benefits</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657" w:type="dxa"/>
            <w:tcBorders/>
            <w:shd w:fill="auto" w:val="clear"/>
            <w:vAlign w:val="bottom"/>
          </w:tcPr>
          <w:p>
            <w:pPr>
              <w:pStyle w:val="TableContents"/>
              <w:spacing w:before="0" w:after="283"/>
              <w:jc w:val="right"/>
              <w:rPr/>
            </w:pPr>
            <w:r>
              <w:rPr/>
              <w:t>(206</w:t>
            </w:r>
          </w:p>
        </w:tc>
        <w:tc>
          <w:tcPr>
            <w:tcW w:w="133" w:type="dxa"/>
            <w:tcBorders/>
            <w:shd w:fill="auto" w:val="clear"/>
            <w:vAlign w:val="bottom"/>
          </w:tcPr>
          <w:p>
            <w:pPr>
              <w:pStyle w:val="TableContents"/>
              <w:spacing w:before="0" w:after="283"/>
              <w:rPr/>
            </w:pPr>
            <w:r>
              <w:rPr/>
              <w:t>)</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712" w:type="dxa"/>
            <w:tcBorders/>
            <w:shd w:fill="auto" w:val="clear"/>
            <w:vAlign w:val="bottom"/>
          </w:tcPr>
          <w:p>
            <w:pPr>
              <w:pStyle w:val="TableContents"/>
              <w:spacing w:before="0" w:after="283"/>
              <w:jc w:val="right"/>
              <w:rPr/>
            </w:pPr>
            <w:r>
              <w:rPr/>
              <w:t>(180</w:t>
            </w:r>
          </w:p>
        </w:tc>
        <w:tc>
          <w:tcPr>
            <w:tcW w:w="133" w:type="dxa"/>
            <w:tcBorders/>
            <w:shd w:fill="auto" w:val="clear"/>
            <w:vAlign w:val="bottom"/>
          </w:tcPr>
          <w:p>
            <w:pPr>
              <w:pStyle w:val="TableContents"/>
              <w:spacing w:before="0" w:after="283"/>
              <w:rPr/>
            </w:pPr>
            <w:r>
              <w:rPr/>
              <w:t>)</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(1,113</w:t>
            </w:r>
          </w:p>
        </w:tc>
        <w:tc>
          <w:tcPr>
            <w:tcW w:w="133" w:type="dxa"/>
            <w:tcBorders/>
            <w:shd w:fill="auto" w:val="clear"/>
            <w:vAlign w:val="bottom"/>
          </w:tcPr>
          <w:p>
            <w:pPr>
              <w:pStyle w:val="TableContents"/>
              <w:spacing w:before="0" w:after="283"/>
              <w:rPr/>
            </w:pPr>
            <w:r>
              <w:rPr/>
              <w:t>)</w:t>
            </w:r>
          </w:p>
        </w:tc>
      </w:tr>
      <w:tr>
        <w:trPr/>
        <w:tc>
          <w:tcPr>
            <w:tcW w:w="5868" w:type="dxa"/>
            <w:tcBorders/>
            <w:shd w:fill="auto" w:val="clear"/>
            <w:vAlign w:val="center"/>
          </w:tcPr>
          <w:p>
            <w:pPr>
              <w:pStyle w:val="TableContents"/>
              <w:spacing w:before="0" w:after="0"/>
              <w:ind w:left="225" w:right="0" w:hanging="225"/>
              <w:rPr/>
            </w:pPr>
            <w:r>
              <w:rPr/>
              <w:t> </w:t>
            </w:r>
          </w:p>
        </w:tc>
        <w:tc>
          <w:tcPr>
            <w:tcW w:w="446" w:type="dxa"/>
            <w:tcBorders/>
            <w:shd w:fill="auto" w:val="clear"/>
            <w:vAlign w:val="center"/>
          </w:tcPr>
          <w:p>
            <w:pPr>
              <w:pStyle w:val="TableContents"/>
              <w:spacing w:before="0" w:after="283"/>
              <w:rPr/>
            </w:pPr>
            <w:r>
              <w:rPr/>
              <w:t> </w:t>
            </w:r>
          </w:p>
        </w:tc>
        <w:tc>
          <w:tcPr>
            <w:tcW w:w="8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8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9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5868" w:type="dxa"/>
            <w:tcBorders/>
            <w:shd w:fill="auto" w:val="clear"/>
            <w:vAlign w:val="bottom"/>
          </w:tcPr>
          <w:p>
            <w:pPr>
              <w:pStyle w:val="TableContents"/>
              <w:spacing w:before="0" w:after="0"/>
              <w:ind w:left="225" w:right="0" w:hanging="225"/>
              <w:rPr/>
            </w:pPr>
            <w:r>
              <w:rPr/>
              <w:t> </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68" w:type="dxa"/>
            <w:tcBorders/>
            <w:shd w:fill="CCEEFF" w:val="clear"/>
            <w:vAlign w:val="bottom"/>
          </w:tcPr>
          <w:p>
            <w:pPr>
              <w:pStyle w:val="TableContents"/>
              <w:spacing w:before="0" w:after="0"/>
              <w:ind w:left="225" w:right="0" w:hanging="225"/>
              <w:rPr/>
            </w:pPr>
            <w:r>
              <w:rPr/>
              <w:t>Net compensation expense</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657" w:type="dxa"/>
            <w:tcBorders/>
            <w:shd w:fill="CCEEFF" w:val="clear"/>
            <w:vAlign w:val="bottom"/>
          </w:tcPr>
          <w:p>
            <w:pPr>
              <w:pStyle w:val="TableContents"/>
              <w:spacing w:before="0" w:after="283"/>
              <w:jc w:val="right"/>
              <w:rPr/>
            </w:pPr>
            <w:r>
              <w:rPr/>
              <w:t>382</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712" w:type="dxa"/>
            <w:tcBorders/>
            <w:shd w:fill="CCEEFF" w:val="clear"/>
            <w:vAlign w:val="bottom"/>
          </w:tcPr>
          <w:p>
            <w:pPr>
              <w:pStyle w:val="TableContents"/>
              <w:spacing w:before="0" w:after="283"/>
              <w:jc w:val="right"/>
              <w:rPr/>
            </w:pPr>
            <w:r>
              <w:rPr/>
              <w:t>1,217</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754" w:type="dxa"/>
            <w:tcBorders/>
            <w:shd w:fill="CCEEFF" w:val="clear"/>
            <w:vAlign w:val="bottom"/>
          </w:tcPr>
          <w:p>
            <w:pPr>
              <w:pStyle w:val="TableContents"/>
              <w:spacing w:before="0" w:after="283"/>
              <w:jc w:val="right"/>
              <w:rPr/>
            </w:pPr>
            <w:r>
              <w:rPr/>
              <w:t>2,514</w:t>
            </w:r>
          </w:p>
        </w:tc>
        <w:tc>
          <w:tcPr>
            <w:tcW w:w="133" w:type="dxa"/>
            <w:tcBorders/>
            <w:shd w:fill="CCEEFF" w:val="clear"/>
            <w:vAlign w:val="bottom"/>
          </w:tcPr>
          <w:p>
            <w:pPr>
              <w:pStyle w:val="TableContents"/>
              <w:spacing w:before="0" w:after="283"/>
              <w:rPr/>
            </w:pPr>
            <w:r>
              <w:rPr/>
              <w:t> </w:t>
            </w:r>
          </w:p>
        </w:tc>
      </w:tr>
      <w:tr>
        <w:trPr/>
        <w:tc>
          <w:tcPr>
            <w:tcW w:w="5868" w:type="dxa"/>
            <w:tcBorders/>
            <w:shd w:fill="auto" w:val="clear"/>
            <w:vAlign w:val="center"/>
          </w:tcPr>
          <w:p>
            <w:pPr>
              <w:pStyle w:val="TableContents"/>
              <w:spacing w:before="0" w:after="0"/>
              <w:ind w:left="225" w:right="0" w:hanging="225"/>
              <w:rPr/>
            </w:pPr>
            <w:r>
              <w:rPr/>
              <w:t> </w:t>
            </w:r>
          </w:p>
        </w:tc>
        <w:tc>
          <w:tcPr>
            <w:tcW w:w="446" w:type="dxa"/>
            <w:tcBorders/>
            <w:shd w:fill="auto" w:val="clear"/>
            <w:vAlign w:val="center"/>
          </w:tcPr>
          <w:p>
            <w:pPr>
              <w:pStyle w:val="TableContents"/>
              <w:spacing w:before="0" w:after="283"/>
              <w:rPr/>
            </w:pPr>
            <w:r>
              <w:rPr/>
              <w:t> </w:t>
            </w:r>
          </w:p>
        </w:tc>
        <w:tc>
          <w:tcPr>
            <w:tcW w:w="8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8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9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September 30, 2007, the unamortized fair value of share-based awards to be amortized over their remaining vesting periods was approximately $21.6 million. These costs will be amortized over a weighted average period of 8 years. </w:t>
      </w:r>
    </w:p>
    <w:p>
      <w:pPr>
        <w:pStyle w:val="TextBody"/>
        <w:jc w:val="center"/>
        <w:rPr>
          <w:rFonts w:ascii="Helvetica;Arial;sans-serif" w:hAnsi="Helvetica;Arial;sans-serif"/>
          <w:sz w:val="17"/>
        </w:rPr>
      </w:pPr>
      <w:r>
        <w:rPr>
          <w:rFonts w:ascii="Helvetica;Arial;sans-serif" w:hAnsi="Helvetica;Arial;sans-serif"/>
          <w:sz w:val="17"/>
        </w:rP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Results of Operations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i/>
          <w:sz w:val="17"/>
        </w:rPr>
        <w:t>Fiscal 2007 Compared to Fiscal 2006</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discussion compares our results of operations for the current year ended September 30, 2007 to the prior year ended September 30, 2006. It should be read with the accompanying consolidated financial statements and related notes. </w:t>
      </w:r>
    </w:p>
    <w:p>
      <w:pPr>
        <w:pStyle w:val="TextBody"/>
        <w:spacing w:before="360" w:after="283"/>
        <w:jc w:val="center"/>
        <w:rPr>
          <w:rFonts w:ascii="Helvetica;Arial;sans-serif" w:hAnsi="Helvetica;Arial;sans-serif"/>
          <w:sz w:val="17"/>
        </w:rPr>
      </w:pPr>
      <w:r>
        <w:rPr>
          <w:rFonts w:ascii="Helvetica;Arial;sans-serif" w:hAnsi="Helvetica;Arial;sans-serif"/>
          <w:b/>
          <w:sz w:val="17"/>
        </w:rPr>
        <w:t>EZPAWN Operations Segment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selected financial data for the EZPAWN Operations segment: </w:t>
      </w:r>
    </w:p>
    <w:tbl>
      <w:tblPr>
        <w:tblW w:w="5000" w:type="pct"/>
        <w:jc w:val="center"/>
        <w:tblInd w:w="0" w:type="dxa"/>
        <w:tblCellMar>
          <w:top w:w="0" w:type="dxa"/>
          <w:left w:w="0" w:type="dxa"/>
          <w:bottom w:w="0" w:type="dxa"/>
          <w:right w:w="0" w:type="dxa"/>
        </w:tblCellMar>
      </w:tblPr>
      <w:tblGrid>
        <w:gridCol w:w="6377"/>
        <w:gridCol w:w="411"/>
        <w:gridCol w:w="193"/>
        <w:gridCol w:w="1058"/>
        <w:gridCol w:w="258"/>
        <w:gridCol w:w="419"/>
        <w:gridCol w:w="193"/>
        <w:gridCol w:w="1062"/>
        <w:gridCol w:w="234"/>
      </w:tblGrid>
      <w:tr>
        <w:trPr/>
        <w:tc>
          <w:tcPr>
            <w:tcW w:w="6377"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3183"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2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3183" w:type="dxa"/>
            <w:gridSpan w:val="6"/>
            <w:tcBorders/>
            <w:shd w:fill="auto" w:val="clear"/>
            <w:vAlign w:val="bottom"/>
          </w:tcPr>
          <w:p>
            <w:pPr>
              <w:pStyle w:val="TableContents"/>
              <w:spacing w:before="0" w:after="283"/>
              <w:jc w:val="center"/>
              <w:rPr>
                <w:i/>
              </w:rPr>
            </w:pPr>
            <w:r>
              <w:rPr>
                <w:i/>
              </w:rPr>
              <w:t>(Dollars in thousands)</w:t>
            </w:r>
          </w:p>
        </w:tc>
        <w:tc>
          <w:tcPr>
            <w:tcW w:w="234" w:type="dxa"/>
            <w:tcBorders/>
            <w:shd w:fill="auto" w:val="clear"/>
            <w:vAlign w:val="bottom"/>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225" w:right="0" w:hanging="0"/>
              <w:rPr/>
            </w:pPr>
            <w:r>
              <w:rPr/>
              <w:t>Sales</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177,424</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62" w:type="dxa"/>
            <w:tcBorders/>
            <w:shd w:fill="CCEEFF" w:val="clear"/>
            <w:vAlign w:val="bottom"/>
          </w:tcPr>
          <w:p>
            <w:pPr>
              <w:pStyle w:val="TableContents"/>
              <w:spacing w:before="0" w:after="283"/>
              <w:jc w:val="right"/>
              <w:rPr/>
            </w:pPr>
            <w:r>
              <w:rPr/>
              <w:t>192,987</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Pawn service charges</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65,325</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73,551</w:t>
            </w:r>
          </w:p>
        </w:tc>
        <w:tc>
          <w:tcPr>
            <w:tcW w:w="234" w:type="dxa"/>
            <w:tcBorders/>
            <w:shd w:fill="auto" w:val="clear"/>
            <w:vAlign w:val="bottom"/>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225" w:right="0" w:hanging="0"/>
              <w:rPr/>
            </w:pPr>
            <w:r>
              <w:rPr/>
              <w:t>Signature loan fees</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3,155</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3,314</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Other</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1,263</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1,330</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center"/>
          </w:tcPr>
          <w:p>
            <w:pPr>
              <w:pStyle w:val="TableContents"/>
              <w:spacing w:before="0" w:after="0"/>
              <w:ind w:left="0" w:right="0" w:hanging="0"/>
              <w:rPr/>
            </w:pPr>
            <w:r>
              <w:rPr/>
              <w:t> </w:t>
            </w:r>
          </w:p>
        </w:tc>
        <w:tc>
          <w:tcPr>
            <w:tcW w:w="411" w:type="dxa"/>
            <w:tcBorders/>
            <w:shd w:fill="auto" w:val="clear"/>
            <w:vAlign w:val="center"/>
          </w:tcPr>
          <w:p>
            <w:pPr>
              <w:pStyle w:val="TableContents"/>
              <w:spacing w:before="0" w:after="283"/>
              <w:rPr/>
            </w:pPr>
            <w:r>
              <w:rPr/>
              <w:t> </w:t>
            </w:r>
          </w:p>
        </w:tc>
        <w:tc>
          <w:tcPr>
            <w:tcW w:w="12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450" w:right="0" w:hanging="0"/>
              <w:rPr/>
            </w:pPr>
            <w:r>
              <w:rPr/>
              <w:t>Total revenues</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247,167</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271,182</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Cost of goods sold</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106,873</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118,007</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center"/>
          </w:tcPr>
          <w:p>
            <w:pPr>
              <w:pStyle w:val="TableContents"/>
              <w:spacing w:before="0" w:after="0"/>
              <w:ind w:left="0" w:right="0" w:hanging="0"/>
              <w:rPr/>
            </w:pPr>
            <w:r>
              <w:rPr/>
              <w:t> </w:t>
            </w:r>
          </w:p>
        </w:tc>
        <w:tc>
          <w:tcPr>
            <w:tcW w:w="411" w:type="dxa"/>
            <w:tcBorders/>
            <w:shd w:fill="auto" w:val="clear"/>
            <w:vAlign w:val="center"/>
          </w:tcPr>
          <w:p>
            <w:pPr>
              <w:pStyle w:val="TableContents"/>
              <w:spacing w:before="0" w:after="283"/>
              <w:rPr/>
            </w:pPr>
            <w:r>
              <w:rPr/>
              <w:t> </w:t>
            </w:r>
          </w:p>
        </w:tc>
        <w:tc>
          <w:tcPr>
            <w:tcW w:w="12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450" w:right="0" w:hanging="0"/>
              <w:rPr/>
            </w:pPr>
            <w:r>
              <w:rPr/>
              <w:t>Net revenues</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140,294</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153,175</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0" w:right="0" w:hanging="0"/>
              <w:rPr/>
            </w:pPr>
            <w:r>
              <w:rPr/>
              <w:t>Store operating expenses:</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225" w:right="0" w:hanging="0"/>
              <w:rPr/>
            </w:pPr>
            <w:r>
              <w:rPr/>
              <w:t>Operations expense</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84,830</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87,555</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Signature loan bad debt</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1,286</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1,390</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center"/>
          </w:tcPr>
          <w:p>
            <w:pPr>
              <w:pStyle w:val="TableContents"/>
              <w:spacing w:before="0" w:after="0"/>
              <w:ind w:left="0" w:right="0" w:hanging="0"/>
              <w:rPr/>
            </w:pPr>
            <w:r>
              <w:rPr/>
              <w:t> </w:t>
            </w:r>
          </w:p>
        </w:tc>
        <w:tc>
          <w:tcPr>
            <w:tcW w:w="411" w:type="dxa"/>
            <w:tcBorders/>
            <w:shd w:fill="auto" w:val="clear"/>
            <w:vAlign w:val="center"/>
          </w:tcPr>
          <w:p>
            <w:pPr>
              <w:pStyle w:val="TableContents"/>
              <w:spacing w:before="0" w:after="283"/>
              <w:rPr/>
            </w:pPr>
            <w:r>
              <w:rPr/>
              <w:t> </w:t>
            </w:r>
          </w:p>
        </w:tc>
        <w:tc>
          <w:tcPr>
            <w:tcW w:w="12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450" w:right="0" w:hanging="0"/>
              <w:rPr/>
            </w:pPr>
            <w:r>
              <w:rPr/>
              <w:t>Total store operating expenses</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86,116</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88,945</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center"/>
          </w:tcPr>
          <w:p>
            <w:pPr>
              <w:pStyle w:val="TableContents"/>
              <w:spacing w:before="0" w:after="0"/>
              <w:ind w:left="0" w:right="0" w:hanging="0"/>
              <w:rPr/>
            </w:pPr>
            <w:r>
              <w:rPr/>
              <w:t> </w:t>
            </w:r>
          </w:p>
        </w:tc>
        <w:tc>
          <w:tcPr>
            <w:tcW w:w="411" w:type="dxa"/>
            <w:tcBorders/>
            <w:shd w:fill="auto" w:val="clear"/>
            <w:vAlign w:val="center"/>
          </w:tcPr>
          <w:p>
            <w:pPr>
              <w:pStyle w:val="TableContents"/>
              <w:spacing w:before="0" w:after="283"/>
              <w:rPr/>
            </w:pPr>
            <w:r>
              <w:rPr/>
              <w:t> </w:t>
            </w:r>
          </w:p>
        </w:tc>
        <w:tc>
          <w:tcPr>
            <w:tcW w:w="12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77" w:type="dxa"/>
            <w:tcBorders/>
            <w:shd w:fill="auto" w:val="clear"/>
            <w:vAlign w:val="bottom"/>
          </w:tcPr>
          <w:p>
            <w:pPr>
              <w:pStyle w:val="TableContents"/>
              <w:spacing w:before="0" w:after="0"/>
              <w:ind w:left="450" w:right="0" w:hanging="0"/>
              <w:rPr/>
            </w:pPr>
            <w:r>
              <w:rPr/>
              <w:t>Store operating income</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54,178</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62" w:type="dxa"/>
            <w:tcBorders/>
            <w:shd w:fill="auto" w:val="clear"/>
            <w:vAlign w:val="bottom"/>
          </w:tcPr>
          <w:p>
            <w:pPr>
              <w:pStyle w:val="TableContents"/>
              <w:spacing w:before="0" w:after="283"/>
              <w:jc w:val="right"/>
              <w:rPr/>
            </w:pPr>
            <w:r>
              <w:rPr/>
              <w:t>64,230</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center"/>
          </w:tcPr>
          <w:p>
            <w:pPr>
              <w:pStyle w:val="TableContents"/>
              <w:spacing w:before="0" w:after="0"/>
              <w:ind w:left="0" w:right="0" w:hanging="0"/>
              <w:rPr/>
            </w:pPr>
            <w:r>
              <w:rPr/>
              <w:t> </w:t>
            </w:r>
          </w:p>
        </w:tc>
        <w:tc>
          <w:tcPr>
            <w:tcW w:w="411" w:type="dxa"/>
            <w:tcBorders/>
            <w:shd w:fill="auto" w:val="clear"/>
            <w:vAlign w:val="center"/>
          </w:tcPr>
          <w:p>
            <w:pPr>
              <w:pStyle w:val="TableContents"/>
              <w:spacing w:before="0" w:after="283"/>
              <w:rPr/>
            </w:pPr>
            <w:r>
              <w:rPr/>
              <w:t> </w:t>
            </w:r>
          </w:p>
        </w:tc>
        <w:tc>
          <w:tcPr>
            <w:tcW w:w="12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0" w:right="0" w:hanging="0"/>
              <w:rPr/>
            </w:pPr>
            <w:r>
              <w:rPr/>
              <w:t>Other data:</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Gross margin on sales</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058" w:type="dxa"/>
            <w:tcBorders/>
            <w:shd w:fill="auto" w:val="clear"/>
            <w:vAlign w:val="bottom"/>
          </w:tcPr>
          <w:p>
            <w:pPr>
              <w:pStyle w:val="TableContents"/>
              <w:spacing w:before="0" w:after="283"/>
              <w:jc w:val="right"/>
              <w:rPr/>
            </w:pPr>
            <w:r>
              <w:rPr/>
              <w:t>40</w:t>
            </w:r>
          </w:p>
        </w:tc>
        <w:tc>
          <w:tcPr>
            <w:tcW w:w="258" w:type="dxa"/>
            <w:tcBorders/>
            <w:shd w:fill="auto" w:val="clear"/>
            <w:vAlign w:val="bottom"/>
          </w:tcPr>
          <w:p>
            <w:pPr>
              <w:pStyle w:val="TableContents"/>
              <w:spacing w:before="0" w:after="283"/>
              <w:rPr/>
            </w:pPr>
            <w:r>
              <w:rPr/>
              <w:t>%</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062" w:type="dxa"/>
            <w:tcBorders/>
            <w:shd w:fill="auto" w:val="clear"/>
            <w:vAlign w:val="bottom"/>
          </w:tcPr>
          <w:p>
            <w:pPr>
              <w:pStyle w:val="TableContents"/>
              <w:spacing w:before="0" w:after="283"/>
              <w:jc w:val="right"/>
              <w:rPr/>
            </w:pPr>
            <w:r>
              <w:rPr/>
              <w:t>39</w:t>
            </w:r>
          </w:p>
        </w:tc>
        <w:tc>
          <w:tcPr>
            <w:tcW w:w="234" w:type="dxa"/>
            <w:tcBorders/>
            <w:shd w:fill="auto" w:val="clear"/>
            <w:vAlign w:val="bottom"/>
          </w:tcPr>
          <w:p>
            <w:pPr>
              <w:pStyle w:val="TableContents"/>
              <w:spacing w:before="0" w:after="283"/>
              <w:rPr/>
            </w:pPr>
            <w:r>
              <w:rPr/>
              <w:t>%</w:t>
            </w:r>
          </w:p>
        </w:tc>
      </w:tr>
      <w:tr>
        <w:trPr/>
        <w:tc>
          <w:tcPr>
            <w:tcW w:w="6377" w:type="dxa"/>
            <w:tcBorders/>
            <w:shd w:fill="CCEEFF" w:val="clear"/>
            <w:vAlign w:val="bottom"/>
          </w:tcPr>
          <w:p>
            <w:pPr>
              <w:pStyle w:val="TableContents"/>
              <w:spacing w:before="0" w:after="0"/>
              <w:ind w:left="225" w:right="0" w:hanging="0"/>
              <w:rPr/>
            </w:pPr>
            <w:r>
              <w:rPr/>
              <w:t>Annual inventory turnover</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3.2</w:t>
            </w:r>
          </w:p>
        </w:tc>
        <w:tc>
          <w:tcPr>
            <w:tcW w:w="258" w:type="dxa"/>
            <w:tcBorders/>
            <w:shd w:fill="CCEEFF" w:val="clear"/>
            <w:vAlign w:val="bottom"/>
          </w:tcPr>
          <w:p>
            <w:pPr>
              <w:pStyle w:val="TableContents"/>
              <w:spacing w:before="0" w:after="283"/>
              <w:jc w:val="left"/>
              <w:rPr/>
            </w:pPr>
            <w:r>
              <w:rPr/>
              <w:t>x</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3.4</w:t>
            </w:r>
          </w:p>
        </w:tc>
        <w:tc>
          <w:tcPr>
            <w:tcW w:w="234" w:type="dxa"/>
            <w:tcBorders/>
            <w:shd w:fill="CCEEFF" w:val="clear"/>
            <w:vAlign w:val="bottom"/>
          </w:tcPr>
          <w:p>
            <w:pPr>
              <w:pStyle w:val="TableContents"/>
              <w:spacing w:before="0" w:after="283"/>
              <w:jc w:val="left"/>
              <w:rPr/>
            </w:pPr>
            <w:r>
              <w:rPr/>
              <w:t>x</w:t>
            </w:r>
          </w:p>
        </w:tc>
      </w:tr>
      <w:tr>
        <w:trPr/>
        <w:tc>
          <w:tcPr>
            <w:tcW w:w="6377" w:type="dxa"/>
            <w:tcBorders/>
            <w:shd w:fill="auto" w:val="clear"/>
            <w:vAlign w:val="bottom"/>
          </w:tcPr>
          <w:p>
            <w:pPr>
              <w:pStyle w:val="TableContents"/>
              <w:spacing w:before="0" w:after="0"/>
              <w:ind w:left="225" w:right="0" w:hanging="0"/>
              <w:rPr/>
            </w:pPr>
            <w:r>
              <w:rPr/>
              <w:t>Average pawn loan balance per pawn store at year end</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180</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62" w:type="dxa"/>
            <w:tcBorders/>
            <w:shd w:fill="auto" w:val="clear"/>
            <w:vAlign w:val="bottom"/>
          </w:tcPr>
          <w:p>
            <w:pPr>
              <w:pStyle w:val="TableContents"/>
              <w:spacing w:before="0" w:after="283"/>
              <w:jc w:val="right"/>
              <w:rPr/>
            </w:pPr>
            <w:r>
              <w:rPr/>
              <w:t>204</w:t>
            </w:r>
          </w:p>
        </w:tc>
        <w:tc>
          <w:tcPr>
            <w:tcW w:w="234" w:type="dxa"/>
            <w:tcBorders/>
            <w:shd w:fill="auto" w:val="clear"/>
            <w:vAlign w:val="bottom"/>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225" w:right="0" w:hanging="0"/>
              <w:rPr/>
            </w:pPr>
            <w:r>
              <w:rPr/>
              <w:t>Average inventory per pawn store at year end</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127</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62" w:type="dxa"/>
            <w:tcBorders/>
            <w:shd w:fill="CCEEFF" w:val="clear"/>
            <w:vAlign w:val="bottom"/>
          </w:tcPr>
          <w:p>
            <w:pPr>
              <w:pStyle w:val="TableContents"/>
              <w:spacing w:before="0" w:after="283"/>
              <w:jc w:val="right"/>
              <w:rPr/>
            </w:pPr>
            <w:r>
              <w:rPr/>
              <w:t>127</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Average yield on pawn loan portfolio (a)</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058" w:type="dxa"/>
            <w:tcBorders/>
            <w:shd w:fill="auto" w:val="clear"/>
            <w:vAlign w:val="bottom"/>
          </w:tcPr>
          <w:p>
            <w:pPr>
              <w:pStyle w:val="TableContents"/>
              <w:spacing w:before="0" w:after="283"/>
              <w:jc w:val="right"/>
              <w:rPr/>
            </w:pPr>
            <w:r>
              <w:rPr/>
              <w:t>139</w:t>
            </w:r>
          </w:p>
        </w:tc>
        <w:tc>
          <w:tcPr>
            <w:tcW w:w="258" w:type="dxa"/>
            <w:tcBorders/>
            <w:shd w:fill="auto" w:val="clear"/>
            <w:vAlign w:val="bottom"/>
          </w:tcPr>
          <w:p>
            <w:pPr>
              <w:pStyle w:val="TableContents"/>
              <w:spacing w:before="0" w:after="283"/>
              <w:rPr/>
            </w:pPr>
            <w:r>
              <w:rPr/>
              <w:t>%</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062" w:type="dxa"/>
            <w:tcBorders/>
            <w:shd w:fill="auto" w:val="clear"/>
            <w:vAlign w:val="bottom"/>
          </w:tcPr>
          <w:p>
            <w:pPr>
              <w:pStyle w:val="TableContents"/>
              <w:spacing w:before="0" w:after="283"/>
              <w:jc w:val="right"/>
              <w:rPr/>
            </w:pPr>
            <w:r>
              <w:rPr/>
              <w:t>143</w:t>
            </w:r>
          </w:p>
        </w:tc>
        <w:tc>
          <w:tcPr>
            <w:tcW w:w="234" w:type="dxa"/>
            <w:tcBorders/>
            <w:shd w:fill="auto" w:val="clear"/>
            <w:vAlign w:val="bottom"/>
          </w:tcPr>
          <w:p>
            <w:pPr>
              <w:pStyle w:val="TableContents"/>
              <w:spacing w:before="0" w:after="283"/>
              <w:rPr/>
            </w:pPr>
            <w:r>
              <w:rPr/>
              <w:t>%</w:t>
            </w:r>
          </w:p>
        </w:tc>
      </w:tr>
      <w:tr>
        <w:trPr/>
        <w:tc>
          <w:tcPr>
            <w:tcW w:w="6377" w:type="dxa"/>
            <w:tcBorders/>
            <w:shd w:fill="CCEEFF" w:val="clear"/>
            <w:vAlign w:val="bottom"/>
          </w:tcPr>
          <w:p>
            <w:pPr>
              <w:pStyle w:val="TableContents"/>
              <w:spacing w:before="0" w:after="0"/>
              <w:ind w:left="225" w:right="0" w:hanging="0"/>
              <w:rPr/>
            </w:pPr>
            <w:r>
              <w:rPr/>
              <w:t>Pawn loan redemption rate</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76</w:t>
            </w:r>
          </w:p>
        </w:tc>
        <w:tc>
          <w:tcPr>
            <w:tcW w:w="258" w:type="dxa"/>
            <w:tcBorders/>
            <w:shd w:fill="CCEEFF" w:val="clear"/>
            <w:vAlign w:val="bottom"/>
          </w:tcPr>
          <w:p>
            <w:pPr>
              <w:pStyle w:val="TableContents"/>
              <w:spacing w:before="0" w:after="283"/>
              <w:rPr/>
            </w:pPr>
            <w:r>
              <w:rPr/>
              <w:t>%</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77</w:t>
            </w:r>
          </w:p>
        </w:tc>
        <w:tc>
          <w:tcPr>
            <w:tcW w:w="234" w:type="dxa"/>
            <w:tcBorders/>
            <w:shd w:fill="CCEEFF" w:val="clear"/>
            <w:vAlign w:val="bottom"/>
          </w:tcPr>
          <w:p>
            <w:pPr>
              <w:pStyle w:val="TableContents"/>
              <w:spacing w:before="0" w:after="283"/>
              <w:rPr/>
            </w:pPr>
            <w:r>
              <w:rPr/>
              <w:t>%</w:t>
            </w:r>
          </w:p>
        </w:tc>
      </w:tr>
      <w:tr>
        <w:trPr/>
        <w:tc>
          <w:tcPr>
            <w:tcW w:w="6377" w:type="dxa"/>
            <w:tcBorders/>
            <w:shd w:fill="auto" w:val="clear"/>
            <w:vAlign w:val="bottom"/>
          </w:tcPr>
          <w:p>
            <w:pPr>
              <w:pStyle w:val="TableContents"/>
              <w:spacing w:before="0" w:after="0"/>
              <w:ind w:left="225" w:right="0" w:hanging="0"/>
              <w:rPr/>
            </w:pPr>
            <w:r>
              <w:rPr/>
              <w:t>Average signature loan balance per store offering signature loans at year end (b)</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12</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62" w:type="dxa"/>
            <w:tcBorders/>
            <w:shd w:fill="auto" w:val="clear"/>
            <w:vAlign w:val="bottom"/>
          </w:tcPr>
          <w:p>
            <w:pPr>
              <w:pStyle w:val="TableContents"/>
              <w:spacing w:before="0" w:after="283"/>
              <w:jc w:val="right"/>
              <w:rPr/>
            </w:pPr>
            <w:r>
              <w:rPr/>
              <w:t>12</w:t>
            </w:r>
          </w:p>
        </w:tc>
        <w:tc>
          <w:tcPr>
            <w:tcW w:w="234"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Average yield on pawn loan portfolio is calculated as pawn service charge revenue for the year divided by the average pawn loan balance during the year.</w:t>
            </w:r>
          </w:p>
        </w:tc>
      </w:tr>
      <w:tr>
        <w:trPr/>
        <w:tc>
          <w:tcPr>
            <w:tcW w:w="6829" w:type="dxa"/>
            <w:tcBorders/>
            <w:shd w:fill="auto" w:val="clear"/>
            <w:vAlign w:val="center"/>
          </w:tcPr>
          <w:p>
            <w:pPr>
              <w:pStyle w:val="TableContents"/>
              <w:spacing w:before="0" w:after="283"/>
              <w:rPr/>
            </w:pPr>
            <w:r>
              <w:rPr/>
              <w:t> </w:t>
            </w:r>
          </w:p>
        </w:tc>
        <w:tc>
          <w:tcPr>
            <w:tcW w:w="3376" w:type="dxa"/>
            <w:gridSpan w:val="2"/>
            <w:tcBorders/>
            <w:shd w:fill="auto" w:val="clea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(b)</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current year pawn service charge revenue increased 13%, or $8.2 million from the prior year to $73.6 million. This was due to a four percentage point increase in loan yields to 143%, coupled with a 9% higher average pawn loan balance. Same store pawn service charges increased 10% from the prior year, with the remaining increase coming from new stores. In the last two years, we have periodically raised our loan values on gold jewelry in response to increases in gold market values and similar changes by our competitors. This contributed about $4.3 million to the increase in pawn service charges in the current year. The higher yield resulted largely from the fiscal 2006 mid-year conversion of most of our pawn stores from offering 90-day loan terms to offering 60-day terms. </w:t>
      </w:r>
    </w:p>
    <w:p>
      <w:pPr>
        <w:pStyle w:val="TextBody"/>
        <w:jc w:val="center"/>
        <w:rPr>
          <w:rFonts w:ascii="Helvetica;Arial;sans-serif" w:hAnsi="Helvetica;Arial;sans-serif"/>
          <w:sz w:val="17"/>
        </w:rPr>
      </w:pPr>
      <w:r>
        <w:rPr>
          <w:rFonts w:ascii="Helvetica;Arial;sans-serif" w:hAnsi="Helvetica;Arial;sans-serif"/>
          <w:sz w:val="17"/>
        </w:rP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the current year, $71.7 million of recorded pawn service charge revenue was collected in cash, and $1.9 million was due to an increase in pawn service charges receivable related to the larger ending portfolio in the current year. In the prior year, $66.6 million of recorded pawn service charge revenue was collected in cash, offset by a $1.3 million decrease in pawn service charges receivable. The decrease in the prior year accrual was primarily due to shortening the loan term in most of our pawn stores in that period. The accrual of pawn service charges is dependent on the size of the loan portfolio, the loan term and our estimate of collectible loans in the portfolio at the end of each period.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table below summarizes our sales volume, gross profit and gross margins: </w:t>
      </w:r>
    </w:p>
    <w:tbl>
      <w:tblPr>
        <w:tblW w:w="5000" w:type="pct"/>
        <w:jc w:val="center"/>
        <w:tblInd w:w="0" w:type="dxa"/>
        <w:tblCellMar>
          <w:top w:w="0" w:type="dxa"/>
          <w:left w:w="0" w:type="dxa"/>
          <w:bottom w:w="0" w:type="dxa"/>
          <w:right w:w="0" w:type="dxa"/>
        </w:tblCellMar>
      </w:tblPr>
      <w:tblGrid>
        <w:gridCol w:w="5696"/>
        <w:gridCol w:w="369"/>
        <w:gridCol w:w="292"/>
        <w:gridCol w:w="1235"/>
        <w:gridCol w:w="415"/>
        <w:gridCol w:w="415"/>
        <w:gridCol w:w="292"/>
        <w:gridCol w:w="1238"/>
        <w:gridCol w:w="253"/>
      </w:tblGrid>
      <w:tr>
        <w:trPr/>
        <w:tc>
          <w:tcPr>
            <w:tcW w:w="569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887"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52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3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887" w:type="dxa"/>
            <w:gridSpan w:val="6"/>
            <w:tcBorders/>
            <w:shd w:fill="auto" w:val="clear"/>
            <w:vAlign w:val="bottom"/>
          </w:tcPr>
          <w:p>
            <w:pPr>
              <w:pStyle w:val="TableContents"/>
              <w:spacing w:before="0" w:after="283"/>
              <w:jc w:val="center"/>
              <w:rPr>
                <w:i/>
              </w:rPr>
            </w:pPr>
            <w:r>
              <w:rPr>
                <w:i/>
              </w:rPr>
              <w:t>(Dollars in millions)</w:t>
            </w:r>
          </w:p>
        </w:tc>
        <w:tc>
          <w:tcPr>
            <w:tcW w:w="253" w:type="dxa"/>
            <w:tcBorders/>
            <w:shd w:fill="auto" w:val="clear"/>
            <w:vAlign w:val="bottom"/>
          </w:tcPr>
          <w:p>
            <w:pPr>
              <w:pStyle w:val="TableContents"/>
              <w:spacing w:before="0" w:after="283"/>
              <w:rPr/>
            </w:pPr>
            <w:r>
              <w:rPr/>
              <w:t> </w:t>
            </w:r>
          </w:p>
        </w:tc>
      </w:tr>
      <w:tr>
        <w:trPr/>
        <w:tc>
          <w:tcPr>
            <w:tcW w:w="5696" w:type="dxa"/>
            <w:tcBorders/>
            <w:shd w:fill="CCEEFF" w:val="clear"/>
            <w:vAlign w:val="bottom"/>
          </w:tcPr>
          <w:p>
            <w:pPr>
              <w:pStyle w:val="TableContents"/>
              <w:spacing w:before="0" w:after="0"/>
              <w:ind w:left="225" w:right="0" w:hanging="225"/>
              <w:rPr/>
            </w:pPr>
            <w:r>
              <w:rPr/>
              <w:t>Merchandise sales</w:t>
            </w:r>
          </w:p>
        </w:tc>
        <w:tc>
          <w:tcPr>
            <w:tcW w:w="36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w:t>
            </w:r>
          </w:p>
        </w:tc>
        <w:tc>
          <w:tcPr>
            <w:tcW w:w="1235" w:type="dxa"/>
            <w:tcBorders/>
            <w:shd w:fill="CCEEFF" w:val="clear"/>
            <w:vAlign w:val="bottom"/>
          </w:tcPr>
          <w:p>
            <w:pPr>
              <w:pStyle w:val="TableContents"/>
              <w:spacing w:before="0" w:after="283"/>
              <w:jc w:val="right"/>
              <w:rPr/>
            </w:pPr>
            <w:r>
              <w:rPr/>
              <w:t>134.3</w:t>
            </w:r>
          </w:p>
        </w:tc>
        <w:tc>
          <w:tcPr>
            <w:tcW w:w="41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w:t>
            </w:r>
          </w:p>
        </w:tc>
        <w:tc>
          <w:tcPr>
            <w:tcW w:w="1238" w:type="dxa"/>
            <w:tcBorders/>
            <w:shd w:fill="CCEEFF" w:val="clear"/>
            <w:vAlign w:val="bottom"/>
          </w:tcPr>
          <w:p>
            <w:pPr>
              <w:pStyle w:val="TableContents"/>
              <w:spacing w:before="0" w:after="283"/>
              <w:jc w:val="right"/>
              <w:rPr/>
            </w:pPr>
            <w:r>
              <w:rPr/>
              <w:t>141.1</w:t>
            </w:r>
          </w:p>
        </w:tc>
        <w:tc>
          <w:tcPr>
            <w:tcW w:w="253" w:type="dxa"/>
            <w:tcBorders/>
            <w:shd w:fill="CCEEFF"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0"/>
              <w:ind w:left="225" w:right="0" w:hanging="225"/>
              <w:rPr/>
            </w:pPr>
            <w:r>
              <w:rPr/>
              <w:t>Jewelry scrapping sales</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43.1</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51.9</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5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415"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pPr>
            <w:r>
              <w:rPr/>
              <w:t> </w:t>
            </w:r>
          </w:p>
        </w:tc>
        <w:tc>
          <w:tcPr>
            <w:tcW w:w="15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3" w:type="dxa"/>
            <w:tcBorders/>
            <w:shd w:fill="auto" w:val="clear"/>
            <w:vAlign w:val="center"/>
          </w:tcPr>
          <w:p>
            <w:pPr>
              <w:pStyle w:val="TableContents"/>
              <w:spacing w:before="0" w:after="283"/>
              <w:rPr/>
            </w:pPr>
            <w:r>
              <w:rPr/>
              <w:t> </w:t>
            </w:r>
          </w:p>
        </w:tc>
      </w:tr>
      <w:tr>
        <w:trPr/>
        <w:tc>
          <w:tcPr>
            <w:tcW w:w="5696" w:type="dxa"/>
            <w:tcBorders/>
            <w:shd w:fill="CCEEFF" w:val="clear"/>
            <w:vAlign w:val="bottom"/>
          </w:tcPr>
          <w:p>
            <w:pPr>
              <w:pStyle w:val="TableContents"/>
              <w:spacing w:before="0" w:after="0"/>
              <w:ind w:left="225" w:right="0" w:hanging="225"/>
              <w:rPr/>
            </w:pPr>
            <w:r>
              <w:rPr/>
              <w:t>Total sales</w:t>
            </w:r>
          </w:p>
        </w:tc>
        <w:tc>
          <w:tcPr>
            <w:tcW w:w="36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177.4</w:t>
            </w:r>
          </w:p>
        </w:tc>
        <w:tc>
          <w:tcPr>
            <w:tcW w:w="41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193.0</w:t>
            </w:r>
          </w:p>
        </w:tc>
        <w:tc>
          <w:tcPr>
            <w:tcW w:w="253" w:type="dxa"/>
            <w:tcBorders/>
            <w:shd w:fill="CCEEFF"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0"/>
              <w:ind w:left="225" w:right="0" w:hanging="225"/>
              <w:rPr/>
            </w:pPr>
            <w:r>
              <w:rPr/>
              <w:t> </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0"/>
              <w:ind w:left="225" w:right="0" w:hanging="225"/>
              <w:rPr/>
            </w:pPr>
            <w:r>
              <w:rPr/>
              <w:t>Gross profit on merchandise sales</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w:t>
            </w:r>
          </w:p>
        </w:tc>
        <w:tc>
          <w:tcPr>
            <w:tcW w:w="1235" w:type="dxa"/>
            <w:tcBorders/>
            <w:shd w:fill="auto" w:val="clear"/>
            <w:vAlign w:val="bottom"/>
          </w:tcPr>
          <w:p>
            <w:pPr>
              <w:pStyle w:val="TableContents"/>
              <w:spacing w:before="0" w:after="283"/>
              <w:jc w:val="right"/>
              <w:rPr/>
            </w:pPr>
            <w:r>
              <w:rPr/>
              <w:t>55.9</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w:t>
            </w:r>
          </w:p>
        </w:tc>
        <w:tc>
          <w:tcPr>
            <w:tcW w:w="1238" w:type="dxa"/>
            <w:tcBorders/>
            <w:shd w:fill="auto" w:val="clear"/>
            <w:vAlign w:val="bottom"/>
          </w:tcPr>
          <w:p>
            <w:pPr>
              <w:pStyle w:val="TableContents"/>
              <w:spacing w:before="0" w:after="283"/>
              <w:jc w:val="right"/>
              <w:rPr/>
            </w:pPr>
            <w:r>
              <w:rPr/>
              <w:t>57.6</w:t>
            </w:r>
          </w:p>
        </w:tc>
        <w:tc>
          <w:tcPr>
            <w:tcW w:w="253" w:type="dxa"/>
            <w:tcBorders/>
            <w:shd w:fill="auto" w:val="clear"/>
            <w:vAlign w:val="bottom"/>
          </w:tcPr>
          <w:p>
            <w:pPr>
              <w:pStyle w:val="TableContents"/>
              <w:spacing w:before="0" w:after="283"/>
              <w:rPr/>
            </w:pPr>
            <w:r>
              <w:rPr/>
              <w:t> </w:t>
            </w:r>
          </w:p>
        </w:tc>
      </w:tr>
      <w:tr>
        <w:trPr/>
        <w:tc>
          <w:tcPr>
            <w:tcW w:w="5696" w:type="dxa"/>
            <w:tcBorders/>
            <w:shd w:fill="CCEEFF" w:val="clear"/>
            <w:vAlign w:val="bottom"/>
          </w:tcPr>
          <w:p>
            <w:pPr>
              <w:pStyle w:val="TableContents"/>
              <w:spacing w:before="0" w:after="0"/>
              <w:ind w:left="225" w:right="0" w:hanging="225"/>
              <w:rPr/>
            </w:pPr>
            <w:r>
              <w:rPr/>
              <w:t>Gross profit on jewelry scrapping sales</w:t>
            </w:r>
          </w:p>
        </w:tc>
        <w:tc>
          <w:tcPr>
            <w:tcW w:w="36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14.7</w:t>
            </w:r>
          </w:p>
        </w:tc>
        <w:tc>
          <w:tcPr>
            <w:tcW w:w="41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17.4</w:t>
            </w:r>
          </w:p>
        </w:tc>
        <w:tc>
          <w:tcPr>
            <w:tcW w:w="253" w:type="dxa"/>
            <w:tcBorders/>
            <w:shd w:fill="CCEEFF"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0"/>
              <w:ind w:left="225" w:right="0" w:hanging="225"/>
              <w:rPr/>
            </w:pPr>
            <w:r>
              <w:rPr/>
              <w:t> </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0"/>
              <w:ind w:left="225" w:right="0" w:hanging="225"/>
              <w:rPr/>
            </w:pPr>
            <w:r>
              <w:rPr/>
              <w:t>Gross margin on merchandise sales</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right"/>
              <w:rPr/>
            </w:pPr>
            <w:r>
              <w:rPr/>
              <w:t>41.6</w:t>
            </w:r>
          </w:p>
        </w:tc>
        <w:tc>
          <w:tcPr>
            <w:tcW w:w="415" w:type="dxa"/>
            <w:tcBorders/>
            <w:shd w:fill="auto" w:val="clear"/>
            <w:vAlign w:val="bottom"/>
          </w:tcPr>
          <w:p>
            <w:pPr>
              <w:pStyle w:val="TableContents"/>
              <w:spacing w:before="0" w:after="283"/>
              <w:rPr/>
            </w:pPr>
            <w:r>
              <w:rPr/>
              <w:t>%</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 </w:t>
            </w:r>
          </w:p>
        </w:tc>
        <w:tc>
          <w:tcPr>
            <w:tcW w:w="1238" w:type="dxa"/>
            <w:tcBorders/>
            <w:shd w:fill="auto" w:val="clear"/>
            <w:vAlign w:val="bottom"/>
          </w:tcPr>
          <w:p>
            <w:pPr>
              <w:pStyle w:val="TableContents"/>
              <w:spacing w:before="0" w:after="283"/>
              <w:jc w:val="right"/>
              <w:rPr/>
            </w:pPr>
            <w:r>
              <w:rPr/>
              <w:t>40.8</w:t>
            </w:r>
          </w:p>
        </w:tc>
        <w:tc>
          <w:tcPr>
            <w:tcW w:w="253" w:type="dxa"/>
            <w:tcBorders/>
            <w:shd w:fill="auto" w:val="clear"/>
            <w:vAlign w:val="bottom"/>
          </w:tcPr>
          <w:p>
            <w:pPr>
              <w:pStyle w:val="TableContents"/>
              <w:spacing w:before="0" w:after="283"/>
              <w:rPr/>
            </w:pPr>
            <w:r>
              <w:rPr/>
              <w:t>%</w:t>
            </w:r>
          </w:p>
        </w:tc>
      </w:tr>
      <w:tr>
        <w:trPr/>
        <w:tc>
          <w:tcPr>
            <w:tcW w:w="5696" w:type="dxa"/>
            <w:tcBorders/>
            <w:shd w:fill="CCEEFF" w:val="clear"/>
            <w:vAlign w:val="bottom"/>
          </w:tcPr>
          <w:p>
            <w:pPr>
              <w:pStyle w:val="TableContents"/>
              <w:spacing w:before="0" w:after="0"/>
              <w:ind w:left="225" w:right="0" w:hanging="225"/>
              <w:rPr/>
            </w:pPr>
            <w:r>
              <w:rPr/>
              <w:t>Gross margin on jewelry scrapping sales</w:t>
            </w:r>
          </w:p>
        </w:tc>
        <w:tc>
          <w:tcPr>
            <w:tcW w:w="36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pPr>
            <w:r>
              <w:rPr/>
              <w:t>34.1</w:t>
            </w:r>
          </w:p>
        </w:tc>
        <w:tc>
          <w:tcPr>
            <w:tcW w:w="415" w:type="dxa"/>
            <w:tcBorders/>
            <w:shd w:fill="CCEEFF" w:val="clear"/>
            <w:vAlign w:val="bottom"/>
          </w:tcPr>
          <w:p>
            <w:pPr>
              <w:pStyle w:val="TableContents"/>
              <w:spacing w:before="0" w:after="283"/>
              <w:rPr/>
            </w:pPr>
            <w:r>
              <w:rPr/>
              <w:t>%</w:t>
            </w:r>
          </w:p>
        </w:tc>
        <w:tc>
          <w:tcPr>
            <w:tcW w:w="41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1238" w:type="dxa"/>
            <w:tcBorders/>
            <w:shd w:fill="CCEEFF" w:val="clear"/>
            <w:vAlign w:val="bottom"/>
          </w:tcPr>
          <w:p>
            <w:pPr>
              <w:pStyle w:val="TableContents"/>
              <w:spacing w:before="0" w:after="283"/>
              <w:jc w:val="right"/>
              <w:rPr/>
            </w:pPr>
            <w:r>
              <w:rPr/>
              <w:t>33.5</w:t>
            </w:r>
          </w:p>
        </w:tc>
        <w:tc>
          <w:tcPr>
            <w:tcW w:w="253" w:type="dxa"/>
            <w:tcBorders/>
            <w:shd w:fill="CCEEFF" w:val="clear"/>
            <w:vAlign w:val="bottom"/>
          </w:tcPr>
          <w:p>
            <w:pPr>
              <w:pStyle w:val="TableContents"/>
              <w:spacing w:before="0" w:after="283"/>
              <w:rPr/>
            </w:pPr>
            <w:r>
              <w:rPr/>
              <w:t>%</w:t>
            </w:r>
          </w:p>
        </w:tc>
      </w:tr>
      <w:tr>
        <w:trPr/>
        <w:tc>
          <w:tcPr>
            <w:tcW w:w="5696" w:type="dxa"/>
            <w:tcBorders/>
            <w:shd w:fill="auto" w:val="clear"/>
            <w:vAlign w:val="bottom"/>
          </w:tcPr>
          <w:p>
            <w:pPr>
              <w:pStyle w:val="TableContents"/>
              <w:spacing w:before="0" w:after="0"/>
              <w:ind w:left="225" w:right="0" w:hanging="225"/>
              <w:rPr/>
            </w:pPr>
            <w:r>
              <w:rPr/>
              <w:t>Overall gross margin</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right"/>
              <w:rPr/>
            </w:pPr>
            <w:r>
              <w:rPr/>
              <w:t>39.8</w:t>
            </w:r>
          </w:p>
        </w:tc>
        <w:tc>
          <w:tcPr>
            <w:tcW w:w="415" w:type="dxa"/>
            <w:tcBorders/>
            <w:shd w:fill="auto" w:val="clear"/>
            <w:vAlign w:val="bottom"/>
          </w:tcPr>
          <w:p>
            <w:pPr>
              <w:pStyle w:val="TableContents"/>
              <w:spacing w:before="0" w:after="283"/>
              <w:rPr/>
            </w:pPr>
            <w:r>
              <w:rPr/>
              <w:t>%</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 </w:t>
            </w:r>
          </w:p>
        </w:tc>
        <w:tc>
          <w:tcPr>
            <w:tcW w:w="1238" w:type="dxa"/>
            <w:tcBorders/>
            <w:shd w:fill="auto" w:val="clear"/>
            <w:vAlign w:val="bottom"/>
          </w:tcPr>
          <w:p>
            <w:pPr>
              <w:pStyle w:val="TableContents"/>
              <w:spacing w:before="0" w:after="283"/>
              <w:jc w:val="right"/>
              <w:rPr/>
            </w:pPr>
            <w:r>
              <w:rPr/>
              <w:t>38.9</w:t>
            </w:r>
          </w:p>
        </w:tc>
        <w:tc>
          <w:tcPr>
            <w:tcW w:w="253" w:type="dxa"/>
            <w:tcBorders/>
            <w:shd w:fill="auto" w:val="clear"/>
            <w:vAlign w:val="bottom"/>
          </w:tcPr>
          <w:p>
            <w:pPr>
              <w:pStyle w:val="TableContents"/>
              <w:spacing w:before="0" w:after="283"/>
              <w:rPr/>
            </w:pPr>
            <w:r>
              <w:rPr/>
              <w: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current year merchandise gross profit increased $1.7 million from the prior year to $57.6 million. This was due to a $4.0 million, or 3% increase in same store merchandise sales and a $2.8 million increase in new store sales, reduced by a 0.8 percentage point decrease in gross margins. In the prior year, we benefited from the doubling of loan forfeitures due to the reduction of loan terms in the majority of our stores. This provided a greater amount of fresh inventory in the second and third quarters of fiscal 2006 to fuel sales at a better margin. More aggressive discounting of electronics and jewelry and increased jewelry loan values in response to market increases in gold values also led to lower margins in the current year.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gross profit on jewelry scrapping sales increased $2.7 million from the prior year to $17.4 million. This was due to an $8.8 million, or 20% increase in jewelry scrapping sales on 7% more volume, and a 0.6 percentage point decrease in margins. The jewelry scrapping sales include the current year sale of approximately $1.6 million of loose diamonds removed from scrapped jewelry, compared to approximately $0.5 million in fiscal 2006. The proceeds refiners pay us for jewelry has increased in the last year in response to higher gold values. We also increased the amount we loan on jewelry and pay to purchase jewelry from customers, increasing the cost of these items. These factors had a $0.9 million positive net effect on the gross profit from jewelry scrapping sales.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Selected signature loan data for the EZPAWN Operations segment are as follows: </w:t>
      </w:r>
    </w:p>
    <w:tbl>
      <w:tblPr>
        <w:tblW w:w="5000" w:type="pct"/>
        <w:jc w:val="center"/>
        <w:tblInd w:w="0" w:type="dxa"/>
        <w:tblCellMar>
          <w:top w:w="0" w:type="dxa"/>
          <w:left w:w="0" w:type="dxa"/>
          <w:bottom w:w="0" w:type="dxa"/>
          <w:right w:w="0" w:type="dxa"/>
        </w:tblCellMar>
      </w:tblPr>
      <w:tblGrid>
        <w:gridCol w:w="6165"/>
        <w:gridCol w:w="416"/>
        <w:gridCol w:w="244"/>
        <w:gridCol w:w="1053"/>
        <w:gridCol w:w="335"/>
        <w:gridCol w:w="442"/>
        <w:gridCol w:w="244"/>
        <w:gridCol w:w="1055"/>
        <w:gridCol w:w="251"/>
      </w:tblGrid>
      <w:tr>
        <w:trPr/>
        <w:tc>
          <w:tcPr>
            <w:tcW w:w="616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r>
      <w:tr>
        <w:trPr/>
        <w:tc>
          <w:tcPr>
            <w:tcW w:w="616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373"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51" w:type="dxa"/>
            <w:tcBorders/>
            <w:shd w:fill="auto" w:val="clear"/>
            <w:vAlign w:val="bottom"/>
          </w:tcPr>
          <w:p>
            <w:pPr>
              <w:pStyle w:val="TableContents"/>
              <w:spacing w:before="0" w:after="283"/>
              <w:rPr/>
            </w:pPr>
            <w:r>
              <w:rPr/>
              <w:t> </w:t>
            </w:r>
          </w:p>
        </w:tc>
      </w:tr>
      <w:tr>
        <w:trPr/>
        <w:tc>
          <w:tcPr>
            <w:tcW w:w="616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9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335"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29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251" w:type="dxa"/>
            <w:tcBorders/>
            <w:shd w:fill="auto" w:val="clear"/>
            <w:vAlign w:val="bottom"/>
          </w:tcPr>
          <w:p>
            <w:pPr>
              <w:pStyle w:val="TableContents"/>
              <w:spacing w:before="0" w:after="283"/>
              <w:rPr/>
            </w:pPr>
            <w:r>
              <w:rPr/>
              <w:t> </w:t>
            </w:r>
          </w:p>
        </w:tc>
      </w:tr>
      <w:tr>
        <w:trPr/>
        <w:tc>
          <w:tcPr>
            <w:tcW w:w="616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3373" w:type="dxa"/>
            <w:gridSpan w:val="6"/>
            <w:tcBorders/>
            <w:shd w:fill="auto" w:val="clear"/>
            <w:vAlign w:val="bottom"/>
          </w:tcPr>
          <w:p>
            <w:pPr>
              <w:pStyle w:val="TableContents"/>
              <w:spacing w:before="0" w:after="283"/>
              <w:jc w:val="center"/>
              <w:rPr>
                <w:i/>
              </w:rPr>
            </w:pPr>
            <w:r>
              <w:rPr>
                <w:i/>
              </w:rPr>
              <w:t>(Dollars in thousands)</w:t>
            </w:r>
          </w:p>
        </w:tc>
        <w:tc>
          <w:tcPr>
            <w:tcW w:w="251" w:type="dxa"/>
            <w:tcBorders/>
            <w:shd w:fill="auto" w:val="clear"/>
            <w:vAlign w:val="bottom"/>
          </w:tcPr>
          <w:p>
            <w:pPr>
              <w:pStyle w:val="TableContents"/>
              <w:spacing w:before="0" w:after="283"/>
              <w:rPr/>
            </w:pPr>
            <w:r>
              <w:rPr/>
              <w:t> </w:t>
            </w:r>
          </w:p>
        </w:tc>
      </w:tr>
      <w:tr>
        <w:trPr/>
        <w:tc>
          <w:tcPr>
            <w:tcW w:w="6165" w:type="dxa"/>
            <w:tcBorders/>
            <w:shd w:fill="CCEEFF" w:val="clear"/>
            <w:vAlign w:val="bottom"/>
          </w:tcPr>
          <w:p>
            <w:pPr>
              <w:pStyle w:val="TableContents"/>
              <w:spacing w:before="0" w:after="0"/>
              <w:ind w:left="225" w:right="0" w:hanging="225"/>
              <w:rPr/>
            </w:pPr>
            <w:r>
              <w:rPr/>
              <w:t>Fee revenue</w:t>
            </w:r>
          </w:p>
        </w:tc>
        <w:tc>
          <w:tcPr>
            <w:tcW w:w="41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053" w:type="dxa"/>
            <w:tcBorders/>
            <w:shd w:fill="CCEEFF" w:val="clear"/>
            <w:vAlign w:val="bottom"/>
          </w:tcPr>
          <w:p>
            <w:pPr>
              <w:pStyle w:val="TableContents"/>
              <w:spacing w:before="0" w:after="283"/>
              <w:jc w:val="right"/>
              <w:rPr/>
            </w:pPr>
            <w:r>
              <w:rPr/>
              <w:t>3,155</w:t>
            </w:r>
          </w:p>
        </w:tc>
        <w:tc>
          <w:tcPr>
            <w:tcW w:w="335"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055" w:type="dxa"/>
            <w:tcBorders/>
            <w:shd w:fill="CCEEFF" w:val="clear"/>
            <w:vAlign w:val="bottom"/>
          </w:tcPr>
          <w:p>
            <w:pPr>
              <w:pStyle w:val="TableContents"/>
              <w:spacing w:before="0" w:after="283"/>
              <w:jc w:val="right"/>
              <w:rPr/>
            </w:pPr>
            <w:r>
              <w:rPr/>
              <w:t>3,314</w:t>
            </w:r>
          </w:p>
        </w:tc>
        <w:tc>
          <w:tcPr>
            <w:tcW w:w="251" w:type="dxa"/>
            <w:tcBorders/>
            <w:shd w:fill="CCEEFF" w:val="clear"/>
            <w:vAlign w:val="bottom"/>
          </w:tcPr>
          <w:p>
            <w:pPr>
              <w:pStyle w:val="TableContents"/>
              <w:spacing w:before="0" w:after="283"/>
              <w:rPr/>
            </w:pPr>
            <w:r>
              <w:rPr/>
              <w:t> </w:t>
            </w:r>
          </w:p>
        </w:tc>
      </w:tr>
      <w:tr>
        <w:trPr/>
        <w:tc>
          <w:tcPr>
            <w:tcW w:w="6165" w:type="dxa"/>
            <w:tcBorders/>
            <w:shd w:fill="auto" w:val="clear"/>
            <w:vAlign w:val="bottom"/>
          </w:tcPr>
          <w:p>
            <w:pPr>
              <w:pStyle w:val="TableContents"/>
              <w:spacing w:before="0" w:after="0"/>
              <w:ind w:left="225" w:right="0" w:hanging="225"/>
              <w:rPr/>
            </w:pPr>
            <w:r>
              <w:rPr/>
              <w:t>Net bad debt</w:t>
            </w:r>
          </w:p>
        </w:tc>
        <w:tc>
          <w:tcPr>
            <w:tcW w:w="4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1,286</w:t>
            </w:r>
          </w:p>
        </w:tc>
        <w:tc>
          <w:tcPr>
            <w:tcW w:w="335"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1,390</w:t>
            </w:r>
          </w:p>
        </w:tc>
        <w:tc>
          <w:tcPr>
            <w:tcW w:w="251" w:type="dxa"/>
            <w:tcBorders/>
            <w:shd w:fill="auto" w:val="clear"/>
            <w:vAlign w:val="bottom"/>
          </w:tcPr>
          <w:p>
            <w:pPr>
              <w:pStyle w:val="TableContents"/>
              <w:spacing w:before="0" w:after="283"/>
              <w:rPr/>
            </w:pPr>
            <w:r>
              <w:rPr/>
              <w:t> </w:t>
            </w:r>
          </w:p>
        </w:tc>
      </w:tr>
      <w:tr>
        <w:trPr/>
        <w:tc>
          <w:tcPr>
            <w:tcW w:w="6165"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12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5"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1" w:type="dxa"/>
            <w:tcBorders/>
            <w:shd w:fill="auto" w:val="clear"/>
            <w:vAlign w:val="center"/>
          </w:tcPr>
          <w:p>
            <w:pPr>
              <w:pStyle w:val="TableContents"/>
              <w:spacing w:before="0" w:after="283"/>
              <w:rPr/>
            </w:pPr>
            <w:r>
              <w:rPr/>
              <w:t> </w:t>
            </w:r>
          </w:p>
        </w:tc>
      </w:tr>
      <w:tr>
        <w:trPr/>
        <w:tc>
          <w:tcPr>
            <w:tcW w:w="6165" w:type="dxa"/>
            <w:tcBorders/>
            <w:shd w:fill="CCEEFF" w:val="clear"/>
            <w:vAlign w:val="bottom"/>
          </w:tcPr>
          <w:p>
            <w:pPr>
              <w:pStyle w:val="TableContents"/>
              <w:spacing w:before="0" w:after="0"/>
              <w:ind w:left="450" w:right="0" w:hanging="225"/>
              <w:rPr/>
            </w:pPr>
            <w:r>
              <w:rPr/>
              <w:t>Fee revenue less bad debt</w:t>
            </w:r>
          </w:p>
        </w:tc>
        <w:tc>
          <w:tcPr>
            <w:tcW w:w="41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053" w:type="dxa"/>
            <w:tcBorders/>
            <w:shd w:fill="CCEEFF" w:val="clear"/>
            <w:vAlign w:val="bottom"/>
          </w:tcPr>
          <w:p>
            <w:pPr>
              <w:pStyle w:val="TableContents"/>
              <w:spacing w:before="0" w:after="283"/>
              <w:jc w:val="right"/>
              <w:rPr/>
            </w:pPr>
            <w:r>
              <w:rPr/>
              <w:t>1,869</w:t>
            </w:r>
          </w:p>
        </w:tc>
        <w:tc>
          <w:tcPr>
            <w:tcW w:w="335"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055" w:type="dxa"/>
            <w:tcBorders/>
            <w:shd w:fill="CCEEFF" w:val="clear"/>
            <w:vAlign w:val="bottom"/>
          </w:tcPr>
          <w:p>
            <w:pPr>
              <w:pStyle w:val="TableContents"/>
              <w:spacing w:before="0" w:after="283"/>
              <w:jc w:val="right"/>
              <w:rPr/>
            </w:pPr>
            <w:r>
              <w:rPr/>
              <w:t>1,924</w:t>
            </w:r>
          </w:p>
        </w:tc>
        <w:tc>
          <w:tcPr>
            <w:tcW w:w="251" w:type="dxa"/>
            <w:tcBorders/>
            <w:shd w:fill="CCEEFF" w:val="clear"/>
            <w:vAlign w:val="bottom"/>
          </w:tcPr>
          <w:p>
            <w:pPr>
              <w:pStyle w:val="TableContents"/>
              <w:spacing w:before="0" w:after="283"/>
              <w:rPr/>
            </w:pPr>
            <w:r>
              <w:rPr/>
              <w:t> </w:t>
            </w:r>
          </w:p>
        </w:tc>
      </w:tr>
      <w:tr>
        <w:trPr/>
        <w:tc>
          <w:tcPr>
            <w:tcW w:w="6165" w:type="dxa"/>
            <w:tcBorders/>
            <w:shd w:fill="auto" w:val="clear"/>
            <w:vAlign w:val="center"/>
          </w:tcPr>
          <w:p>
            <w:pPr>
              <w:pStyle w:val="TableContents"/>
              <w:spacing w:before="0" w:after="0"/>
              <w:ind w:left="225" w:right="0" w:hanging="225"/>
              <w:rPr/>
            </w:pPr>
            <w:r>
              <w:rPr/>
              <w:t> </w:t>
            </w:r>
          </w:p>
        </w:tc>
        <w:tc>
          <w:tcPr>
            <w:tcW w:w="416" w:type="dxa"/>
            <w:tcBorders/>
            <w:shd w:fill="auto" w:val="clear"/>
            <w:vAlign w:val="center"/>
          </w:tcPr>
          <w:p>
            <w:pPr>
              <w:pStyle w:val="TableContents"/>
              <w:spacing w:before="0" w:after="283"/>
              <w:rPr/>
            </w:pPr>
            <w:r>
              <w:rPr/>
              <w:t> </w:t>
            </w:r>
          </w:p>
        </w:tc>
        <w:tc>
          <w:tcPr>
            <w:tcW w:w="12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35"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2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1" w:type="dxa"/>
            <w:tcBorders/>
            <w:shd w:fill="auto" w:val="clear"/>
            <w:vAlign w:val="center"/>
          </w:tcPr>
          <w:p>
            <w:pPr>
              <w:pStyle w:val="TableContents"/>
              <w:spacing w:before="0" w:after="283"/>
              <w:rPr/>
            </w:pPr>
            <w:r>
              <w:rPr/>
              <w:t> </w:t>
            </w:r>
          </w:p>
        </w:tc>
      </w:tr>
      <w:tr>
        <w:trPr/>
        <w:tc>
          <w:tcPr>
            <w:tcW w:w="6165" w:type="dxa"/>
            <w:tcBorders/>
            <w:shd w:fill="auto" w:val="clear"/>
            <w:vAlign w:val="bottom"/>
          </w:tcPr>
          <w:p>
            <w:pPr>
              <w:pStyle w:val="TableContents"/>
              <w:spacing w:before="0" w:after="0"/>
              <w:ind w:left="225" w:right="0" w:hanging="225"/>
              <w:rPr/>
            </w:pPr>
            <w:r>
              <w:rPr/>
              <w:t>Signature loan bad debt, as a percent of fee revenue</w:t>
            </w:r>
          </w:p>
        </w:tc>
        <w:tc>
          <w:tcPr>
            <w:tcW w:w="41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 </w:t>
            </w:r>
          </w:p>
        </w:tc>
        <w:tc>
          <w:tcPr>
            <w:tcW w:w="1053" w:type="dxa"/>
            <w:tcBorders/>
            <w:shd w:fill="auto" w:val="clear"/>
            <w:vAlign w:val="bottom"/>
          </w:tcPr>
          <w:p>
            <w:pPr>
              <w:pStyle w:val="TableContents"/>
              <w:spacing w:before="0" w:after="283"/>
              <w:jc w:val="right"/>
              <w:rPr/>
            </w:pPr>
            <w:r>
              <w:rPr/>
              <w:t>40.8</w:t>
            </w:r>
          </w:p>
        </w:tc>
        <w:tc>
          <w:tcPr>
            <w:tcW w:w="335" w:type="dxa"/>
            <w:tcBorders/>
            <w:shd w:fill="auto" w:val="clear"/>
            <w:vAlign w:val="bottom"/>
          </w:tcPr>
          <w:p>
            <w:pPr>
              <w:pStyle w:val="TableContents"/>
              <w:spacing w:before="0" w:after="283"/>
              <w:rPr/>
            </w:pPr>
            <w:r>
              <w:rPr/>
              <w:t>%</w:t>
            </w:r>
          </w:p>
        </w:tc>
        <w:tc>
          <w:tcPr>
            <w:tcW w:w="44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41.9</w:t>
            </w:r>
          </w:p>
        </w:tc>
        <w:tc>
          <w:tcPr>
            <w:tcW w:w="251" w:type="dxa"/>
            <w:tcBorders/>
            <w:shd w:fill="auto" w:val="clear"/>
            <w:vAlign w:val="bottom"/>
          </w:tcPr>
          <w:p>
            <w:pPr>
              <w:pStyle w:val="TableContents"/>
              <w:spacing w:before="0" w:after="283"/>
              <w:rPr/>
            </w:pPr>
            <w:r>
              <w:rPr/>
              <w: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segments signature loan contribution, or fee revenue less bad debt, increased $0.1 million in the current year, primarily due to an increase in same store signature loan revenues. </w:t>
      </w:r>
    </w:p>
    <w:p>
      <w:pPr>
        <w:pStyle w:val="TextBody"/>
        <w:jc w:val="center"/>
        <w:rPr>
          <w:rFonts w:ascii="Helvetica;Arial;sans-serif" w:hAnsi="Helvetica;Arial;sans-serif"/>
          <w:sz w:val="17"/>
        </w:rPr>
      </w:pPr>
      <w:r>
        <w:rPr>
          <w:rFonts w:ascii="Helvetica;Arial;sans-serif" w:hAnsi="Helvetica;Arial;sans-serif"/>
          <w:sz w:val="17"/>
        </w:rPr>
        <w:t xml:space="preserve">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Operations expense improved to 57% of net revenues ($87.6 million) in the current year from 60% of net revenues ($84.8 million) in the prior year, as operating expenses grew at a slower pace than the segments net revenues.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the current year, the $12.7 million greater net revenue from pawn activities and $0.1 million greater contribution from signature loans, partially offset by the $2.7 million higher operations expenses resulted in a $10.1 million overall increase in store operating income from the EZPAWN Operations segment compared to fiscal 2006. For the year, EZPAWN Operations made up 66% of consolidated store operating income compared to 68% in the prior year. </w:t>
      </w:r>
    </w:p>
    <w:p>
      <w:pPr>
        <w:pStyle w:val="TextBody"/>
        <w:spacing w:before="360" w:after="283"/>
        <w:jc w:val="center"/>
        <w:rPr>
          <w:rFonts w:ascii="Helvetica;Arial;sans-serif" w:hAnsi="Helvetica;Arial;sans-serif"/>
          <w:sz w:val="17"/>
        </w:rPr>
      </w:pPr>
      <w:r>
        <w:rPr>
          <w:rFonts w:ascii="Helvetica;Arial;sans-serif" w:hAnsi="Helvetica;Arial;sans-serif"/>
          <w:b/>
          <w:sz w:val="17"/>
        </w:rPr>
        <w:t>EZMONEY Operations Segment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6298"/>
        <w:gridCol w:w="413"/>
        <w:gridCol w:w="205"/>
        <w:gridCol w:w="1013"/>
        <w:gridCol w:w="277"/>
        <w:gridCol w:w="425"/>
        <w:gridCol w:w="205"/>
        <w:gridCol w:w="1130"/>
        <w:gridCol w:w="239"/>
      </w:tblGrid>
      <w:tr>
        <w:trPr/>
        <w:tc>
          <w:tcPr>
            <w:tcW w:w="6298"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298"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3255"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39" w:type="dxa"/>
            <w:tcBorders/>
            <w:shd w:fill="auto" w:val="clear"/>
            <w:vAlign w:val="bottom"/>
          </w:tcPr>
          <w:p>
            <w:pPr>
              <w:pStyle w:val="TableContents"/>
              <w:spacing w:before="0" w:after="283"/>
              <w:rPr/>
            </w:pPr>
            <w:r>
              <w:rPr/>
              <w:t> </w:t>
            </w:r>
          </w:p>
        </w:tc>
      </w:tr>
      <w:tr>
        <w:trPr/>
        <w:tc>
          <w:tcPr>
            <w:tcW w:w="6298"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21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7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33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239" w:type="dxa"/>
            <w:tcBorders/>
            <w:shd w:fill="auto" w:val="clear"/>
            <w:vAlign w:val="bottom"/>
          </w:tcPr>
          <w:p>
            <w:pPr>
              <w:pStyle w:val="TableContents"/>
              <w:spacing w:before="0" w:after="283"/>
              <w:rPr/>
            </w:pPr>
            <w:r>
              <w:rPr/>
              <w:t> </w:t>
            </w:r>
          </w:p>
        </w:tc>
      </w:tr>
      <w:tr>
        <w:trPr/>
        <w:tc>
          <w:tcPr>
            <w:tcW w:w="6298"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3255" w:type="dxa"/>
            <w:gridSpan w:val="6"/>
            <w:tcBorders/>
            <w:shd w:fill="auto" w:val="clear"/>
            <w:vAlign w:val="bottom"/>
          </w:tcPr>
          <w:p>
            <w:pPr>
              <w:pStyle w:val="TableContents"/>
              <w:spacing w:before="0" w:after="283"/>
              <w:jc w:val="center"/>
              <w:rPr>
                <w:i/>
              </w:rPr>
            </w:pPr>
            <w:r>
              <w:rPr>
                <w:i/>
              </w:rPr>
              <w:t>(Dollars in thousands)</w:t>
            </w:r>
          </w:p>
        </w:tc>
        <w:tc>
          <w:tcPr>
            <w:tcW w:w="239" w:type="dxa"/>
            <w:tcBorders/>
            <w:shd w:fill="auto" w:val="clear"/>
            <w:vAlign w:val="bottom"/>
          </w:tcPr>
          <w:p>
            <w:pPr>
              <w:pStyle w:val="TableContents"/>
              <w:spacing w:before="0" w:after="283"/>
              <w:rPr/>
            </w:pPr>
            <w:r>
              <w:rPr/>
              <w:t> </w:t>
            </w:r>
          </w:p>
        </w:tc>
      </w:tr>
      <w:tr>
        <w:trPr/>
        <w:tc>
          <w:tcPr>
            <w:tcW w:w="6298" w:type="dxa"/>
            <w:tcBorders/>
            <w:shd w:fill="CCEEFF" w:val="clear"/>
            <w:vAlign w:val="bottom"/>
          </w:tcPr>
          <w:p>
            <w:pPr>
              <w:pStyle w:val="TableContents"/>
              <w:spacing w:before="0" w:after="0"/>
              <w:ind w:left="450" w:right="0" w:hanging="225"/>
              <w:rPr/>
            </w:pPr>
            <w:r>
              <w:rPr/>
              <w:t>Signature loan fees</w:t>
            </w:r>
          </w:p>
        </w:tc>
        <w:tc>
          <w:tcPr>
            <w:tcW w:w="41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3" w:type="dxa"/>
            <w:tcBorders/>
            <w:shd w:fill="CCEEFF" w:val="clear"/>
            <w:vAlign w:val="bottom"/>
          </w:tcPr>
          <w:p>
            <w:pPr>
              <w:pStyle w:val="TableContents"/>
              <w:spacing w:before="0" w:after="283"/>
              <w:jc w:val="right"/>
              <w:rPr/>
            </w:pPr>
            <w:r>
              <w:rPr/>
              <w:t>68,685</w:t>
            </w:r>
          </w:p>
        </w:tc>
        <w:tc>
          <w:tcPr>
            <w:tcW w:w="27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130" w:type="dxa"/>
            <w:tcBorders/>
            <w:shd w:fill="CCEEFF" w:val="clear"/>
            <w:vAlign w:val="bottom"/>
          </w:tcPr>
          <w:p>
            <w:pPr>
              <w:pStyle w:val="TableContents"/>
              <w:spacing w:before="0" w:after="283"/>
              <w:jc w:val="right"/>
              <w:rPr/>
            </w:pPr>
            <w:r>
              <w:rPr/>
              <w:t>101,033</w:t>
            </w:r>
          </w:p>
        </w:tc>
        <w:tc>
          <w:tcPr>
            <w:tcW w:w="239" w:type="dxa"/>
            <w:tcBorders/>
            <w:shd w:fill="CCEEFF" w:val="clear"/>
            <w:vAlign w:val="bottom"/>
          </w:tcPr>
          <w:p>
            <w:pPr>
              <w:pStyle w:val="TableContents"/>
              <w:spacing w:before="0" w:after="283"/>
              <w:rPr/>
            </w:pPr>
            <w:r>
              <w:rPr/>
              <w:t> </w:t>
            </w:r>
          </w:p>
        </w:tc>
      </w:tr>
      <w:tr>
        <w:trPr/>
        <w:tc>
          <w:tcPr>
            <w:tcW w:w="6298" w:type="dxa"/>
            <w:tcBorders/>
            <w:shd w:fill="auto" w:val="clear"/>
            <w:vAlign w:val="bottom"/>
          </w:tcPr>
          <w:p>
            <w:pPr>
              <w:pStyle w:val="TableContents"/>
              <w:spacing w:before="0" w:after="0"/>
              <w:ind w:left="450" w:right="0" w:hanging="225"/>
              <w:rPr/>
            </w:pPr>
            <w:r>
              <w:rPr/>
              <w:t>Signature loan bad debt</w:t>
            </w:r>
          </w:p>
        </w:tc>
        <w:tc>
          <w:tcPr>
            <w:tcW w:w="41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16,611</w:t>
            </w:r>
          </w:p>
        </w:tc>
        <w:tc>
          <w:tcPr>
            <w:tcW w:w="27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27,118</w:t>
            </w:r>
          </w:p>
        </w:tc>
        <w:tc>
          <w:tcPr>
            <w:tcW w:w="239" w:type="dxa"/>
            <w:tcBorders/>
            <w:shd w:fill="auto" w:val="clear"/>
            <w:vAlign w:val="bottom"/>
          </w:tcPr>
          <w:p>
            <w:pPr>
              <w:pStyle w:val="TableContents"/>
              <w:spacing w:before="0" w:after="283"/>
              <w:rPr/>
            </w:pPr>
            <w:r>
              <w:rPr/>
              <w:t> </w:t>
            </w:r>
          </w:p>
        </w:tc>
      </w:tr>
      <w:tr>
        <w:trPr/>
        <w:tc>
          <w:tcPr>
            <w:tcW w:w="6298" w:type="dxa"/>
            <w:tcBorders/>
            <w:shd w:fill="auto" w:val="clear"/>
            <w:vAlign w:val="center"/>
          </w:tcPr>
          <w:p>
            <w:pPr>
              <w:pStyle w:val="TableContents"/>
              <w:spacing w:before="0" w:after="0"/>
              <w:ind w:left="225" w:right="0" w:hanging="225"/>
              <w:rPr/>
            </w:pPr>
            <w:r>
              <w:rPr/>
              <w:t> </w:t>
            </w:r>
          </w:p>
        </w:tc>
        <w:tc>
          <w:tcPr>
            <w:tcW w:w="413"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298" w:type="dxa"/>
            <w:tcBorders/>
            <w:shd w:fill="CCEEFF" w:val="clear"/>
            <w:vAlign w:val="bottom"/>
          </w:tcPr>
          <w:p>
            <w:pPr>
              <w:pStyle w:val="TableContents"/>
              <w:spacing w:before="0" w:after="0"/>
              <w:ind w:left="675" w:right="0" w:hanging="225"/>
              <w:rPr/>
            </w:pPr>
            <w:r>
              <w:rPr/>
              <w:t>Signature loan contribution (fees less bad debt)</w:t>
            </w:r>
          </w:p>
        </w:tc>
        <w:tc>
          <w:tcPr>
            <w:tcW w:w="41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52,074</w:t>
            </w:r>
          </w:p>
        </w:tc>
        <w:tc>
          <w:tcPr>
            <w:tcW w:w="27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73,915</w:t>
            </w:r>
          </w:p>
        </w:tc>
        <w:tc>
          <w:tcPr>
            <w:tcW w:w="239" w:type="dxa"/>
            <w:tcBorders/>
            <w:shd w:fill="CCEEFF" w:val="clear"/>
            <w:vAlign w:val="bottom"/>
          </w:tcPr>
          <w:p>
            <w:pPr>
              <w:pStyle w:val="TableContents"/>
              <w:spacing w:before="0" w:after="283"/>
              <w:rPr/>
            </w:pPr>
            <w:r>
              <w:rPr/>
              <w:t> </w:t>
            </w:r>
          </w:p>
        </w:tc>
      </w:tr>
      <w:tr>
        <w:trPr/>
        <w:tc>
          <w:tcPr>
            <w:tcW w:w="6298" w:type="dxa"/>
            <w:tcBorders/>
            <w:shd w:fill="auto" w:val="clear"/>
            <w:vAlign w:val="bottom"/>
          </w:tcPr>
          <w:p>
            <w:pPr>
              <w:pStyle w:val="TableContents"/>
              <w:spacing w:before="0" w:after="0"/>
              <w:ind w:left="225" w:right="0" w:hanging="225"/>
              <w:rPr/>
            </w:pPr>
            <w:r>
              <w:rPr/>
              <w:t> </w:t>
            </w:r>
          </w:p>
        </w:tc>
        <w:tc>
          <w:tcPr>
            <w:tcW w:w="41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298" w:type="dxa"/>
            <w:tcBorders/>
            <w:shd w:fill="auto" w:val="clear"/>
            <w:vAlign w:val="bottom"/>
          </w:tcPr>
          <w:p>
            <w:pPr>
              <w:pStyle w:val="TableContents"/>
              <w:spacing w:before="0" w:after="0"/>
              <w:ind w:left="450" w:right="0" w:hanging="225"/>
              <w:rPr/>
            </w:pPr>
            <w:r>
              <w:rPr/>
              <w:t>Operations expense</w:t>
            </w:r>
          </w:p>
        </w:tc>
        <w:tc>
          <w:tcPr>
            <w:tcW w:w="41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26,908</w:t>
            </w:r>
          </w:p>
        </w:tc>
        <w:tc>
          <w:tcPr>
            <w:tcW w:w="27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41,047</w:t>
            </w:r>
          </w:p>
        </w:tc>
        <w:tc>
          <w:tcPr>
            <w:tcW w:w="239" w:type="dxa"/>
            <w:tcBorders/>
            <w:shd w:fill="auto" w:val="clear"/>
            <w:vAlign w:val="bottom"/>
          </w:tcPr>
          <w:p>
            <w:pPr>
              <w:pStyle w:val="TableContents"/>
              <w:spacing w:before="0" w:after="283"/>
              <w:rPr/>
            </w:pPr>
            <w:r>
              <w:rPr/>
              <w:t> </w:t>
            </w:r>
          </w:p>
        </w:tc>
      </w:tr>
      <w:tr>
        <w:trPr/>
        <w:tc>
          <w:tcPr>
            <w:tcW w:w="6298" w:type="dxa"/>
            <w:tcBorders/>
            <w:shd w:fill="auto" w:val="clear"/>
            <w:vAlign w:val="center"/>
          </w:tcPr>
          <w:p>
            <w:pPr>
              <w:pStyle w:val="TableContents"/>
              <w:spacing w:before="0" w:after="0"/>
              <w:ind w:left="225" w:right="0" w:hanging="225"/>
              <w:rPr/>
            </w:pPr>
            <w:r>
              <w:rPr/>
              <w:t> </w:t>
            </w:r>
          </w:p>
        </w:tc>
        <w:tc>
          <w:tcPr>
            <w:tcW w:w="413"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298" w:type="dxa"/>
            <w:tcBorders/>
            <w:shd w:fill="CCEEFF" w:val="clear"/>
            <w:vAlign w:val="bottom"/>
          </w:tcPr>
          <w:p>
            <w:pPr>
              <w:pStyle w:val="TableContents"/>
              <w:spacing w:before="0" w:after="0"/>
              <w:ind w:left="675" w:right="0" w:hanging="225"/>
              <w:rPr/>
            </w:pPr>
            <w:r>
              <w:rPr/>
              <w:t>Store operating income</w:t>
            </w:r>
          </w:p>
        </w:tc>
        <w:tc>
          <w:tcPr>
            <w:tcW w:w="41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3" w:type="dxa"/>
            <w:tcBorders/>
            <w:shd w:fill="CCEEFF" w:val="clear"/>
            <w:vAlign w:val="bottom"/>
          </w:tcPr>
          <w:p>
            <w:pPr>
              <w:pStyle w:val="TableContents"/>
              <w:spacing w:before="0" w:after="283"/>
              <w:jc w:val="right"/>
              <w:rPr/>
            </w:pPr>
            <w:r>
              <w:rPr/>
              <w:t>25,166</w:t>
            </w:r>
          </w:p>
        </w:tc>
        <w:tc>
          <w:tcPr>
            <w:tcW w:w="27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130" w:type="dxa"/>
            <w:tcBorders/>
            <w:shd w:fill="CCEEFF" w:val="clear"/>
            <w:vAlign w:val="bottom"/>
          </w:tcPr>
          <w:p>
            <w:pPr>
              <w:pStyle w:val="TableContents"/>
              <w:spacing w:before="0" w:after="283"/>
              <w:jc w:val="right"/>
              <w:rPr/>
            </w:pPr>
            <w:r>
              <w:rPr/>
              <w:t>32,868</w:t>
            </w:r>
          </w:p>
        </w:tc>
        <w:tc>
          <w:tcPr>
            <w:tcW w:w="239" w:type="dxa"/>
            <w:tcBorders/>
            <w:shd w:fill="CCEEFF" w:val="clear"/>
            <w:vAlign w:val="bottom"/>
          </w:tcPr>
          <w:p>
            <w:pPr>
              <w:pStyle w:val="TableContents"/>
              <w:spacing w:before="0" w:after="283"/>
              <w:rPr/>
            </w:pPr>
            <w:r>
              <w:rPr/>
              <w:t> </w:t>
            </w:r>
          </w:p>
        </w:tc>
      </w:tr>
      <w:tr>
        <w:trPr/>
        <w:tc>
          <w:tcPr>
            <w:tcW w:w="6298" w:type="dxa"/>
            <w:tcBorders/>
            <w:shd w:fill="auto" w:val="clear"/>
            <w:vAlign w:val="center"/>
          </w:tcPr>
          <w:p>
            <w:pPr>
              <w:pStyle w:val="TableContents"/>
              <w:spacing w:before="0" w:after="0"/>
              <w:ind w:left="225" w:right="0" w:hanging="225"/>
              <w:rPr/>
            </w:pPr>
            <w:r>
              <w:rPr/>
              <w:t> </w:t>
            </w:r>
          </w:p>
        </w:tc>
        <w:tc>
          <w:tcPr>
            <w:tcW w:w="413" w:type="dxa"/>
            <w:tcBorders/>
            <w:shd w:fill="auto" w:val="clear"/>
            <w:vAlign w:val="center"/>
          </w:tcPr>
          <w:p>
            <w:pPr>
              <w:pStyle w:val="TableContents"/>
              <w:spacing w:before="0" w:after="283"/>
              <w:rPr/>
            </w:pPr>
            <w:r>
              <w:rPr/>
              <w:t> </w:t>
            </w:r>
          </w:p>
        </w:tc>
        <w:tc>
          <w:tcPr>
            <w:tcW w:w="12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298" w:type="dxa"/>
            <w:tcBorders/>
            <w:shd w:fill="auto" w:val="clear"/>
            <w:vAlign w:val="bottom"/>
          </w:tcPr>
          <w:p>
            <w:pPr>
              <w:pStyle w:val="TableContents"/>
              <w:spacing w:before="0" w:after="0"/>
              <w:ind w:left="225" w:right="0" w:hanging="225"/>
              <w:rPr/>
            </w:pPr>
            <w:r>
              <w:rPr/>
              <w:t> </w:t>
            </w:r>
          </w:p>
        </w:tc>
        <w:tc>
          <w:tcPr>
            <w:tcW w:w="41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298" w:type="dxa"/>
            <w:tcBorders/>
            <w:shd w:fill="auto" w:val="clear"/>
            <w:vAlign w:val="bottom"/>
          </w:tcPr>
          <w:p>
            <w:pPr>
              <w:pStyle w:val="TableContents"/>
              <w:spacing w:before="0" w:after="0"/>
              <w:ind w:left="225" w:right="0" w:hanging="225"/>
              <w:rPr/>
            </w:pPr>
            <w:r>
              <w:rPr/>
              <w:t>Other data:</w:t>
            </w:r>
          </w:p>
        </w:tc>
        <w:tc>
          <w:tcPr>
            <w:tcW w:w="41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298" w:type="dxa"/>
            <w:tcBorders/>
            <w:shd w:fill="CCEEFF" w:val="clear"/>
            <w:vAlign w:val="bottom"/>
          </w:tcPr>
          <w:p>
            <w:pPr>
              <w:pStyle w:val="TableContents"/>
              <w:spacing w:before="0" w:after="0"/>
              <w:ind w:left="450" w:right="0" w:hanging="225"/>
              <w:rPr/>
            </w:pPr>
            <w:r>
              <w:rPr/>
              <w:t>Signature loan bad debt as a percent of signature loan fees</w:t>
            </w:r>
          </w:p>
        </w:tc>
        <w:tc>
          <w:tcPr>
            <w:tcW w:w="41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24.2</w:t>
            </w:r>
          </w:p>
        </w:tc>
        <w:tc>
          <w:tcPr>
            <w:tcW w:w="277"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 </w:t>
            </w:r>
          </w:p>
        </w:tc>
        <w:tc>
          <w:tcPr>
            <w:tcW w:w="1130" w:type="dxa"/>
            <w:tcBorders/>
            <w:shd w:fill="CCEEFF" w:val="clear"/>
            <w:vAlign w:val="bottom"/>
          </w:tcPr>
          <w:p>
            <w:pPr>
              <w:pStyle w:val="TableContents"/>
              <w:spacing w:before="0" w:after="283"/>
              <w:jc w:val="right"/>
              <w:rPr/>
            </w:pPr>
            <w:r>
              <w:rPr/>
              <w:t>26.8</w:t>
            </w:r>
          </w:p>
        </w:tc>
        <w:tc>
          <w:tcPr>
            <w:tcW w:w="239" w:type="dxa"/>
            <w:tcBorders/>
            <w:shd w:fill="CCEEFF" w:val="clear"/>
            <w:vAlign w:val="bottom"/>
          </w:tcPr>
          <w:p>
            <w:pPr>
              <w:pStyle w:val="TableContents"/>
              <w:spacing w:before="0" w:after="283"/>
              <w:rPr/>
            </w:pPr>
            <w:r>
              <w:rPr/>
              <w:t>%</w:t>
            </w:r>
          </w:p>
        </w:tc>
      </w:tr>
      <w:tr>
        <w:trPr/>
        <w:tc>
          <w:tcPr>
            <w:tcW w:w="6298" w:type="dxa"/>
            <w:tcBorders/>
            <w:shd w:fill="auto" w:val="clear"/>
            <w:vAlign w:val="bottom"/>
          </w:tcPr>
          <w:p>
            <w:pPr>
              <w:pStyle w:val="TableContents"/>
              <w:spacing w:before="0" w:after="0"/>
              <w:ind w:left="450" w:right="0" w:hanging="225"/>
              <w:rPr/>
            </w:pPr>
            <w:r>
              <w:rPr/>
              <w:t>Average signature loan balance per store offering signature loans at year end (a)</w:t>
            </w:r>
          </w:p>
        </w:tc>
        <w:tc>
          <w:tcPr>
            <w:tcW w:w="41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013" w:type="dxa"/>
            <w:tcBorders/>
            <w:shd w:fill="auto" w:val="clear"/>
            <w:vAlign w:val="bottom"/>
          </w:tcPr>
          <w:p>
            <w:pPr>
              <w:pStyle w:val="TableContents"/>
              <w:spacing w:before="0" w:after="283"/>
              <w:jc w:val="right"/>
              <w:rPr/>
            </w:pPr>
            <w:r>
              <w:rPr/>
              <w:t>60</w:t>
            </w:r>
          </w:p>
        </w:tc>
        <w:tc>
          <w:tcPr>
            <w:tcW w:w="27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130" w:type="dxa"/>
            <w:tcBorders/>
            <w:shd w:fill="auto" w:val="clear"/>
            <w:vAlign w:val="bottom"/>
          </w:tcPr>
          <w:p>
            <w:pPr>
              <w:pStyle w:val="TableContents"/>
              <w:spacing w:before="0" w:after="283"/>
              <w:jc w:val="right"/>
              <w:rPr/>
            </w:pPr>
            <w:r>
              <w:rPr/>
              <w:t>64</w:t>
            </w:r>
          </w:p>
        </w:tc>
        <w:tc>
          <w:tcPr>
            <w:tcW w:w="239"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segments signature loan contribution, or fees less bad debt, increased $21.8 million, or 42% compared to fiscal 2006. The primary cause of the increased contribution was the higher average loan balances at existing stores and the addition of new stores, resulting in a 47% increase in the current year signature loan fee revenue. Signature loan bad debt increased $10.5 million to 26.8% of related fees in the current year compared to 24.2% in the prior year. Early in the third quarter of fiscal 2007, we revised some of our underwriting criteria to optimize our loan growth. The result was stronger than normal loan growth as well as a higher level of bad debt. Later in the third quarter, we refined our underwriting criteria specifically for new customers. As a result, our bad debt improved in the fourth quarter compared to the third quarter, but was approximately 4.5 percentage points higher as a percentage of related fees than the fourth quarter of fiscal 2006.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Operations expense increased $14.1 million in the current year to $41.0 million, or 41% of segment revenues from 39% in the prior year. The increase was mostly from additional labor, rent and other costs at new stores that have not yet matured. In the current year, operations expense was $113,390 per average store, compared to $103,890 per average store in fiscal 2006. Stores adjoining an EZPAWN location, which generally have lower operating costs, now comprise a smaller percentage of the total EZMONEY stores.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the current year, the $21.8 million increase in signature loan fees net of bad debt and $14.1 million greater operations expense resulted in a $7.7 million net increase in store operating income from the </w:t>
      </w:r>
    </w:p>
    <w:p>
      <w:pPr>
        <w:pStyle w:val="TextBody"/>
        <w:jc w:val="center"/>
        <w:rPr>
          <w:rFonts w:ascii="Helvetica;Arial;sans-serif" w:hAnsi="Helvetica;Arial;sans-serif"/>
          <w:sz w:val="17"/>
        </w:rPr>
      </w:pPr>
      <w:r>
        <w:rPr>
          <w:rFonts w:ascii="Helvetica;Arial;sans-serif" w:hAnsi="Helvetica;Arial;sans-serif"/>
          <w:sz w:val="17"/>
        </w:rPr>
        <w:t xml:space="preserve">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EZMONEY Operations segment. For the current year, EZMONEY Operations made up 34% of consolidated store operating income compared to 32% in fiscal 2006. </w:t>
      </w:r>
    </w:p>
    <w:p>
      <w:pPr>
        <w:pStyle w:val="TextBody"/>
        <w:spacing w:before="240" w:after="283"/>
        <w:jc w:val="left"/>
        <w:rPr>
          <w:rFonts w:ascii="Helvetica;Arial;sans-serif" w:hAnsi="Helvetica;Arial;sans-serif"/>
          <w:sz w:val="17"/>
        </w:rPr>
      </w:pPr>
      <w:r>
        <w:rPr>
          <w:rFonts w:ascii="Helvetica;Arial;sans-serif" w:hAnsi="Helvetica;Arial;sans-serif"/>
          <w:b/>
          <w:sz w:val="17"/>
        </w:rPr>
        <w:t>Other Items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items discussed below affect our consolidated financial results, but are not allocated between segments.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Administrative expenses in the current year were $31.7 million compared to $27.7 million in the prior year. This is an improvement of 0.8 of a percentage point to 12.5% when measured as a percent of net revenue. The dollar increase was due primarily to a $2.2 million increase in stock compensation, a $1.1 million increase in administrative labor and benefits, and a $0.5 million increase in information technology consulting fees.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Depreciation and amortization expense was $9.8 million in the current year, compared to $8.6 million in the prior year. Depreciation on assets placed in service, primarily related to new EZMONEY stores and acquisitions, exceeded the reduction from assets that became fully depreciated or were retired.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earned $1.7 million of interest income on our invested cash in the current year for a rate of return of 5.0%. In fiscal 2006, we earned $0.5 million of interest income on our invested cash, yielding a 4.1% rate of return.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With no debt in the current year, our $0.3 million interest expense was comprised mostly of the amortization of deferred financing costs and the commitment fee on our line of credit. Interest expense in the prior year was $0.4 million. In that period, we had an average debt balance of $1.6 million.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fiscal 2007 income tax expense was $22.1 million (36.8% of pretax income) compared to $16.2 million (35.7% of pretax income) for the prior year. The increase in effective tax rate is due primarily to a legislative change increasing our expected taxes in Texas.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Consolidated operating income for the current year improved $12.6 million over the prior year to $55.5 million. Contributing to this were the $10.1 million and $7.7 million increases in store operating income in our EZPAWN and EZMONEY Operations segments, partially offset by the $4.0 million increase in administrative expenses. After a $1.3 million improvement in net interest and a $5.8 million increase in income taxes and other smaller items, net income improved to $37.9 million in fiscal 2007 from $29.3 million in fiscal 2006. </w:t>
      </w:r>
    </w:p>
    <w:p>
      <w:pPr>
        <w:pStyle w:val="TextBody"/>
        <w:jc w:val="center"/>
        <w:rPr>
          <w:rFonts w:ascii="Helvetica;Arial;sans-serif" w:hAnsi="Helvetica;Arial;sans-serif"/>
          <w:sz w:val="17"/>
        </w:rPr>
      </w:pPr>
      <w:r>
        <w:rPr>
          <w:rFonts w:ascii="Helvetica;Arial;sans-serif" w:hAnsi="Helvetica;Arial;sans-serif"/>
          <w:sz w:val="17"/>
        </w:rPr>
        <w:t xml:space="preserve">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i/>
          <w:sz w:val="17"/>
        </w:rPr>
        <w:t>Fiscal 2006 Compared to Fiscal 2005</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discussion compares our results of operations for the year ended September 30, 2006 to the year ended September 30, 2005. It should be read with the accompanying consolidated financial statements and related notes. </w:t>
      </w:r>
    </w:p>
    <w:p>
      <w:pPr>
        <w:pStyle w:val="TextBody"/>
        <w:spacing w:before="360" w:after="283"/>
        <w:jc w:val="center"/>
        <w:rPr>
          <w:rFonts w:ascii="Helvetica;Arial;sans-serif" w:hAnsi="Helvetica;Arial;sans-serif"/>
          <w:sz w:val="17"/>
        </w:rPr>
      </w:pPr>
      <w:r>
        <w:rPr>
          <w:rFonts w:ascii="Helvetica;Arial;sans-serif" w:hAnsi="Helvetica;Arial;sans-serif"/>
          <w:b/>
          <w:sz w:val="17"/>
        </w:rPr>
        <w:t>EZPAWN Operations Segment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selected financial data for the EZPAWN Operations segment: </w:t>
      </w:r>
    </w:p>
    <w:tbl>
      <w:tblPr>
        <w:tblW w:w="5000" w:type="pct"/>
        <w:jc w:val="center"/>
        <w:tblInd w:w="0" w:type="dxa"/>
        <w:tblCellMar>
          <w:top w:w="0" w:type="dxa"/>
          <w:left w:w="0" w:type="dxa"/>
          <w:bottom w:w="0" w:type="dxa"/>
          <w:right w:w="0" w:type="dxa"/>
        </w:tblCellMar>
      </w:tblPr>
      <w:tblGrid>
        <w:gridCol w:w="6377"/>
        <w:gridCol w:w="411"/>
        <w:gridCol w:w="193"/>
        <w:gridCol w:w="1058"/>
        <w:gridCol w:w="258"/>
        <w:gridCol w:w="419"/>
        <w:gridCol w:w="193"/>
        <w:gridCol w:w="1062"/>
        <w:gridCol w:w="234"/>
      </w:tblGrid>
      <w:tr>
        <w:trPr/>
        <w:tc>
          <w:tcPr>
            <w:tcW w:w="6377"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3183"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25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3183" w:type="dxa"/>
            <w:gridSpan w:val="6"/>
            <w:tcBorders/>
            <w:shd w:fill="auto" w:val="clear"/>
            <w:vAlign w:val="bottom"/>
          </w:tcPr>
          <w:p>
            <w:pPr>
              <w:pStyle w:val="TableContents"/>
              <w:spacing w:before="0" w:after="283"/>
              <w:jc w:val="center"/>
              <w:rPr>
                <w:i/>
              </w:rPr>
            </w:pPr>
            <w:r>
              <w:rPr>
                <w:i/>
              </w:rPr>
              <w:t>(Dollars in thousands)</w:t>
            </w:r>
          </w:p>
        </w:tc>
        <w:tc>
          <w:tcPr>
            <w:tcW w:w="234" w:type="dxa"/>
            <w:tcBorders/>
            <w:shd w:fill="auto" w:val="clear"/>
            <w:vAlign w:val="bottom"/>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225" w:right="0" w:hanging="0"/>
              <w:rPr/>
            </w:pPr>
            <w:r>
              <w:rPr/>
              <w:t>Sales</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148,410</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62" w:type="dxa"/>
            <w:tcBorders/>
            <w:shd w:fill="CCEEFF" w:val="clear"/>
            <w:vAlign w:val="bottom"/>
          </w:tcPr>
          <w:p>
            <w:pPr>
              <w:pStyle w:val="TableContents"/>
              <w:spacing w:before="0" w:after="283"/>
              <w:jc w:val="right"/>
              <w:rPr/>
            </w:pPr>
            <w:r>
              <w:rPr/>
              <w:t>177,424</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Pawn service charges</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62,274</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65,325</w:t>
            </w:r>
          </w:p>
        </w:tc>
        <w:tc>
          <w:tcPr>
            <w:tcW w:w="234" w:type="dxa"/>
            <w:tcBorders/>
            <w:shd w:fill="auto" w:val="clear"/>
            <w:vAlign w:val="bottom"/>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225" w:right="0" w:hanging="0"/>
              <w:rPr/>
            </w:pPr>
            <w:r>
              <w:rPr/>
              <w:t>Signature loan fees</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5,664</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3,155</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Other</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1,275</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1,263</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center"/>
          </w:tcPr>
          <w:p>
            <w:pPr>
              <w:pStyle w:val="TableContents"/>
              <w:spacing w:before="0" w:after="0"/>
              <w:ind w:left="0" w:right="0" w:hanging="0"/>
              <w:rPr/>
            </w:pPr>
            <w:r>
              <w:rPr/>
              <w:t> </w:t>
            </w:r>
          </w:p>
        </w:tc>
        <w:tc>
          <w:tcPr>
            <w:tcW w:w="411" w:type="dxa"/>
            <w:tcBorders/>
            <w:shd w:fill="auto" w:val="clear"/>
            <w:vAlign w:val="center"/>
          </w:tcPr>
          <w:p>
            <w:pPr>
              <w:pStyle w:val="TableContents"/>
              <w:spacing w:before="0" w:after="283"/>
              <w:rPr/>
            </w:pPr>
            <w:r>
              <w:rPr/>
              <w:t> </w:t>
            </w:r>
          </w:p>
        </w:tc>
        <w:tc>
          <w:tcPr>
            <w:tcW w:w="12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450" w:right="0" w:hanging="0"/>
              <w:rPr/>
            </w:pPr>
            <w:r>
              <w:rPr/>
              <w:t>Total revenues</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217,623</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247,167</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Cost of goods sold</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90,678</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106,873</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center"/>
          </w:tcPr>
          <w:p>
            <w:pPr>
              <w:pStyle w:val="TableContents"/>
              <w:spacing w:before="0" w:after="0"/>
              <w:ind w:left="0" w:right="0" w:hanging="0"/>
              <w:rPr/>
            </w:pPr>
            <w:r>
              <w:rPr/>
              <w:t> </w:t>
            </w:r>
          </w:p>
        </w:tc>
        <w:tc>
          <w:tcPr>
            <w:tcW w:w="411" w:type="dxa"/>
            <w:tcBorders/>
            <w:shd w:fill="auto" w:val="clear"/>
            <w:vAlign w:val="center"/>
          </w:tcPr>
          <w:p>
            <w:pPr>
              <w:pStyle w:val="TableContents"/>
              <w:spacing w:before="0" w:after="283"/>
              <w:rPr/>
            </w:pPr>
            <w:r>
              <w:rPr/>
              <w:t> </w:t>
            </w:r>
          </w:p>
        </w:tc>
        <w:tc>
          <w:tcPr>
            <w:tcW w:w="12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450" w:right="0" w:hanging="0"/>
              <w:rPr/>
            </w:pPr>
            <w:r>
              <w:rPr/>
              <w:t>Net revenues</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126,945</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140,294</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0" w:right="0" w:hanging="0"/>
              <w:rPr/>
            </w:pPr>
            <w:r>
              <w:rPr/>
              <w:t>Store operating expenses:</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225" w:right="0" w:hanging="0"/>
              <w:rPr/>
            </w:pPr>
            <w:r>
              <w:rPr/>
              <w:t>Operations expense</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81,406</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84,830</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Signature loan bad debt</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1,346</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1,286</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center"/>
          </w:tcPr>
          <w:p>
            <w:pPr>
              <w:pStyle w:val="TableContents"/>
              <w:spacing w:before="0" w:after="0"/>
              <w:ind w:left="0" w:right="0" w:hanging="0"/>
              <w:rPr/>
            </w:pPr>
            <w:r>
              <w:rPr/>
              <w:t> </w:t>
            </w:r>
          </w:p>
        </w:tc>
        <w:tc>
          <w:tcPr>
            <w:tcW w:w="411" w:type="dxa"/>
            <w:tcBorders/>
            <w:shd w:fill="auto" w:val="clear"/>
            <w:vAlign w:val="center"/>
          </w:tcPr>
          <w:p>
            <w:pPr>
              <w:pStyle w:val="TableContents"/>
              <w:spacing w:before="0" w:after="283"/>
              <w:rPr/>
            </w:pPr>
            <w:r>
              <w:rPr/>
              <w:t> </w:t>
            </w:r>
          </w:p>
        </w:tc>
        <w:tc>
          <w:tcPr>
            <w:tcW w:w="12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450" w:right="0" w:hanging="0"/>
              <w:rPr/>
            </w:pPr>
            <w:r>
              <w:rPr/>
              <w:t>Total store operating expenses</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82,752</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86,116</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center"/>
          </w:tcPr>
          <w:p>
            <w:pPr>
              <w:pStyle w:val="TableContents"/>
              <w:spacing w:before="0" w:after="0"/>
              <w:ind w:left="0" w:right="0" w:hanging="0"/>
              <w:rPr/>
            </w:pPr>
            <w:r>
              <w:rPr/>
              <w:t> </w:t>
            </w:r>
          </w:p>
        </w:tc>
        <w:tc>
          <w:tcPr>
            <w:tcW w:w="411" w:type="dxa"/>
            <w:tcBorders/>
            <w:shd w:fill="auto" w:val="clear"/>
            <w:vAlign w:val="center"/>
          </w:tcPr>
          <w:p>
            <w:pPr>
              <w:pStyle w:val="TableContents"/>
              <w:spacing w:before="0" w:after="283"/>
              <w:rPr/>
            </w:pPr>
            <w:r>
              <w:rPr/>
              <w:t> </w:t>
            </w:r>
          </w:p>
        </w:tc>
        <w:tc>
          <w:tcPr>
            <w:tcW w:w="12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77" w:type="dxa"/>
            <w:tcBorders/>
            <w:shd w:fill="auto" w:val="clear"/>
            <w:vAlign w:val="bottom"/>
          </w:tcPr>
          <w:p>
            <w:pPr>
              <w:pStyle w:val="TableContents"/>
              <w:spacing w:before="0" w:after="0"/>
              <w:ind w:left="450" w:right="0" w:hanging="0"/>
              <w:rPr/>
            </w:pPr>
            <w:r>
              <w:rPr/>
              <w:t>Store operating income</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44,193</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62" w:type="dxa"/>
            <w:tcBorders/>
            <w:shd w:fill="auto" w:val="clear"/>
            <w:vAlign w:val="bottom"/>
          </w:tcPr>
          <w:p>
            <w:pPr>
              <w:pStyle w:val="TableContents"/>
              <w:spacing w:before="0" w:after="283"/>
              <w:jc w:val="right"/>
              <w:rPr/>
            </w:pPr>
            <w:r>
              <w:rPr/>
              <w:t>54,178</w:t>
            </w:r>
          </w:p>
        </w:tc>
        <w:tc>
          <w:tcPr>
            <w:tcW w:w="234" w:type="dxa"/>
            <w:tcBorders/>
            <w:shd w:fill="auto" w:val="clear"/>
            <w:vAlign w:val="bottom"/>
          </w:tcPr>
          <w:p>
            <w:pPr>
              <w:pStyle w:val="TableContents"/>
              <w:spacing w:before="0" w:after="283"/>
              <w:rPr/>
            </w:pPr>
            <w:r>
              <w:rPr/>
              <w:t> </w:t>
            </w:r>
          </w:p>
        </w:tc>
      </w:tr>
      <w:tr>
        <w:trPr/>
        <w:tc>
          <w:tcPr>
            <w:tcW w:w="6377" w:type="dxa"/>
            <w:tcBorders/>
            <w:shd w:fill="auto" w:val="clear"/>
            <w:vAlign w:val="center"/>
          </w:tcPr>
          <w:p>
            <w:pPr>
              <w:pStyle w:val="TableContents"/>
              <w:spacing w:before="0" w:after="0"/>
              <w:ind w:left="0" w:right="0" w:hanging="0"/>
              <w:rPr/>
            </w:pPr>
            <w:r>
              <w:rPr/>
              <w:t> </w:t>
            </w:r>
          </w:p>
        </w:tc>
        <w:tc>
          <w:tcPr>
            <w:tcW w:w="411" w:type="dxa"/>
            <w:tcBorders/>
            <w:shd w:fill="auto" w:val="clear"/>
            <w:vAlign w:val="center"/>
          </w:tcPr>
          <w:p>
            <w:pPr>
              <w:pStyle w:val="TableContents"/>
              <w:spacing w:before="0" w:after="283"/>
              <w:rPr/>
            </w:pPr>
            <w:r>
              <w:rPr/>
              <w:t> </w:t>
            </w:r>
          </w:p>
        </w:tc>
        <w:tc>
          <w:tcPr>
            <w:tcW w:w="12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4" w:type="dxa"/>
            <w:tcBorders/>
            <w:shd w:fill="auto" w:val="clear"/>
            <w:vAlign w:val="center"/>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0" w:right="0" w:hanging="0"/>
              <w:rPr/>
            </w:pPr>
            <w:r>
              <w:rPr/>
              <w:t>Other data:</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Gross margin on sales</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058" w:type="dxa"/>
            <w:tcBorders/>
            <w:shd w:fill="auto" w:val="clear"/>
            <w:vAlign w:val="bottom"/>
          </w:tcPr>
          <w:p>
            <w:pPr>
              <w:pStyle w:val="TableContents"/>
              <w:spacing w:before="0" w:after="283"/>
              <w:jc w:val="right"/>
              <w:rPr/>
            </w:pPr>
            <w:r>
              <w:rPr/>
              <w:t>39</w:t>
            </w:r>
          </w:p>
        </w:tc>
        <w:tc>
          <w:tcPr>
            <w:tcW w:w="258" w:type="dxa"/>
            <w:tcBorders/>
            <w:shd w:fill="auto" w:val="clear"/>
            <w:vAlign w:val="bottom"/>
          </w:tcPr>
          <w:p>
            <w:pPr>
              <w:pStyle w:val="TableContents"/>
              <w:spacing w:before="0" w:after="283"/>
              <w:rPr/>
            </w:pPr>
            <w:r>
              <w:rPr/>
              <w:t>%</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062" w:type="dxa"/>
            <w:tcBorders/>
            <w:shd w:fill="auto" w:val="clear"/>
            <w:vAlign w:val="bottom"/>
          </w:tcPr>
          <w:p>
            <w:pPr>
              <w:pStyle w:val="TableContents"/>
              <w:spacing w:before="0" w:after="283"/>
              <w:jc w:val="right"/>
              <w:rPr/>
            </w:pPr>
            <w:r>
              <w:rPr/>
              <w:t>40</w:t>
            </w:r>
          </w:p>
        </w:tc>
        <w:tc>
          <w:tcPr>
            <w:tcW w:w="234" w:type="dxa"/>
            <w:tcBorders/>
            <w:shd w:fill="auto" w:val="clear"/>
            <w:vAlign w:val="bottom"/>
          </w:tcPr>
          <w:p>
            <w:pPr>
              <w:pStyle w:val="TableContents"/>
              <w:spacing w:before="0" w:after="283"/>
              <w:rPr/>
            </w:pPr>
            <w:r>
              <w:rPr/>
              <w:t>%</w:t>
            </w:r>
          </w:p>
        </w:tc>
      </w:tr>
      <w:tr>
        <w:trPr/>
        <w:tc>
          <w:tcPr>
            <w:tcW w:w="6377" w:type="dxa"/>
            <w:tcBorders/>
            <w:shd w:fill="CCEEFF" w:val="clear"/>
            <w:vAlign w:val="bottom"/>
          </w:tcPr>
          <w:p>
            <w:pPr>
              <w:pStyle w:val="TableContents"/>
              <w:spacing w:before="0" w:after="0"/>
              <w:ind w:left="225" w:right="0" w:hanging="0"/>
              <w:rPr/>
            </w:pPr>
            <w:r>
              <w:rPr/>
              <w:t>Annual inventory turnover</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3.0</w:t>
            </w:r>
          </w:p>
        </w:tc>
        <w:tc>
          <w:tcPr>
            <w:tcW w:w="258" w:type="dxa"/>
            <w:tcBorders/>
            <w:shd w:fill="CCEEFF" w:val="clear"/>
            <w:vAlign w:val="bottom"/>
          </w:tcPr>
          <w:p>
            <w:pPr>
              <w:pStyle w:val="TableContents"/>
              <w:spacing w:before="0" w:after="283"/>
              <w:jc w:val="left"/>
              <w:rPr/>
            </w:pPr>
            <w:r>
              <w:rPr/>
              <w:t>x</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3.2</w:t>
            </w:r>
          </w:p>
        </w:tc>
        <w:tc>
          <w:tcPr>
            <w:tcW w:w="234" w:type="dxa"/>
            <w:tcBorders/>
            <w:shd w:fill="CCEEFF" w:val="clear"/>
            <w:vAlign w:val="bottom"/>
          </w:tcPr>
          <w:p>
            <w:pPr>
              <w:pStyle w:val="TableContents"/>
              <w:spacing w:before="0" w:after="283"/>
              <w:jc w:val="left"/>
              <w:rPr/>
            </w:pPr>
            <w:r>
              <w:rPr/>
              <w:t>x</w:t>
            </w:r>
          </w:p>
        </w:tc>
      </w:tr>
      <w:tr>
        <w:trPr/>
        <w:tc>
          <w:tcPr>
            <w:tcW w:w="6377" w:type="dxa"/>
            <w:tcBorders/>
            <w:shd w:fill="auto" w:val="clear"/>
            <w:vAlign w:val="bottom"/>
          </w:tcPr>
          <w:p>
            <w:pPr>
              <w:pStyle w:val="TableContents"/>
              <w:spacing w:before="0" w:after="0"/>
              <w:ind w:left="225" w:right="0" w:hanging="0"/>
              <w:rPr/>
            </w:pPr>
            <w:r>
              <w:rPr/>
              <w:t>Average pawn loan balance per pawn store at year end</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189</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62" w:type="dxa"/>
            <w:tcBorders/>
            <w:shd w:fill="auto" w:val="clear"/>
            <w:vAlign w:val="bottom"/>
          </w:tcPr>
          <w:p>
            <w:pPr>
              <w:pStyle w:val="TableContents"/>
              <w:spacing w:before="0" w:after="283"/>
              <w:jc w:val="right"/>
              <w:rPr/>
            </w:pPr>
            <w:r>
              <w:rPr/>
              <w:t>180</w:t>
            </w:r>
          </w:p>
        </w:tc>
        <w:tc>
          <w:tcPr>
            <w:tcW w:w="234" w:type="dxa"/>
            <w:tcBorders/>
            <w:shd w:fill="auto" w:val="clear"/>
            <w:vAlign w:val="bottom"/>
          </w:tcPr>
          <w:p>
            <w:pPr>
              <w:pStyle w:val="TableContents"/>
              <w:spacing w:before="0" w:after="283"/>
              <w:rPr/>
            </w:pPr>
            <w:r>
              <w:rPr/>
              <w:t> </w:t>
            </w:r>
          </w:p>
        </w:tc>
      </w:tr>
      <w:tr>
        <w:trPr/>
        <w:tc>
          <w:tcPr>
            <w:tcW w:w="6377" w:type="dxa"/>
            <w:tcBorders/>
            <w:shd w:fill="CCEEFF" w:val="clear"/>
            <w:vAlign w:val="bottom"/>
          </w:tcPr>
          <w:p>
            <w:pPr>
              <w:pStyle w:val="TableContents"/>
              <w:spacing w:before="0" w:after="0"/>
              <w:ind w:left="225" w:right="0" w:hanging="0"/>
              <w:rPr/>
            </w:pPr>
            <w:r>
              <w:rPr/>
              <w:t>Average inventory per pawn store at year end</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108</w:t>
            </w:r>
          </w:p>
        </w:tc>
        <w:tc>
          <w:tcPr>
            <w:tcW w:w="258"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62" w:type="dxa"/>
            <w:tcBorders/>
            <w:shd w:fill="CCEEFF" w:val="clear"/>
            <w:vAlign w:val="bottom"/>
          </w:tcPr>
          <w:p>
            <w:pPr>
              <w:pStyle w:val="TableContents"/>
              <w:spacing w:before="0" w:after="283"/>
              <w:jc w:val="right"/>
              <w:rPr/>
            </w:pPr>
            <w:r>
              <w:rPr/>
              <w:t>127</w:t>
            </w:r>
          </w:p>
        </w:tc>
        <w:tc>
          <w:tcPr>
            <w:tcW w:w="234" w:type="dxa"/>
            <w:tcBorders/>
            <w:shd w:fill="CCEEFF" w:val="clear"/>
            <w:vAlign w:val="bottom"/>
          </w:tcPr>
          <w:p>
            <w:pPr>
              <w:pStyle w:val="TableContents"/>
              <w:spacing w:before="0" w:after="283"/>
              <w:rPr/>
            </w:pPr>
            <w:r>
              <w:rPr/>
              <w:t> </w:t>
            </w:r>
          </w:p>
        </w:tc>
      </w:tr>
      <w:tr>
        <w:trPr/>
        <w:tc>
          <w:tcPr>
            <w:tcW w:w="6377" w:type="dxa"/>
            <w:tcBorders/>
            <w:shd w:fill="auto" w:val="clear"/>
            <w:vAlign w:val="bottom"/>
          </w:tcPr>
          <w:p>
            <w:pPr>
              <w:pStyle w:val="TableContents"/>
              <w:spacing w:before="0" w:after="0"/>
              <w:ind w:left="225" w:right="0" w:hanging="0"/>
              <w:rPr/>
            </w:pPr>
            <w:r>
              <w:rPr/>
              <w:t>Average yield on pawn loan portfolio (a)</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058" w:type="dxa"/>
            <w:tcBorders/>
            <w:shd w:fill="auto" w:val="clear"/>
            <w:vAlign w:val="bottom"/>
          </w:tcPr>
          <w:p>
            <w:pPr>
              <w:pStyle w:val="TableContents"/>
              <w:spacing w:before="0" w:after="283"/>
              <w:jc w:val="right"/>
              <w:rPr/>
            </w:pPr>
            <w:r>
              <w:rPr/>
              <w:t>133</w:t>
            </w:r>
          </w:p>
        </w:tc>
        <w:tc>
          <w:tcPr>
            <w:tcW w:w="258" w:type="dxa"/>
            <w:tcBorders/>
            <w:shd w:fill="auto" w:val="clear"/>
            <w:vAlign w:val="bottom"/>
          </w:tcPr>
          <w:p>
            <w:pPr>
              <w:pStyle w:val="TableContents"/>
              <w:spacing w:before="0" w:after="283"/>
              <w:rPr/>
            </w:pPr>
            <w:r>
              <w:rPr/>
              <w:t>%</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1062" w:type="dxa"/>
            <w:tcBorders/>
            <w:shd w:fill="auto" w:val="clear"/>
            <w:vAlign w:val="bottom"/>
          </w:tcPr>
          <w:p>
            <w:pPr>
              <w:pStyle w:val="TableContents"/>
              <w:spacing w:before="0" w:after="283"/>
              <w:jc w:val="right"/>
              <w:rPr/>
            </w:pPr>
            <w:r>
              <w:rPr/>
              <w:t>139</w:t>
            </w:r>
          </w:p>
        </w:tc>
        <w:tc>
          <w:tcPr>
            <w:tcW w:w="234" w:type="dxa"/>
            <w:tcBorders/>
            <w:shd w:fill="auto" w:val="clear"/>
            <w:vAlign w:val="bottom"/>
          </w:tcPr>
          <w:p>
            <w:pPr>
              <w:pStyle w:val="TableContents"/>
              <w:spacing w:before="0" w:after="283"/>
              <w:rPr/>
            </w:pPr>
            <w:r>
              <w:rPr/>
              <w:t>%</w:t>
            </w:r>
          </w:p>
        </w:tc>
      </w:tr>
      <w:tr>
        <w:trPr/>
        <w:tc>
          <w:tcPr>
            <w:tcW w:w="6377" w:type="dxa"/>
            <w:tcBorders/>
            <w:shd w:fill="CCEEFF" w:val="clear"/>
            <w:vAlign w:val="bottom"/>
          </w:tcPr>
          <w:p>
            <w:pPr>
              <w:pStyle w:val="TableContents"/>
              <w:spacing w:before="0" w:after="0"/>
              <w:ind w:left="225" w:right="0" w:hanging="0"/>
              <w:rPr/>
            </w:pPr>
            <w:r>
              <w:rPr/>
              <w:t>Pawn loan redemption rate</w:t>
            </w:r>
          </w:p>
        </w:tc>
        <w:tc>
          <w:tcPr>
            <w:tcW w:w="411"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77</w:t>
            </w:r>
          </w:p>
        </w:tc>
        <w:tc>
          <w:tcPr>
            <w:tcW w:w="258" w:type="dxa"/>
            <w:tcBorders/>
            <w:shd w:fill="CCEEFF" w:val="clear"/>
            <w:vAlign w:val="bottom"/>
          </w:tcPr>
          <w:p>
            <w:pPr>
              <w:pStyle w:val="TableContents"/>
              <w:spacing w:before="0" w:after="283"/>
              <w:rPr/>
            </w:pPr>
            <w:r>
              <w:rPr/>
              <w:t>%</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76</w:t>
            </w:r>
          </w:p>
        </w:tc>
        <w:tc>
          <w:tcPr>
            <w:tcW w:w="234" w:type="dxa"/>
            <w:tcBorders/>
            <w:shd w:fill="CCEEFF" w:val="clear"/>
            <w:vAlign w:val="bottom"/>
          </w:tcPr>
          <w:p>
            <w:pPr>
              <w:pStyle w:val="TableContents"/>
              <w:spacing w:before="0" w:after="283"/>
              <w:rPr/>
            </w:pPr>
            <w:r>
              <w:rPr/>
              <w:t>%</w:t>
            </w:r>
          </w:p>
        </w:tc>
      </w:tr>
      <w:tr>
        <w:trPr/>
        <w:tc>
          <w:tcPr>
            <w:tcW w:w="6377" w:type="dxa"/>
            <w:tcBorders/>
            <w:shd w:fill="auto" w:val="clear"/>
            <w:vAlign w:val="bottom"/>
          </w:tcPr>
          <w:p>
            <w:pPr>
              <w:pStyle w:val="TableContents"/>
              <w:spacing w:before="0" w:after="0"/>
              <w:ind w:left="225" w:right="0" w:hanging="0"/>
              <w:rPr/>
            </w:pPr>
            <w:r>
              <w:rPr/>
              <w:t>Average signature loan balance per store offering signature loans at year end (b)</w:t>
            </w:r>
          </w:p>
        </w:tc>
        <w:tc>
          <w:tcPr>
            <w:tcW w:w="41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7</w:t>
            </w:r>
          </w:p>
        </w:tc>
        <w:tc>
          <w:tcPr>
            <w:tcW w:w="258"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62" w:type="dxa"/>
            <w:tcBorders/>
            <w:shd w:fill="auto" w:val="clear"/>
            <w:vAlign w:val="bottom"/>
          </w:tcPr>
          <w:p>
            <w:pPr>
              <w:pStyle w:val="TableContents"/>
              <w:spacing w:before="0" w:after="283"/>
              <w:jc w:val="right"/>
              <w:rPr/>
            </w:pPr>
            <w:r>
              <w:rPr/>
              <w:t>12</w:t>
            </w:r>
          </w:p>
        </w:tc>
        <w:tc>
          <w:tcPr>
            <w:tcW w:w="234"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Average yield on pawn loan portfolio is calculated as pawn service charge revenue for the year divided by the average pawn loan balance during the year.</w:t>
            </w:r>
          </w:p>
        </w:tc>
      </w:tr>
      <w:tr>
        <w:trPr/>
        <w:tc>
          <w:tcPr>
            <w:tcW w:w="6829" w:type="dxa"/>
            <w:tcBorders/>
            <w:shd w:fill="auto" w:val="clear"/>
            <w:vAlign w:val="center"/>
          </w:tcPr>
          <w:p>
            <w:pPr>
              <w:pStyle w:val="TableContents"/>
              <w:spacing w:before="0" w:after="283"/>
              <w:rPr/>
            </w:pPr>
            <w:r>
              <w:rPr/>
              <w:t> </w:t>
            </w:r>
          </w:p>
        </w:tc>
        <w:tc>
          <w:tcPr>
            <w:tcW w:w="3376" w:type="dxa"/>
            <w:gridSpan w:val="2"/>
            <w:tcBorders/>
            <w:shd w:fill="auto" w:val="clea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(b)</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fiscal 2006 pawn service charge revenue increased 4.9%, or $3.1 million from fiscal 2005 to $65.3 million. The growth was due to an improvement in loan yields to 139% from 133% in fiscal 2005, and a 0.4% higher average pawn balance. Throughout fiscal 2006, we raised our loan values on gold jewelry in response to an increase in gold market values and similar changes by our competitors. This contributed approximately $2.2 million to the increase in pawn service charges in fiscal 2006. Although the average pawn loan balance was higher, the ending pawn loan balance was 4.8% lower than at September 30, 2005. The lower ending pawn portfolio and accrued pawn service charges receivable resulted largely from the fiscal 2006 mid-year conversion of most of our pawn stores from offering 90-day loan terms to offering 60-day terms.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fiscal 2006, $66.6 million of recorded pawn service charge revenue was collected in cash, offset by a $1.3 million decrease in pawn service charges receivable related primarily to shortening the loan term in most of our pawn stores in fiscal 2006. In fiscal 2005, $61.5 million of recorded pawn service charge revenue was </w:t>
      </w:r>
    </w:p>
    <w:p>
      <w:pPr>
        <w:pStyle w:val="TextBody"/>
        <w:jc w:val="center"/>
        <w:rPr>
          <w:rFonts w:ascii="Helvetica;Arial;sans-serif" w:hAnsi="Helvetica;Arial;sans-serif"/>
          <w:sz w:val="17"/>
        </w:rPr>
      </w:pPr>
      <w:r>
        <w:rPr>
          <w:rFonts w:ascii="Helvetica;Arial;sans-serif" w:hAnsi="Helvetica;Arial;sans-serif"/>
          <w:sz w:val="17"/>
        </w:rPr>
        <w:t xml:space="preserve">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collected in cash, and $0.8 million resulted from an increase in pawn service charges receivable. The accrual of pawn service charges is dependent on the size of the loan portfolio, the loan term and our estimate of collectible loans in the portfolio at the end of each period.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table below summarizes our sales volume, gross profit and gross margins: </w:t>
      </w:r>
    </w:p>
    <w:tbl>
      <w:tblPr>
        <w:tblW w:w="5000" w:type="pct"/>
        <w:jc w:val="center"/>
        <w:tblInd w:w="0" w:type="dxa"/>
        <w:tblCellMar>
          <w:top w:w="0" w:type="dxa"/>
          <w:left w:w="0" w:type="dxa"/>
          <w:bottom w:w="0" w:type="dxa"/>
          <w:right w:w="0" w:type="dxa"/>
        </w:tblCellMar>
      </w:tblPr>
      <w:tblGrid>
        <w:gridCol w:w="5696"/>
        <w:gridCol w:w="369"/>
        <w:gridCol w:w="292"/>
        <w:gridCol w:w="1235"/>
        <w:gridCol w:w="415"/>
        <w:gridCol w:w="415"/>
        <w:gridCol w:w="292"/>
        <w:gridCol w:w="1238"/>
        <w:gridCol w:w="253"/>
      </w:tblGrid>
      <w:tr>
        <w:trPr/>
        <w:tc>
          <w:tcPr>
            <w:tcW w:w="569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887" w:type="dxa"/>
            <w:gridSpan w:val="6"/>
            <w:tcBorders>
              <w:bottom w:val="single" w:sz="2" w:space="0" w:color="000000"/>
            </w:tcBorders>
            <w:shd w:fill="auto" w:val="clear"/>
            <w:tcMar>
              <w:bottom w:w="28" w:type="dxa"/>
            </w:tcMar>
            <w:vAlign w:val="bottom"/>
          </w:tcPr>
          <w:p>
            <w:pPr>
              <w:pStyle w:val="TableContents"/>
              <w:spacing w:before="0" w:after="283"/>
              <w:jc w:val="center"/>
              <w:rPr/>
            </w:pPr>
            <w:r>
              <w:rPr/>
              <w:t>Fiscal Year Ended September 30,</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52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3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3887" w:type="dxa"/>
            <w:gridSpan w:val="6"/>
            <w:tcBorders/>
            <w:shd w:fill="auto" w:val="clear"/>
            <w:vAlign w:val="bottom"/>
          </w:tcPr>
          <w:p>
            <w:pPr>
              <w:pStyle w:val="TableContents"/>
              <w:spacing w:before="0" w:after="283"/>
              <w:jc w:val="center"/>
              <w:rPr>
                <w:i/>
              </w:rPr>
            </w:pPr>
            <w:r>
              <w:rPr>
                <w:i/>
              </w:rPr>
              <w:t>(Dollars in millions)</w:t>
            </w:r>
          </w:p>
        </w:tc>
        <w:tc>
          <w:tcPr>
            <w:tcW w:w="253" w:type="dxa"/>
            <w:tcBorders/>
            <w:shd w:fill="auto" w:val="clear"/>
            <w:vAlign w:val="bottom"/>
          </w:tcPr>
          <w:p>
            <w:pPr>
              <w:pStyle w:val="TableContents"/>
              <w:spacing w:before="0" w:after="283"/>
              <w:rPr/>
            </w:pPr>
            <w:r>
              <w:rPr/>
              <w:t> </w:t>
            </w:r>
          </w:p>
        </w:tc>
      </w:tr>
      <w:tr>
        <w:trPr/>
        <w:tc>
          <w:tcPr>
            <w:tcW w:w="5696" w:type="dxa"/>
            <w:tcBorders/>
            <w:shd w:fill="CCEEFF" w:val="clear"/>
            <w:vAlign w:val="bottom"/>
          </w:tcPr>
          <w:p>
            <w:pPr>
              <w:pStyle w:val="TableContents"/>
              <w:spacing w:before="0" w:after="0"/>
              <w:ind w:left="225" w:right="0" w:hanging="225"/>
              <w:rPr/>
            </w:pPr>
            <w:r>
              <w:rPr/>
              <w:t>Merchandise sales</w:t>
            </w:r>
          </w:p>
        </w:tc>
        <w:tc>
          <w:tcPr>
            <w:tcW w:w="36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w:t>
            </w:r>
          </w:p>
        </w:tc>
        <w:tc>
          <w:tcPr>
            <w:tcW w:w="1235" w:type="dxa"/>
            <w:tcBorders/>
            <w:shd w:fill="CCEEFF" w:val="clear"/>
            <w:vAlign w:val="bottom"/>
          </w:tcPr>
          <w:p>
            <w:pPr>
              <w:pStyle w:val="TableContents"/>
              <w:spacing w:before="0" w:after="283"/>
              <w:jc w:val="right"/>
              <w:rPr/>
            </w:pPr>
            <w:r>
              <w:rPr/>
              <w:t>119.0</w:t>
            </w:r>
          </w:p>
        </w:tc>
        <w:tc>
          <w:tcPr>
            <w:tcW w:w="41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w:t>
            </w:r>
          </w:p>
        </w:tc>
        <w:tc>
          <w:tcPr>
            <w:tcW w:w="1238" w:type="dxa"/>
            <w:tcBorders/>
            <w:shd w:fill="CCEEFF" w:val="clear"/>
            <w:vAlign w:val="bottom"/>
          </w:tcPr>
          <w:p>
            <w:pPr>
              <w:pStyle w:val="TableContents"/>
              <w:spacing w:before="0" w:after="283"/>
              <w:jc w:val="right"/>
              <w:rPr/>
            </w:pPr>
            <w:r>
              <w:rPr/>
              <w:t>134.3</w:t>
            </w:r>
          </w:p>
        </w:tc>
        <w:tc>
          <w:tcPr>
            <w:tcW w:w="253" w:type="dxa"/>
            <w:tcBorders/>
            <w:shd w:fill="CCEEFF"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0"/>
              <w:ind w:left="225" w:right="0" w:hanging="225"/>
              <w:rPr/>
            </w:pPr>
            <w:r>
              <w:rPr/>
              <w:t>Jewelry scrapping sales</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29.4</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43.1</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5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415" w:type="dxa"/>
            <w:tcBorders/>
            <w:shd w:fill="auto" w:val="clear"/>
            <w:vAlign w:val="center"/>
          </w:tcPr>
          <w:p>
            <w:pPr>
              <w:pStyle w:val="TableContents"/>
              <w:spacing w:before="0" w:after="283"/>
              <w:rPr/>
            </w:pPr>
            <w:r>
              <w:rPr/>
              <w:t> </w:t>
            </w:r>
          </w:p>
        </w:tc>
        <w:tc>
          <w:tcPr>
            <w:tcW w:w="415" w:type="dxa"/>
            <w:tcBorders/>
            <w:shd w:fill="auto" w:val="clear"/>
            <w:vAlign w:val="center"/>
          </w:tcPr>
          <w:p>
            <w:pPr>
              <w:pStyle w:val="TableContents"/>
              <w:spacing w:before="0" w:after="283"/>
              <w:rPr/>
            </w:pPr>
            <w:r>
              <w:rPr/>
              <w:t> </w:t>
            </w:r>
          </w:p>
        </w:tc>
        <w:tc>
          <w:tcPr>
            <w:tcW w:w="15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3" w:type="dxa"/>
            <w:tcBorders/>
            <w:shd w:fill="auto" w:val="clear"/>
            <w:vAlign w:val="center"/>
          </w:tcPr>
          <w:p>
            <w:pPr>
              <w:pStyle w:val="TableContents"/>
              <w:spacing w:before="0" w:after="283"/>
              <w:rPr/>
            </w:pPr>
            <w:r>
              <w:rPr/>
              <w:t> </w:t>
            </w:r>
          </w:p>
        </w:tc>
      </w:tr>
      <w:tr>
        <w:trPr/>
        <w:tc>
          <w:tcPr>
            <w:tcW w:w="5696" w:type="dxa"/>
            <w:tcBorders/>
            <w:shd w:fill="CCEEFF" w:val="clear"/>
            <w:vAlign w:val="bottom"/>
          </w:tcPr>
          <w:p>
            <w:pPr>
              <w:pStyle w:val="TableContents"/>
              <w:spacing w:before="0" w:after="0"/>
              <w:ind w:left="225" w:right="0" w:hanging="225"/>
              <w:rPr/>
            </w:pPr>
            <w:r>
              <w:rPr/>
              <w:t>Total sales</w:t>
            </w:r>
          </w:p>
        </w:tc>
        <w:tc>
          <w:tcPr>
            <w:tcW w:w="36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148.4</w:t>
            </w:r>
          </w:p>
        </w:tc>
        <w:tc>
          <w:tcPr>
            <w:tcW w:w="41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177.4</w:t>
            </w:r>
          </w:p>
        </w:tc>
        <w:tc>
          <w:tcPr>
            <w:tcW w:w="253" w:type="dxa"/>
            <w:tcBorders/>
            <w:shd w:fill="CCEEFF"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0"/>
              <w:ind w:left="225" w:right="0" w:hanging="225"/>
              <w:rPr/>
            </w:pPr>
            <w:r>
              <w:rPr/>
              <w:t> </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0"/>
              <w:ind w:left="225" w:right="0" w:hanging="225"/>
              <w:rPr/>
            </w:pPr>
            <w:r>
              <w:rPr/>
              <w:t>Gross profit on merchandise sales</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w:t>
            </w:r>
          </w:p>
        </w:tc>
        <w:tc>
          <w:tcPr>
            <w:tcW w:w="1235" w:type="dxa"/>
            <w:tcBorders/>
            <w:shd w:fill="auto" w:val="clear"/>
            <w:vAlign w:val="bottom"/>
          </w:tcPr>
          <w:p>
            <w:pPr>
              <w:pStyle w:val="TableContents"/>
              <w:spacing w:before="0" w:after="283"/>
              <w:jc w:val="right"/>
              <w:rPr/>
            </w:pPr>
            <w:r>
              <w:rPr/>
              <w:t>50.3</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w:t>
            </w:r>
          </w:p>
        </w:tc>
        <w:tc>
          <w:tcPr>
            <w:tcW w:w="1238" w:type="dxa"/>
            <w:tcBorders/>
            <w:shd w:fill="auto" w:val="clear"/>
            <w:vAlign w:val="bottom"/>
          </w:tcPr>
          <w:p>
            <w:pPr>
              <w:pStyle w:val="TableContents"/>
              <w:spacing w:before="0" w:after="283"/>
              <w:jc w:val="right"/>
              <w:rPr/>
            </w:pPr>
            <w:r>
              <w:rPr/>
              <w:t>55.9</w:t>
            </w:r>
          </w:p>
        </w:tc>
        <w:tc>
          <w:tcPr>
            <w:tcW w:w="253" w:type="dxa"/>
            <w:tcBorders/>
            <w:shd w:fill="auto" w:val="clear"/>
            <w:vAlign w:val="bottom"/>
          </w:tcPr>
          <w:p>
            <w:pPr>
              <w:pStyle w:val="TableContents"/>
              <w:spacing w:before="0" w:after="283"/>
              <w:rPr/>
            </w:pPr>
            <w:r>
              <w:rPr/>
              <w:t> </w:t>
            </w:r>
          </w:p>
        </w:tc>
      </w:tr>
      <w:tr>
        <w:trPr/>
        <w:tc>
          <w:tcPr>
            <w:tcW w:w="5696" w:type="dxa"/>
            <w:tcBorders/>
            <w:shd w:fill="CCEEFF" w:val="clear"/>
            <w:vAlign w:val="bottom"/>
          </w:tcPr>
          <w:p>
            <w:pPr>
              <w:pStyle w:val="TableContents"/>
              <w:spacing w:before="0" w:after="0"/>
              <w:ind w:left="225" w:right="0" w:hanging="225"/>
              <w:rPr/>
            </w:pPr>
            <w:r>
              <w:rPr/>
              <w:t>Gross profit on jewelry scrapping sales</w:t>
            </w:r>
          </w:p>
        </w:tc>
        <w:tc>
          <w:tcPr>
            <w:tcW w:w="36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7.5</w:t>
            </w:r>
          </w:p>
        </w:tc>
        <w:tc>
          <w:tcPr>
            <w:tcW w:w="41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14.7</w:t>
            </w:r>
          </w:p>
        </w:tc>
        <w:tc>
          <w:tcPr>
            <w:tcW w:w="253" w:type="dxa"/>
            <w:tcBorders/>
            <w:shd w:fill="CCEEFF"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0"/>
              <w:ind w:left="225" w:right="0" w:hanging="225"/>
              <w:rPr/>
            </w:pPr>
            <w:r>
              <w:rPr/>
              <w:t> </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5696" w:type="dxa"/>
            <w:tcBorders/>
            <w:shd w:fill="auto" w:val="clear"/>
            <w:vAlign w:val="bottom"/>
          </w:tcPr>
          <w:p>
            <w:pPr>
              <w:pStyle w:val="TableContents"/>
              <w:spacing w:before="0" w:after="0"/>
              <w:ind w:left="225" w:right="0" w:hanging="225"/>
              <w:rPr/>
            </w:pPr>
            <w:r>
              <w:rPr/>
              <w:t>Gross margin on merchandise sales</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right"/>
              <w:rPr/>
            </w:pPr>
            <w:r>
              <w:rPr/>
              <w:t>42.3</w:t>
            </w:r>
          </w:p>
        </w:tc>
        <w:tc>
          <w:tcPr>
            <w:tcW w:w="415" w:type="dxa"/>
            <w:tcBorders/>
            <w:shd w:fill="auto" w:val="clear"/>
            <w:vAlign w:val="bottom"/>
          </w:tcPr>
          <w:p>
            <w:pPr>
              <w:pStyle w:val="TableContents"/>
              <w:spacing w:before="0" w:after="283"/>
              <w:rPr/>
            </w:pPr>
            <w:r>
              <w:rPr/>
              <w:t>%</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 </w:t>
            </w:r>
          </w:p>
        </w:tc>
        <w:tc>
          <w:tcPr>
            <w:tcW w:w="1238" w:type="dxa"/>
            <w:tcBorders/>
            <w:shd w:fill="auto" w:val="clear"/>
            <w:vAlign w:val="bottom"/>
          </w:tcPr>
          <w:p>
            <w:pPr>
              <w:pStyle w:val="TableContents"/>
              <w:spacing w:before="0" w:after="283"/>
              <w:jc w:val="right"/>
              <w:rPr/>
            </w:pPr>
            <w:r>
              <w:rPr/>
              <w:t>41.6</w:t>
            </w:r>
          </w:p>
        </w:tc>
        <w:tc>
          <w:tcPr>
            <w:tcW w:w="253" w:type="dxa"/>
            <w:tcBorders/>
            <w:shd w:fill="auto" w:val="clear"/>
            <w:vAlign w:val="bottom"/>
          </w:tcPr>
          <w:p>
            <w:pPr>
              <w:pStyle w:val="TableContents"/>
              <w:spacing w:before="0" w:after="283"/>
              <w:rPr/>
            </w:pPr>
            <w:r>
              <w:rPr/>
              <w:t>%</w:t>
            </w:r>
          </w:p>
        </w:tc>
      </w:tr>
      <w:tr>
        <w:trPr/>
        <w:tc>
          <w:tcPr>
            <w:tcW w:w="5696" w:type="dxa"/>
            <w:tcBorders/>
            <w:shd w:fill="CCEEFF" w:val="clear"/>
            <w:vAlign w:val="bottom"/>
          </w:tcPr>
          <w:p>
            <w:pPr>
              <w:pStyle w:val="TableContents"/>
              <w:spacing w:before="0" w:after="0"/>
              <w:ind w:left="225" w:right="0" w:hanging="225"/>
              <w:rPr/>
            </w:pPr>
            <w:r>
              <w:rPr/>
              <w:t>Gross margin on jewelry scrapping sales</w:t>
            </w:r>
          </w:p>
        </w:tc>
        <w:tc>
          <w:tcPr>
            <w:tcW w:w="36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pPr>
            <w:r>
              <w:rPr/>
              <w:t>25.3</w:t>
            </w:r>
          </w:p>
        </w:tc>
        <w:tc>
          <w:tcPr>
            <w:tcW w:w="415" w:type="dxa"/>
            <w:tcBorders/>
            <w:shd w:fill="CCEEFF" w:val="clear"/>
            <w:vAlign w:val="bottom"/>
          </w:tcPr>
          <w:p>
            <w:pPr>
              <w:pStyle w:val="TableContents"/>
              <w:spacing w:before="0" w:after="283"/>
              <w:rPr/>
            </w:pPr>
            <w:r>
              <w:rPr/>
              <w:t>%</w:t>
            </w:r>
          </w:p>
        </w:tc>
        <w:tc>
          <w:tcPr>
            <w:tcW w:w="41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1238" w:type="dxa"/>
            <w:tcBorders/>
            <w:shd w:fill="CCEEFF" w:val="clear"/>
            <w:vAlign w:val="bottom"/>
          </w:tcPr>
          <w:p>
            <w:pPr>
              <w:pStyle w:val="TableContents"/>
              <w:spacing w:before="0" w:after="283"/>
              <w:jc w:val="right"/>
              <w:rPr/>
            </w:pPr>
            <w:r>
              <w:rPr/>
              <w:t>34.1</w:t>
            </w:r>
          </w:p>
        </w:tc>
        <w:tc>
          <w:tcPr>
            <w:tcW w:w="253" w:type="dxa"/>
            <w:tcBorders/>
            <w:shd w:fill="CCEEFF" w:val="clear"/>
            <w:vAlign w:val="bottom"/>
          </w:tcPr>
          <w:p>
            <w:pPr>
              <w:pStyle w:val="TableContents"/>
              <w:spacing w:before="0" w:after="283"/>
              <w:rPr/>
            </w:pPr>
            <w:r>
              <w:rPr/>
              <w:t>%</w:t>
            </w:r>
          </w:p>
        </w:tc>
      </w:tr>
      <w:tr>
        <w:trPr/>
        <w:tc>
          <w:tcPr>
            <w:tcW w:w="5696" w:type="dxa"/>
            <w:tcBorders/>
            <w:shd w:fill="auto" w:val="clear"/>
            <w:vAlign w:val="bottom"/>
          </w:tcPr>
          <w:p>
            <w:pPr>
              <w:pStyle w:val="TableContents"/>
              <w:spacing w:before="0" w:after="0"/>
              <w:ind w:left="225" w:right="0" w:hanging="225"/>
              <w:rPr/>
            </w:pPr>
            <w:r>
              <w:rPr/>
              <w:t>Overall gross margin</w:t>
            </w:r>
          </w:p>
        </w:tc>
        <w:tc>
          <w:tcPr>
            <w:tcW w:w="36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right"/>
              <w:rPr/>
            </w:pPr>
            <w:r>
              <w:rPr/>
              <w:t>38.9</w:t>
            </w:r>
          </w:p>
        </w:tc>
        <w:tc>
          <w:tcPr>
            <w:tcW w:w="415" w:type="dxa"/>
            <w:tcBorders/>
            <w:shd w:fill="auto" w:val="clear"/>
            <w:vAlign w:val="bottom"/>
          </w:tcPr>
          <w:p>
            <w:pPr>
              <w:pStyle w:val="TableContents"/>
              <w:spacing w:before="0" w:after="283"/>
              <w:rPr/>
            </w:pPr>
            <w:r>
              <w:rPr/>
              <w:t>%</w:t>
            </w:r>
          </w:p>
        </w:tc>
        <w:tc>
          <w:tcPr>
            <w:tcW w:w="41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 </w:t>
            </w:r>
          </w:p>
        </w:tc>
        <w:tc>
          <w:tcPr>
            <w:tcW w:w="1238" w:type="dxa"/>
            <w:tcBorders/>
            <w:shd w:fill="auto" w:val="clear"/>
            <w:vAlign w:val="bottom"/>
          </w:tcPr>
          <w:p>
            <w:pPr>
              <w:pStyle w:val="TableContents"/>
              <w:spacing w:before="0" w:after="283"/>
              <w:jc w:val="right"/>
              <w:rPr/>
            </w:pPr>
            <w:r>
              <w:rPr/>
              <w:t>39.8</w:t>
            </w:r>
          </w:p>
        </w:tc>
        <w:tc>
          <w:tcPr>
            <w:tcW w:w="253" w:type="dxa"/>
            <w:tcBorders/>
            <w:shd w:fill="auto" w:val="clear"/>
            <w:vAlign w:val="bottom"/>
          </w:tcPr>
          <w:p>
            <w:pPr>
              <w:pStyle w:val="TableContents"/>
              <w:spacing w:before="0" w:after="283"/>
              <w:rPr/>
            </w:pPr>
            <w:r>
              <w:rPr/>
              <w: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fiscal 2006 merchandise gross profit increased $5.6 million from the prior year to $55.9 million. This was due to a $14.7 million, or 12% increase in same store merchandise sales and a $0.7 million increase in new store sales, reduced by a 0.7 percentage point decrease in gross margins. In fiscal 2006, we benefited from the doubling of loan forfeitures due to the reduction of loan terms in the majority of our stores. This provided 18% more inventory available for sale (beginning inventory plus loan forfeitures and purchases) to fuel sales in fiscal 2006. Included in the fiscal 2006 cost of goods sold is a $1.0 million increase in the inventory valuation allowance, compared to a $0.3 million increase in fiscal 2005. Absent this change, gross margins on merchandise sales decreased 0.2 of a percentage point from fiscal 2005 to 42.1%.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gross profit on jewelry scrapping sales increased $7.2 million from fiscal 2005 to $14.7 million. This was due to a $13.6 million, or 46% increase in jewelry scrapping sales on a 9% increase in the volume of jewelry scrapped, partially offset by other increases in cost. The proceeds refiners pay us for jewelry increased in fiscal 2006 in response to higher gold values. We also increased the amount we loan on jewelry and pay to purchase jewelry from customers, increasing the cost of these items. These factors had an $8.0 million positive net effect on the gross profit from jewelry scrapping sales.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Selected signature loan data for the EZPAWN Operations segment are as follows: </w:t>
      </w:r>
    </w:p>
    <w:tbl>
      <w:tblPr>
        <w:tblW w:w="5000" w:type="pct"/>
        <w:jc w:val="center"/>
        <w:tblInd w:w="0" w:type="dxa"/>
        <w:tblCellMar>
          <w:top w:w="0" w:type="dxa"/>
          <w:left w:w="0" w:type="dxa"/>
          <w:bottom w:w="0" w:type="dxa"/>
          <w:right w:w="0" w:type="dxa"/>
        </w:tblCellMar>
      </w:tblPr>
      <w:tblGrid>
        <w:gridCol w:w="6461"/>
        <w:gridCol w:w="269"/>
        <w:gridCol w:w="244"/>
        <w:gridCol w:w="905"/>
        <w:gridCol w:w="335"/>
        <w:gridCol w:w="442"/>
        <w:gridCol w:w="244"/>
        <w:gridCol w:w="1055"/>
        <w:gridCol w:w="250"/>
      </w:tblGrid>
      <w:tr>
        <w:trPr/>
        <w:tc>
          <w:tcPr>
            <w:tcW w:w="646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r>
      <w:tr>
        <w:trPr/>
        <w:tc>
          <w:tcPr>
            <w:tcW w:w="646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3225"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50" w:type="dxa"/>
            <w:tcBorders/>
            <w:shd w:fill="auto" w:val="clear"/>
            <w:vAlign w:val="bottom"/>
          </w:tcPr>
          <w:p>
            <w:pPr>
              <w:pStyle w:val="TableContents"/>
              <w:spacing w:before="0" w:after="283"/>
              <w:rPr/>
            </w:pPr>
            <w:r>
              <w:rPr/>
              <w:t> </w:t>
            </w:r>
          </w:p>
        </w:tc>
      </w:tr>
      <w:tr>
        <w:trPr/>
        <w:tc>
          <w:tcPr>
            <w:tcW w:w="646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4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335"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29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50" w:type="dxa"/>
            <w:tcBorders/>
            <w:shd w:fill="auto" w:val="clear"/>
            <w:vAlign w:val="bottom"/>
          </w:tcPr>
          <w:p>
            <w:pPr>
              <w:pStyle w:val="TableContents"/>
              <w:spacing w:before="0" w:after="283"/>
              <w:rPr/>
            </w:pPr>
            <w:r>
              <w:rPr/>
              <w:t> </w:t>
            </w:r>
          </w:p>
        </w:tc>
      </w:tr>
      <w:tr>
        <w:trPr/>
        <w:tc>
          <w:tcPr>
            <w:tcW w:w="646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3225" w:type="dxa"/>
            <w:gridSpan w:val="6"/>
            <w:tcBorders/>
            <w:shd w:fill="auto" w:val="clear"/>
            <w:vAlign w:val="bottom"/>
          </w:tcPr>
          <w:p>
            <w:pPr>
              <w:pStyle w:val="TableContents"/>
              <w:spacing w:before="0" w:after="283"/>
              <w:jc w:val="center"/>
              <w:rPr>
                <w:i/>
              </w:rPr>
            </w:pPr>
            <w:r>
              <w:rPr>
                <w:i/>
              </w:rPr>
              <w:t>(Dollars in thousands)</w:t>
            </w:r>
          </w:p>
        </w:tc>
        <w:tc>
          <w:tcPr>
            <w:tcW w:w="250" w:type="dxa"/>
            <w:tcBorders/>
            <w:shd w:fill="auto" w:val="clear"/>
            <w:vAlign w:val="bottom"/>
          </w:tcPr>
          <w:p>
            <w:pPr>
              <w:pStyle w:val="TableContents"/>
              <w:spacing w:before="0" w:after="283"/>
              <w:rPr/>
            </w:pPr>
            <w:r>
              <w:rPr/>
              <w:t> </w:t>
            </w:r>
          </w:p>
        </w:tc>
      </w:tr>
      <w:tr>
        <w:trPr/>
        <w:tc>
          <w:tcPr>
            <w:tcW w:w="6461" w:type="dxa"/>
            <w:tcBorders/>
            <w:shd w:fill="CCEEFF" w:val="clear"/>
            <w:vAlign w:val="bottom"/>
          </w:tcPr>
          <w:p>
            <w:pPr>
              <w:pStyle w:val="TableContents"/>
              <w:spacing w:before="0" w:after="0"/>
              <w:ind w:left="225" w:right="0" w:hanging="225"/>
              <w:rPr/>
            </w:pPr>
            <w:r>
              <w:rPr/>
              <w:t>Fee revenue</w:t>
            </w:r>
          </w:p>
        </w:tc>
        <w:tc>
          <w:tcPr>
            <w:tcW w:w="269"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905" w:type="dxa"/>
            <w:tcBorders/>
            <w:shd w:fill="CCEEFF" w:val="clear"/>
            <w:vAlign w:val="bottom"/>
          </w:tcPr>
          <w:p>
            <w:pPr>
              <w:pStyle w:val="TableContents"/>
              <w:spacing w:before="0" w:after="283"/>
              <w:jc w:val="right"/>
              <w:rPr/>
            </w:pPr>
            <w:r>
              <w:rPr/>
              <w:t>5,664</w:t>
            </w:r>
          </w:p>
        </w:tc>
        <w:tc>
          <w:tcPr>
            <w:tcW w:w="335"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055" w:type="dxa"/>
            <w:tcBorders/>
            <w:shd w:fill="CCEEFF" w:val="clear"/>
            <w:vAlign w:val="bottom"/>
          </w:tcPr>
          <w:p>
            <w:pPr>
              <w:pStyle w:val="TableContents"/>
              <w:spacing w:before="0" w:after="283"/>
              <w:jc w:val="right"/>
              <w:rPr/>
            </w:pPr>
            <w:r>
              <w:rPr/>
              <w:t>3,155</w:t>
            </w:r>
          </w:p>
        </w:tc>
        <w:tc>
          <w:tcPr>
            <w:tcW w:w="250" w:type="dxa"/>
            <w:tcBorders/>
            <w:shd w:fill="CCEEFF" w:val="clear"/>
            <w:vAlign w:val="bottom"/>
          </w:tcPr>
          <w:p>
            <w:pPr>
              <w:pStyle w:val="TableContents"/>
              <w:spacing w:before="0" w:after="283"/>
              <w:rPr/>
            </w:pPr>
            <w:r>
              <w:rPr/>
              <w:t> </w:t>
            </w:r>
          </w:p>
        </w:tc>
      </w:tr>
      <w:tr>
        <w:trPr/>
        <w:tc>
          <w:tcPr>
            <w:tcW w:w="6461" w:type="dxa"/>
            <w:tcBorders/>
            <w:shd w:fill="auto" w:val="clear"/>
            <w:vAlign w:val="bottom"/>
          </w:tcPr>
          <w:p>
            <w:pPr>
              <w:pStyle w:val="TableContents"/>
              <w:spacing w:before="0" w:after="0"/>
              <w:ind w:left="225" w:right="0" w:hanging="225"/>
              <w:rPr/>
            </w:pPr>
            <w:r>
              <w:rPr/>
              <w:t>Net bad debt</w:t>
            </w:r>
          </w:p>
        </w:tc>
        <w:tc>
          <w:tcPr>
            <w:tcW w:w="269"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1,346</w:t>
            </w:r>
          </w:p>
        </w:tc>
        <w:tc>
          <w:tcPr>
            <w:tcW w:w="335"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1,286</w:t>
            </w:r>
          </w:p>
        </w:tc>
        <w:tc>
          <w:tcPr>
            <w:tcW w:w="250" w:type="dxa"/>
            <w:tcBorders/>
            <w:shd w:fill="auto" w:val="clear"/>
            <w:vAlign w:val="bottom"/>
          </w:tcPr>
          <w:p>
            <w:pPr>
              <w:pStyle w:val="TableContents"/>
              <w:spacing w:before="0" w:after="283"/>
              <w:rPr/>
            </w:pPr>
            <w:r>
              <w:rPr/>
              <w:t> </w:t>
            </w:r>
          </w:p>
        </w:tc>
      </w:tr>
      <w:tr>
        <w:trPr/>
        <w:tc>
          <w:tcPr>
            <w:tcW w:w="6461" w:type="dxa"/>
            <w:tcBorders/>
            <w:shd w:fill="auto" w:val="clear"/>
            <w:vAlign w:val="center"/>
          </w:tcPr>
          <w:p>
            <w:pPr>
              <w:pStyle w:val="TableContents"/>
              <w:spacing w:before="0" w:after="0"/>
              <w:ind w:left="225" w:right="0" w:hanging="225"/>
              <w:rPr/>
            </w:pPr>
            <w:r>
              <w:rPr/>
              <w:t> </w:t>
            </w:r>
          </w:p>
        </w:tc>
        <w:tc>
          <w:tcPr>
            <w:tcW w:w="269" w:type="dxa"/>
            <w:tcBorders/>
            <w:shd w:fill="auto" w:val="clear"/>
            <w:vAlign w:val="center"/>
          </w:tcPr>
          <w:p>
            <w:pPr>
              <w:pStyle w:val="TableContents"/>
              <w:spacing w:before="0" w:after="283"/>
              <w:rPr/>
            </w:pPr>
            <w:r>
              <w:rPr/>
              <w:t> </w:t>
            </w:r>
          </w:p>
        </w:tc>
        <w:tc>
          <w:tcPr>
            <w:tcW w:w="11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5"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0" w:type="dxa"/>
            <w:tcBorders/>
            <w:shd w:fill="auto" w:val="clear"/>
            <w:vAlign w:val="center"/>
          </w:tcPr>
          <w:p>
            <w:pPr>
              <w:pStyle w:val="TableContents"/>
              <w:spacing w:before="0" w:after="283"/>
              <w:rPr/>
            </w:pPr>
            <w:r>
              <w:rPr/>
              <w:t> </w:t>
            </w:r>
          </w:p>
        </w:tc>
      </w:tr>
      <w:tr>
        <w:trPr/>
        <w:tc>
          <w:tcPr>
            <w:tcW w:w="6461" w:type="dxa"/>
            <w:tcBorders/>
            <w:shd w:fill="CCEEFF" w:val="clear"/>
            <w:vAlign w:val="bottom"/>
          </w:tcPr>
          <w:p>
            <w:pPr>
              <w:pStyle w:val="TableContents"/>
              <w:spacing w:before="0" w:after="0"/>
              <w:ind w:left="450" w:right="0" w:hanging="225"/>
              <w:rPr/>
            </w:pPr>
            <w:r>
              <w:rPr/>
              <w:t>Fee revenue less bad debt</w:t>
            </w:r>
          </w:p>
        </w:tc>
        <w:tc>
          <w:tcPr>
            <w:tcW w:w="269"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905" w:type="dxa"/>
            <w:tcBorders/>
            <w:shd w:fill="CCEEFF" w:val="clear"/>
            <w:vAlign w:val="bottom"/>
          </w:tcPr>
          <w:p>
            <w:pPr>
              <w:pStyle w:val="TableContents"/>
              <w:spacing w:before="0" w:after="283"/>
              <w:jc w:val="right"/>
              <w:rPr/>
            </w:pPr>
            <w:r>
              <w:rPr/>
              <w:t>4,318</w:t>
            </w:r>
          </w:p>
        </w:tc>
        <w:tc>
          <w:tcPr>
            <w:tcW w:w="335"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055" w:type="dxa"/>
            <w:tcBorders/>
            <w:shd w:fill="CCEEFF" w:val="clear"/>
            <w:vAlign w:val="bottom"/>
          </w:tcPr>
          <w:p>
            <w:pPr>
              <w:pStyle w:val="TableContents"/>
              <w:spacing w:before="0" w:after="283"/>
              <w:jc w:val="right"/>
              <w:rPr/>
            </w:pPr>
            <w:r>
              <w:rPr/>
              <w:t>1,869</w:t>
            </w:r>
          </w:p>
        </w:tc>
        <w:tc>
          <w:tcPr>
            <w:tcW w:w="250" w:type="dxa"/>
            <w:tcBorders/>
            <w:shd w:fill="CCEEFF" w:val="clear"/>
            <w:vAlign w:val="bottom"/>
          </w:tcPr>
          <w:p>
            <w:pPr>
              <w:pStyle w:val="TableContents"/>
              <w:spacing w:before="0" w:after="283"/>
              <w:rPr/>
            </w:pPr>
            <w:r>
              <w:rPr/>
              <w:t> </w:t>
            </w:r>
          </w:p>
        </w:tc>
      </w:tr>
      <w:tr>
        <w:trPr/>
        <w:tc>
          <w:tcPr>
            <w:tcW w:w="6461" w:type="dxa"/>
            <w:tcBorders/>
            <w:shd w:fill="auto" w:val="clear"/>
            <w:vAlign w:val="center"/>
          </w:tcPr>
          <w:p>
            <w:pPr>
              <w:pStyle w:val="TableContents"/>
              <w:spacing w:before="0" w:after="0"/>
              <w:ind w:left="225" w:right="0" w:hanging="225"/>
              <w:rPr/>
            </w:pPr>
            <w:r>
              <w:rPr/>
              <w:t> </w:t>
            </w:r>
          </w:p>
        </w:tc>
        <w:tc>
          <w:tcPr>
            <w:tcW w:w="269" w:type="dxa"/>
            <w:tcBorders/>
            <w:shd w:fill="auto" w:val="clear"/>
            <w:vAlign w:val="center"/>
          </w:tcPr>
          <w:p>
            <w:pPr>
              <w:pStyle w:val="TableContents"/>
              <w:spacing w:before="0" w:after="283"/>
              <w:rPr/>
            </w:pPr>
            <w:r>
              <w:rPr/>
              <w:t> </w:t>
            </w:r>
          </w:p>
        </w:tc>
        <w:tc>
          <w:tcPr>
            <w:tcW w:w="1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35"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2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0" w:type="dxa"/>
            <w:tcBorders/>
            <w:shd w:fill="auto" w:val="clear"/>
            <w:vAlign w:val="center"/>
          </w:tcPr>
          <w:p>
            <w:pPr>
              <w:pStyle w:val="TableContents"/>
              <w:spacing w:before="0" w:after="283"/>
              <w:rPr/>
            </w:pPr>
            <w:r>
              <w:rPr/>
              <w:t> </w:t>
            </w:r>
          </w:p>
        </w:tc>
      </w:tr>
      <w:tr>
        <w:trPr/>
        <w:tc>
          <w:tcPr>
            <w:tcW w:w="6461" w:type="dxa"/>
            <w:tcBorders/>
            <w:shd w:fill="auto" w:val="clear"/>
            <w:vAlign w:val="bottom"/>
          </w:tcPr>
          <w:p>
            <w:pPr>
              <w:pStyle w:val="TableContents"/>
              <w:spacing w:before="0" w:after="0"/>
              <w:ind w:left="225" w:right="0" w:hanging="225"/>
              <w:rPr/>
            </w:pPr>
            <w:r>
              <w:rPr/>
              <w:t>Signature loan bad debt, as a percent of fee revenue</w:t>
            </w:r>
          </w:p>
        </w:tc>
        <w:tc>
          <w:tcPr>
            <w:tcW w:w="269"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23.8</w:t>
            </w:r>
          </w:p>
        </w:tc>
        <w:tc>
          <w:tcPr>
            <w:tcW w:w="335" w:type="dxa"/>
            <w:tcBorders/>
            <w:shd w:fill="auto" w:val="clear"/>
            <w:vAlign w:val="bottom"/>
          </w:tcPr>
          <w:p>
            <w:pPr>
              <w:pStyle w:val="TableContents"/>
              <w:spacing w:before="0" w:after="283"/>
              <w:rPr/>
            </w:pPr>
            <w:r>
              <w:rPr/>
              <w:t>%</w:t>
            </w:r>
          </w:p>
        </w:tc>
        <w:tc>
          <w:tcPr>
            <w:tcW w:w="44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283"/>
              <w:jc w:val="right"/>
              <w:rPr/>
            </w:pPr>
            <w:r>
              <w:rPr/>
              <w:t>40.8</w:t>
            </w:r>
          </w:p>
        </w:tc>
        <w:tc>
          <w:tcPr>
            <w:tcW w:w="250" w:type="dxa"/>
            <w:tcBorders/>
            <w:shd w:fill="auto" w:val="clear"/>
            <w:vAlign w:val="bottom"/>
          </w:tcPr>
          <w:p>
            <w:pPr>
              <w:pStyle w:val="TableContents"/>
              <w:spacing w:before="0" w:after="283"/>
              <w:rPr/>
            </w:pPr>
            <w:r>
              <w:rPr/>
              <w:t>%</w:t>
            </w:r>
          </w:p>
        </w:tc>
      </w:tr>
      <w:tr>
        <w:trPr/>
        <w:tc>
          <w:tcPr>
            <w:tcW w:w="6461" w:type="dxa"/>
            <w:tcBorders/>
            <w:shd w:fill="CCEEFF" w:val="clear"/>
            <w:vAlign w:val="bottom"/>
          </w:tcPr>
          <w:p>
            <w:pPr>
              <w:pStyle w:val="TableContents"/>
              <w:spacing w:before="0" w:after="0"/>
              <w:ind w:left="225" w:right="0" w:hanging="225"/>
              <w:rPr/>
            </w:pPr>
            <w:r>
              <w:rPr/>
              <w:t>Signature loan bad debt, excluding sale of older bad debt, as a percent of service charge revenue (a)</w:t>
            </w:r>
          </w:p>
        </w:tc>
        <w:tc>
          <w:tcPr>
            <w:tcW w:w="269"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27.6</w:t>
            </w:r>
          </w:p>
        </w:tc>
        <w:tc>
          <w:tcPr>
            <w:tcW w:w="335" w:type="dxa"/>
            <w:tcBorders/>
            <w:shd w:fill="CCEEFF" w:val="clear"/>
            <w:vAlign w:val="bottom"/>
          </w:tcPr>
          <w:p>
            <w:pPr>
              <w:pStyle w:val="TableContents"/>
              <w:spacing w:before="0" w:after="283"/>
              <w:rPr/>
            </w:pPr>
            <w:r>
              <w:rPr/>
              <w:t>%</w:t>
            </w:r>
          </w:p>
        </w:tc>
        <w:tc>
          <w:tcPr>
            <w:tcW w:w="44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pPr>
            <w:r>
              <w:rPr/>
              <w:t>40.8</w:t>
            </w:r>
          </w:p>
        </w:tc>
        <w:tc>
          <w:tcPr>
            <w:tcW w:w="250"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42"/>
        <w:gridCol w:w="2297"/>
        <w:gridCol w:w="966"/>
      </w:tblGrid>
      <w:tr>
        <w:trPr/>
        <w:tc>
          <w:tcPr>
            <w:tcW w:w="6942" w:type="dxa"/>
            <w:tcBorders/>
            <w:shd w:fill="auto" w:val="clear"/>
            <w:vAlign w:val="center"/>
          </w:tcPr>
          <w:p>
            <w:pPr>
              <w:pStyle w:val="TableContents"/>
              <w:spacing w:before="0" w:after="283"/>
              <w:rPr>
                <w:sz w:val="4"/>
                <w:szCs w:val="4"/>
              </w:rPr>
            </w:pPr>
            <w:r>
              <w:rPr>
                <w:sz w:val="4"/>
                <w:szCs w:val="4"/>
              </w:rPr>
            </w:r>
          </w:p>
        </w:tc>
        <w:tc>
          <w:tcPr>
            <w:tcW w:w="2297"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6942" w:type="dxa"/>
            <w:tcBorders/>
            <w:shd w:fill="auto" w:val="clear"/>
          </w:tcPr>
          <w:p>
            <w:pPr>
              <w:pStyle w:val="TableContents"/>
              <w:spacing w:before="0" w:after="283"/>
              <w:jc w:val="left"/>
              <w:rPr/>
            </w:pPr>
            <w:r>
              <w:rPr/>
              <w:t>(a)</w:t>
            </w:r>
          </w:p>
        </w:tc>
        <w:tc>
          <w:tcPr>
            <w:tcW w:w="2297"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Older bad debts were originated between fiscal 2001 and fiscal 2004.</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segments signature loan contribution, or fee revenue less bad debt, decreased $2.4 million in fiscal 2006 compared to fiscal 2005, primarily due to a decrease in the number of stores in the EZPAWN segment offering signature loans as we opened EZMONEY stores in the same markets and an increase </w:t>
      </w:r>
    </w:p>
    <w:p>
      <w:pPr>
        <w:pStyle w:val="TextBody"/>
        <w:jc w:val="center"/>
        <w:rPr>
          <w:rFonts w:ascii="Helvetica;Arial;sans-serif" w:hAnsi="Helvetica;Arial;sans-serif"/>
          <w:sz w:val="17"/>
        </w:rPr>
      </w:pPr>
      <w:r>
        <w:rPr>
          <w:rFonts w:ascii="Helvetica;Arial;sans-serif" w:hAnsi="Helvetica;Arial;sans-serif"/>
          <w:sz w:val="17"/>
        </w:rPr>
        <w:t xml:space="preserve">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bad debt to 41% of related fees from 28% in fiscal 2005 excluding the sale of older bad debt. In December 2004, we sold our older bad debt (originated between fiscal 2001 and fiscal 2004) to an outside agency for net proceeds of approximately $0.2 million. Including the benefit of this sale, signature loan bad debt was 24% of related fees in fiscal 2005.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Operations expense improved to 60% of net revenues ($84.8 million) in fiscal 2006 from 64% of net revenues ($81.4 million) in fiscal 2005, as operating expenses grew at a slower pace than the segments net revenues. The dollar increase in operations expense was related primarily to higher labor costs.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fiscal 2006, the $15.9 million greater net revenue from pawn activities, partially offset by the $2.4 million lower contribution from signature loans and $3.4 million higher operations expenses resulted in a $10.0 million overall increase in store operating income from the EZPAWN Operations segment compared to fiscal 2005. For the year, EZPAWN Operations made up 68% of consolidated store operating income compared to 83% in fiscal 2005. </w:t>
      </w:r>
    </w:p>
    <w:p>
      <w:pPr>
        <w:pStyle w:val="TextBody"/>
        <w:spacing w:before="360" w:after="283"/>
        <w:jc w:val="center"/>
        <w:rPr>
          <w:rFonts w:ascii="Helvetica;Arial;sans-serif" w:hAnsi="Helvetica;Arial;sans-serif"/>
          <w:sz w:val="17"/>
        </w:rPr>
      </w:pPr>
      <w:r>
        <w:rPr>
          <w:rFonts w:ascii="Helvetica;Arial;sans-serif" w:hAnsi="Helvetica;Arial;sans-serif"/>
          <w:b/>
          <w:sz w:val="17"/>
        </w:rPr>
        <w:t>EZMONEY Operations Segment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6295"/>
        <w:gridCol w:w="401"/>
        <w:gridCol w:w="215"/>
        <w:gridCol w:w="1061"/>
        <w:gridCol w:w="294"/>
        <w:gridCol w:w="417"/>
        <w:gridCol w:w="215"/>
        <w:gridCol w:w="1065"/>
        <w:gridCol w:w="242"/>
      </w:tblGrid>
      <w:tr>
        <w:trPr/>
        <w:tc>
          <w:tcPr>
            <w:tcW w:w="629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r>
      <w:tr>
        <w:trPr/>
        <w:tc>
          <w:tcPr>
            <w:tcW w:w="629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3267"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242" w:type="dxa"/>
            <w:tcBorders/>
            <w:shd w:fill="auto" w:val="clear"/>
            <w:vAlign w:val="bottom"/>
          </w:tcPr>
          <w:p>
            <w:pPr>
              <w:pStyle w:val="TableContents"/>
              <w:spacing w:before="0" w:after="283"/>
              <w:rPr/>
            </w:pPr>
            <w:r>
              <w:rPr/>
              <w:t> </w:t>
            </w:r>
          </w:p>
        </w:tc>
      </w:tr>
      <w:tr>
        <w:trPr/>
        <w:tc>
          <w:tcPr>
            <w:tcW w:w="629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27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29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28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42" w:type="dxa"/>
            <w:tcBorders/>
            <w:shd w:fill="auto" w:val="clear"/>
            <w:vAlign w:val="bottom"/>
          </w:tcPr>
          <w:p>
            <w:pPr>
              <w:pStyle w:val="TableContents"/>
              <w:spacing w:before="0" w:after="283"/>
              <w:rPr/>
            </w:pPr>
            <w:r>
              <w:rPr/>
              <w:t> </w:t>
            </w:r>
          </w:p>
        </w:tc>
      </w:tr>
      <w:tr>
        <w:trPr/>
        <w:tc>
          <w:tcPr>
            <w:tcW w:w="629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3267" w:type="dxa"/>
            <w:gridSpan w:val="6"/>
            <w:tcBorders/>
            <w:shd w:fill="auto" w:val="clear"/>
            <w:vAlign w:val="bottom"/>
          </w:tcPr>
          <w:p>
            <w:pPr>
              <w:pStyle w:val="TableContents"/>
              <w:spacing w:before="0" w:after="283"/>
              <w:jc w:val="center"/>
              <w:rPr>
                <w:i/>
              </w:rPr>
            </w:pPr>
            <w:r>
              <w:rPr>
                <w:i/>
              </w:rPr>
              <w:t>(Dollars in thousands)</w:t>
            </w:r>
          </w:p>
        </w:tc>
        <w:tc>
          <w:tcPr>
            <w:tcW w:w="242" w:type="dxa"/>
            <w:tcBorders/>
            <w:shd w:fill="auto" w:val="clear"/>
            <w:vAlign w:val="bottom"/>
          </w:tcPr>
          <w:p>
            <w:pPr>
              <w:pStyle w:val="TableContents"/>
              <w:spacing w:before="0" w:after="283"/>
              <w:rPr/>
            </w:pPr>
            <w:r>
              <w:rPr/>
              <w:t> </w:t>
            </w:r>
          </w:p>
        </w:tc>
      </w:tr>
      <w:tr>
        <w:trPr/>
        <w:tc>
          <w:tcPr>
            <w:tcW w:w="6295" w:type="dxa"/>
            <w:tcBorders/>
            <w:shd w:fill="CCEEFF" w:val="clear"/>
            <w:vAlign w:val="bottom"/>
          </w:tcPr>
          <w:p>
            <w:pPr>
              <w:pStyle w:val="TableContents"/>
              <w:spacing w:before="0" w:after="0"/>
              <w:ind w:left="225" w:right="0" w:hanging="0"/>
              <w:rPr/>
            </w:pPr>
            <w:r>
              <w:rPr/>
              <w:t>Signature loan fees</w:t>
            </w:r>
          </w:p>
        </w:tc>
        <w:tc>
          <w:tcPr>
            <w:tcW w:w="40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061" w:type="dxa"/>
            <w:tcBorders/>
            <w:shd w:fill="CCEEFF" w:val="clear"/>
            <w:vAlign w:val="bottom"/>
          </w:tcPr>
          <w:p>
            <w:pPr>
              <w:pStyle w:val="TableContents"/>
              <w:spacing w:before="0" w:after="283"/>
              <w:jc w:val="right"/>
              <w:rPr/>
            </w:pPr>
            <w:r>
              <w:rPr/>
              <w:t>36,536</w:t>
            </w:r>
          </w:p>
        </w:tc>
        <w:tc>
          <w:tcPr>
            <w:tcW w:w="294"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065" w:type="dxa"/>
            <w:tcBorders/>
            <w:shd w:fill="CCEEFF" w:val="clear"/>
            <w:vAlign w:val="bottom"/>
          </w:tcPr>
          <w:p>
            <w:pPr>
              <w:pStyle w:val="TableContents"/>
              <w:spacing w:before="0" w:after="283"/>
              <w:jc w:val="right"/>
              <w:rPr/>
            </w:pPr>
            <w:r>
              <w:rPr/>
              <w:t>68,685</w:t>
            </w:r>
          </w:p>
        </w:tc>
        <w:tc>
          <w:tcPr>
            <w:tcW w:w="242" w:type="dxa"/>
            <w:tcBorders/>
            <w:shd w:fill="CCEEFF" w:val="clear"/>
            <w:vAlign w:val="bottom"/>
          </w:tcPr>
          <w:p>
            <w:pPr>
              <w:pStyle w:val="TableContents"/>
              <w:spacing w:before="0" w:after="283"/>
              <w:rPr/>
            </w:pPr>
            <w:r>
              <w:rPr/>
              <w:t> </w:t>
            </w:r>
          </w:p>
        </w:tc>
      </w:tr>
      <w:tr>
        <w:trPr/>
        <w:tc>
          <w:tcPr>
            <w:tcW w:w="6295" w:type="dxa"/>
            <w:tcBorders/>
            <w:shd w:fill="auto" w:val="clear"/>
            <w:vAlign w:val="bottom"/>
          </w:tcPr>
          <w:p>
            <w:pPr>
              <w:pStyle w:val="TableContents"/>
              <w:spacing w:before="0" w:after="0"/>
              <w:ind w:left="225" w:right="0" w:hanging="0"/>
              <w:rPr/>
            </w:pPr>
            <w:r>
              <w:rPr/>
              <w:t>Signature loan bad debt</w:t>
            </w:r>
          </w:p>
        </w:tc>
        <w:tc>
          <w:tcPr>
            <w:tcW w:w="40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11,654</w:t>
            </w:r>
          </w:p>
        </w:tc>
        <w:tc>
          <w:tcPr>
            <w:tcW w:w="29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16,611</w:t>
            </w:r>
          </w:p>
        </w:tc>
        <w:tc>
          <w:tcPr>
            <w:tcW w:w="242" w:type="dxa"/>
            <w:tcBorders/>
            <w:shd w:fill="auto" w:val="clear"/>
            <w:vAlign w:val="bottom"/>
          </w:tcPr>
          <w:p>
            <w:pPr>
              <w:pStyle w:val="TableContents"/>
              <w:spacing w:before="0" w:after="283"/>
              <w:rPr/>
            </w:pPr>
            <w:r>
              <w:rPr/>
              <w:t> </w:t>
            </w:r>
          </w:p>
        </w:tc>
      </w:tr>
      <w:tr>
        <w:trPr/>
        <w:tc>
          <w:tcPr>
            <w:tcW w:w="6295" w:type="dxa"/>
            <w:tcBorders/>
            <w:shd w:fill="auto" w:val="clear"/>
            <w:vAlign w:val="center"/>
          </w:tcPr>
          <w:p>
            <w:pPr>
              <w:pStyle w:val="TableContents"/>
              <w:spacing w:before="0" w:after="0"/>
              <w:ind w:left="0" w:right="0" w:hanging="0"/>
              <w:rPr/>
            </w:pPr>
            <w:r>
              <w:rPr/>
              <w:t> </w:t>
            </w:r>
          </w:p>
        </w:tc>
        <w:tc>
          <w:tcPr>
            <w:tcW w:w="401"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4"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2" w:type="dxa"/>
            <w:tcBorders/>
            <w:shd w:fill="auto" w:val="clear"/>
            <w:vAlign w:val="center"/>
          </w:tcPr>
          <w:p>
            <w:pPr>
              <w:pStyle w:val="TableContents"/>
              <w:spacing w:before="0" w:after="283"/>
              <w:rPr/>
            </w:pPr>
            <w:r>
              <w:rPr/>
              <w:t> </w:t>
            </w:r>
          </w:p>
        </w:tc>
      </w:tr>
      <w:tr>
        <w:trPr/>
        <w:tc>
          <w:tcPr>
            <w:tcW w:w="6295" w:type="dxa"/>
            <w:tcBorders/>
            <w:shd w:fill="CCEEFF" w:val="clear"/>
            <w:vAlign w:val="bottom"/>
          </w:tcPr>
          <w:p>
            <w:pPr>
              <w:pStyle w:val="TableContents"/>
              <w:spacing w:before="0" w:after="0"/>
              <w:ind w:left="450" w:right="0" w:hanging="0"/>
              <w:rPr/>
            </w:pPr>
            <w:r>
              <w:rPr/>
              <w:t>Signature loan contribution (fees less bad debt)</w:t>
            </w:r>
          </w:p>
        </w:tc>
        <w:tc>
          <w:tcPr>
            <w:tcW w:w="40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24,882</w:t>
            </w:r>
          </w:p>
        </w:tc>
        <w:tc>
          <w:tcPr>
            <w:tcW w:w="294"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52,074</w:t>
            </w:r>
          </w:p>
        </w:tc>
        <w:tc>
          <w:tcPr>
            <w:tcW w:w="242" w:type="dxa"/>
            <w:tcBorders/>
            <w:shd w:fill="CCEEFF" w:val="clear"/>
            <w:vAlign w:val="bottom"/>
          </w:tcPr>
          <w:p>
            <w:pPr>
              <w:pStyle w:val="TableContents"/>
              <w:spacing w:before="0" w:after="283"/>
              <w:rPr/>
            </w:pPr>
            <w:r>
              <w:rPr/>
              <w:t> </w:t>
            </w:r>
          </w:p>
        </w:tc>
      </w:tr>
      <w:tr>
        <w:trPr/>
        <w:tc>
          <w:tcPr>
            <w:tcW w:w="6295" w:type="dxa"/>
            <w:tcBorders/>
            <w:shd w:fill="auto" w:val="clear"/>
            <w:vAlign w:val="bottom"/>
          </w:tcPr>
          <w:p>
            <w:pPr>
              <w:pStyle w:val="TableContents"/>
              <w:spacing w:before="0" w:after="0"/>
              <w:ind w:left="225" w:right="0" w:hanging="0"/>
              <w:rPr/>
            </w:pPr>
            <w:r>
              <w:rPr/>
              <w:t>Operations expense</w:t>
            </w:r>
          </w:p>
        </w:tc>
        <w:tc>
          <w:tcPr>
            <w:tcW w:w="40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15,673</w:t>
            </w:r>
          </w:p>
        </w:tc>
        <w:tc>
          <w:tcPr>
            <w:tcW w:w="29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26,908</w:t>
            </w:r>
          </w:p>
        </w:tc>
        <w:tc>
          <w:tcPr>
            <w:tcW w:w="242" w:type="dxa"/>
            <w:tcBorders/>
            <w:shd w:fill="auto" w:val="clear"/>
            <w:vAlign w:val="bottom"/>
          </w:tcPr>
          <w:p>
            <w:pPr>
              <w:pStyle w:val="TableContents"/>
              <w:spacing w:before="0" w:after="283"/>
              <w:rPr/>
            </w:pPr>
            <w:r>
              <w:rPr/>
              <w:t> </w:t>
            </w:r>
          </w:p>
        </w:tc>
      </w:tr>
      <w:tr>
        <w:trPr/>
        <w:tc>
          <w:tcPr>
            <w:tcW w:w="6295" w:type="dxa"/>
            <w:tcBorders/>
            <w:shd w:fill="auto" w:val="clear"/>
            <w:vAlign w:val="center"/>
          </w:tcPr>
          <w:p>
            <w:pPr>
              <w:pStyle w:val="TableContents"/>
              <w:spacing w:before="0" w:after="0"/>
              <w:ind w:left="0" w:right="0" w:hanging="0"/>
              <w:rPr/>
            </w:pPr>
            <w:r>
              <w:rPr/>
              <w:t> </w:t>
            </w:r>
          </w:p>
        </w:tc>
        <w:tc>
          <w:tcPr>
            <w:tcW w:w="401" w:type="dxa"/>
            <w:tcBorders/>
            <w:shd w:fill="auto" w:val="clear"/>
            <w:vAlign w:val="center"/>
          </w:tcPr>
          <w:p>
            <w:pPr>
              <w:pStyle w:val="TableContents"/>
              <w:spacing w:before="0" w:after="283"/>
              <w:rPr/>
            </w:pPr>
            <w:r>
              <w:rPr/>
              <w:t> </w:t>
            </w:r>
          </w:p>
        </w:tc>
        <w:tc>
          <w:tcPr>
            <w:tcW w:w="12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4"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2" w:type="dxa"/>
            <w:tcBorders/>
            <w:shd w:fill="auto" w:val="clear"/>
            <w:vAlign w:val="center"/>
          </w:tcPr>
          <w:p>
            <w:pPr>
              <w:pStyle w:val="TableContents"/>
              <w:spacing w:before="0" w:after="283"/>
              <w:rPr/>
            </w:pPr>
            <w:r>
              <w:rPr/>
              <w:t> </w:t>
            </w:r>
          </w:p>
        </w:tc>
      </w:tr>
      <w:tr>
        <w:trPr/>
        <w:tc>
          <w:tcPr>
            <w:tcW w:w="6295" w:type="dxa"/>
            <w:tcBorders/>
            <w:shd w:fill="CCEEFF" w:val="clear"/>
            <w:vAlign w:val="bottom"/>
          </w:tcPr>
          <w:p>
            <w:pPr>
              <w:pStyle w:val="TableContents"/>
              <w:spacing w:before="0" w:after="0"/>
              <w:ind w:left="450" w:right="0" w:hanging="0"/>
              <w:rPr/>
            </w:pPr>
            <w:r>
              <w:rPr/>
              <w:t>Store operating income</w:t>
            </w:r>
          </w:p>
        </w:tc>
        <w:tc>
          <w:tcPr>
            <w:tcW w:w="40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061" w:type="dxa"/>
            <w:tcBorders/>
            <w:shd w:fill="CCEEFF" w:val="clear"/>
            <w:vAlign w:val="bottom"/>
          </w:tcPr>
          <w:p>
            <w:pPr>
              <w:pStyle w:val="TableContents"/>
              <w:spacing w:before="0" w:after="283"/>
              <w:jc w:val="right"/>
              <w:rPr/>
            </w:pPr>
            <w:r>
              <w:rPr/>
              <w:t>9,209</w:t>
            </w:r>
          </w:p>
        </w:tc>
        <w:tc>
          <w:tcPr>
            <w:tcW w:w="294"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065" w:type="dxa"/>
            <w:tcBorders/>
            <w:shd w:fill="CCEEFF" w:val="clear"/>
            <w:vAlign w:val="bottom"/>
          </w:tcPr>
          <w:p>
            <w:pPr>
              <w:pStyle w:val="TableContents"/>
              <w:spacing w:before="0" w:after="283"/>
              <w:jc w:val="right"/>
              <w:rPr/>
            </w:pPr>
            <w:r>
              <w:rPr/>
              <w:t>25,166</w:t>
            </w:r>
          </w:p>
        </w:tc>
        <w:tc>
          <w:tcPr>
            <w:tcW w:w="242" w:type="dxa"/>
            <w:tcBorders/>
            <w:shd w:fill="CCEEFF" w:val="clear"/>
            <w:vAlign w:val="bottom"/>
          </w:tcPr>
          <w:p>
            <w:pPr>
              <w:pStyle w:val="TableContents"/>
              <w:spacing w:before="0" w:after="283"/>
              <w:rPr/>
            </w:pPr>
            <w:r>
              <w:rPr/>
              <w:t> </w:t>
            </w:r>
          </w:p>
        </w:tc>
      </w:tr>
      <w:tr>
        <w:trPr/>
        <w:tc>
          <w:tcPr>
            <w:tcW w:w="6295" w:type="dxa"/>
            <w:tcBorders/>
            <w:shd w:fill="auto" w:val="clear"/>
            <w:vAlign w:val="center"/>
          </w:tcPr>
          <w:p>
            <w:pPr>
              <w:pStyle w:val="TableContents"/>
              <w:spacing w:before="0" w:after="0"/>
              <w:ind w:left="0" w:right="0" w:hanging="0"/>
              <w:rPr/>
            </w:pPr>
            <w:r>
              <w:rPr/>
              <w:t> </w:t>
            </w:r>
          </w:p>
        </w:tc>
        <w:tc>
          <w:tcPr>
            <w:tcW w:w="401" w:type="dxa"/>
            <w:tcBorders/>
            <w:shd w:fill="auto" w:val="clear"/>
            <w:vAlign w:val="center"/>
          </w:tcPr>
          <w:p>
            <w:pPr>
              <w:pStyle w:val="TableContents"/>
              <w:spacing w:before="0" w:after="283"/>
              <w:rPr/>
            </w:pPr>
            <w:r>
              <w:rPr/>
              <w:t> </w:t>
            </w:r>
          </w:p>
        </w:tc>
        <w:tc>
          <w:tcPr>
            <w:tcW w:w="12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94"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rPr/>
            </w:pPr>
            <w:r>
              <w:rPr/>
              <w:t> </w:t>
            </w:r>
          </w:p>
        </w:tc>
        <w:tc>
          <w:tcPr>
            <w:tcW w:w="12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2" w:type="dxa"/>
            <w:tcBorders/>
            <w:shd w:fill="auto" w:val="clear"/>
            <w:vAlign w:val="center"/>
          </w:tcPr>
          <w:p>
            <w:pPr>
              <w:pStyle w:val="TableContents"/>
              <w:spacing w:before="0" w:after="283"/>
              <w:rPr/>
            </w:pPr>
            <w:r>
              <w:rPr/>
              <w:t> </w:t>
            </w:r>
          </w:p>
        </w:tc>
      </w:tr>
      <w:tr>
        <w:trPr/>
        <w:tc>
          <w:tcPr>
            <w:tcW w:w="6295" w:type="dxa"/>
            <w:tcBorders/>
            <w:shd w:fill="auto" w:val="clear"/>
            <w:vAlign w:val="bottom"/>
          </w:tcPr>
          <w:p>
            <w:pPr>
              <w:pStyle w:val="TableContents"/>
              <w:spacing w:before="0" w:after="0"/>
              <w:ind w:left="0" w:right="0" w:hanging="0"/>
              <w:rPr/>
            </w:pPr>
            <w:r>
              <w:rPr/>
              <w:t> </w:t>
            </w:r>
          </w:p>
        </w:tc>
        <w:tc>
          <w:tcPr>
            <w:tcW w:w="40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r>
      <w:tr>
        <w:trPr/>
        <w:tc>
          <w:tcPr>
            <w:tcW w:w="6295" w:type="dxa"/>
            <w:tcBorders/>
            <w:shd w:fill="auto" w:val="clear"/>
            <w:vAlign w:val="bottom"/>
          </w:tcPr>
          <w:p>
            <w:pPr>
              <w:pStyle w:val="TableContents"/>
              <w:spacing w:before="0" w:after="0"/>
              <w:ind w:left="0" w:right="0" w:hanging="0"/>
              <w:rPr/>
            </w:pPr>
            <w:r>
              <w:rPr/>
              <w:t>Other data:</w:t>
            </w:r>
          </w:p>
        </w:tc>
        <w:tc>
          <w:tcPr>
            <w:tcW w:w="40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r>
      <w:tr>
        <w:trPr/>
        <w:tc>
          <w:tcPr>
            <w:tcW w:w="6295" w:type="dxa"/>
            <w:tcBorders/>
            <w:shd w:fill="CCEEFF" w:val="clear"/>
            <w:vAlign w:val="bottom"/>
          </w:tcPr>
          <w:p>
            <w:pPr>
              <w:pStyle w:val="TableContents"/>
              <w:spacing w:before="0" w:after="0"/>
              <w:ind w:left="225" w:right="0" w:hanging="0"/>
              <w:rPr/>
            </w:pPr>
            <w:r>
              <w:rPr/>
              <w:t>Signature loan bad debt as a percent of signature loan fees</w:t>
            </w:r>
          </w:p>
        </w:tc>
        <w:tc>
          <w:tcPr>
            <w:tcW w:w="40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061" w:type="dxa"/>
            <w:tcBorders/>
            <w:shd w:fill="CCEEFF" w:val="clear"/>
            <w:vAlign w:val="bottom"/>
          </w:tcPr>
          <w:p>
            <w:pPr>
              <w:pStyle w:val="TableContents"/>
              <w:spacing w:before="0" w:after="283"/>
              <w:jc w:val="right"/>
              <w:rPr/>
            </w:pPr>
            <w:r>
              <w:rPr/>
              <w:t>31.9</w:t>
            </w:r>
          </w:p>
        </w:tc>
        <w:tc>
          <w:tcPr>
            <w:tcW w:w="294" w:type="dxa"/>
            <w:tcBorders/>
            <w:shd w:fill="CCEEFF" w:val="clear"/>
            <w:vAlign w:val="bottom"/>
          </w:tcPr>
          <w:p>
            <w:pPr>
              <w:pStyle w:val="TableContents"/>
              <w:spacing w:before="0" w:after="283"/>
              <w:rPr/>
            </w:pPr>
            <w:r>
              <w:rPr/>
              <w:t>%</w:t>
            </w:r>
          </w:p>
        </w:tc>
        <w:tc>
          <w:tcPr>
            <w:tcW w:w="41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24.2</w:t>
            </w:r>
          </w:p>
        </w:tc>
        <w:tc>
          <w:tcPr>
            <w:tcW w:w="242" w:type="dxa"/>
            <w:tcBorders/>
            <w:shd w:fill="CCEEFF" w:val="clear"/>
            <w:vAlign w:val="bottom"/>
          </w:tcPr>
          <w:p>
            <w:pPr>
              <w:pStyle w:val="TableContents"/>
              <w:spacing w:before="0" w:after="283"/>
              <w:rPr/>
            </w:pPr>
            <w:r>
              <w:rPr/>
              <w:t>%</w:t>
            </w:r>
          </w:p>
        </w:tc>
      </w:tr>
      <w:tr>
        <w:trPr/>
        <w:tc>
          <w:tcPr>
            <w:tcW w:w="6295" w:type="dxa"/>
            <w:tcBorders/>
            <w:shd w:fill="auto" w:val="clear"/>
            <w:vAlign w:val="bottom"/>
          </w:tcPr>
          <w:p>
            <w:pPr>
              <w:pStyle w:val="TableContents"/>
              <w:spacing w:before="0" w:after="0"/>
              <w:ind w:left="450" w:right="0" w:hanging="225"/>
              <w:rPr/>
            </w:pPr>
            <w:r>
              <w:rPr/>
              <w:t>Signature loan bad debt, excluding sale of older bad debt, as a percent of service charge revenue (b)</w:t>
            </w:r>
          </w:p>
        </w:tc>
        <w:tc>
          <w:tcPr>
            <w:tcW w:w="40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061" w:type="dxa"/>
            <w:tcBorders/>
            <w:shd w:fill="auto" w:val="clear"/>
            <w:vAlign w:val="bottom"/>
          </w:tcPr>
          <w:p>
            <w:pPr>
              <w:pStyle w:val="TableContents"/>
              <w:spacing w:before="0" w:after="283"/>
              <w:jc w:val="right"/>
              <w:rPr/>
            </w:pPr>
            <w:r>
              <w:rPr/>
              <w:t>33.8</w:t>
            </w:r>
          </w:p>
        </w:tc>
        <w:tc>
          <w:tcPr>
            <w:tcW w:w="294" w:type="dxa"/>
            <w:tcBorders/>
            <w:shd w:fill="auto" w:val="clear"/>
            <w:vAlign w:val="bottom"/>
          </w:tcPr>
          <w:p>
            <w:pPr>
              <w:pStyle w:val="TableContents"/>
              <w:spacing w:before="0" w:after="283"/>
              <w:rPr/>
            </w:pPr>
            <w:r>
              <w:rPr/>
              <w:t>%</w:t>
            </w:r>
          </w:p>
        </w:tc>
        <w:tc>
          <w:tcPr>
            <w:tcW w:w="41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283"/>
              <w:jc w:val="right"/>
              <w:rPr/>
            </w:pPr>
            <w:r>
              <w:rPr/>
              <w:t>24.2</w:t>
            </w:r>
          </w:p>
        </w:tc>
        <w:tc>
          <w:tcPr>
            <w:tcW w:w="242" w:type="dxa"/>
            <w:tcBorders/>
            <w:shd w:fill="auto" w:val="clear"/>
            <w:vAlign w:val="bottom"/>
          </w:tcPr>
          <w:p>
            <w:pPr>
              <w:pStyle w:val="TableContents"/>
              <w:spacing w:before="0" w:after="283"/>
              <w:rPr/>
            </w:pPr>
            <w:r>
              <w:rPr/>
              <w:t>%</w:t>
            </w:r>
          </w:p>
        </w:tc>
      </w:tr>
      <w:tr>
        <w:trPr/>
        <w:tc>
          <w:tcPr>
            <w:tcW w:w="6295" w:type="dxa"/>
            <w:tcBorders/>
            <w:shd w:fill="CCEEFF" w:val="clear"/>
            <w:vAlign w:val="bottom"/>
          </w:tcPr>
          <w:p>
            <w:pPr>
              <w:pStyle w:val="TableContents"/>
              <w:spacing w:before="0" w:after="0"/>
              <w:ind w:left="225" w:right="0" w:hanging="0"/>
              <w:rPr/>
            </w:pPr>
            <w:r>
              <w:rPr/>
              <w:t>Average signature loan balance per store offering signature loans at year end (a)</w:t>
            </w:r>
          </w:p>
        </w:tc>
        <w:tc>
          <w:tcPr>
            <w:tcW w:w="40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061" w:type="dxa"/>
            <w:tcBorders/>
            <w:shd w:fill="CCEEFF" w:val="clear"/>
            <w:vAlign w:val="bottom"/>
          </w:tcPr>
          <w:p>
            <w:pPr>
              <w:pStyle w:val="TableContents"/>
              <w:spacing w:before="0" w:after="283"/>
              <w:jc w:val="right"/>
              <w:rPr/>
            </w:pPr>
            <w:r>
              <w:rPr/>
              <w:t>66</w:t>
            </w:r>
          </w:p>
        </w:tc>
        <w:tc>
          <w:tcPr>
            <w:tcW w:w="294"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065" w:type="dxa"/>
            <w:tcBorders/>
            <w:shd w:fill="CCEEFF" w:val="clear"/>
            <w:vAlign w:val="bottom"/>
          </w:tcPr>
          <w:p>
            <w:pPr>
              <w:pStyle w:val="TableContents"/>
              <w:spacing w:before="0" w:after="283"/>
              <w:jc w:val="right"/>
              <w:rPr/>
            </w:pPr>
            <w:r>
              <w:rPr/>
              <w:t>60</w:t>
            </w:r>
          </w:p>
        </w:tc>
        <w:tc>
          <w:tcPr>
            <w:tcW w:w="242"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r>
        <w:trPr/>
        <w:tc>
          <w:tcPr>
            <w:tcW w:w="6829" w:type="dxa"/>
            <w:tcBorders/>
            <w:shd w:fill="auto" w:val="clear"/>
            <w:vAlign w:val="center"/>
          </w:tcPr>
          <w:p>
            <w:pPr>
              <w:pStyle w:val="TableContents"/>
              <w:spacing w:before="0" w:after="283"/>
              <w:rPr/>
            </w:pPr>
            <w:r>
              <w:rPr/>
              <w:t> </w:t>
            </w:r>
          </w:p>
        </w:tc>
        <w:tc>
          <w:tcPr>
            <w:tcW w:w="3376" w:type="dxa"/>
            <w:gridSpan w:val="2"/>
            <w:tcBorders/>
            <w:shd w:fill="auto" w:val="clea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(b)</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Older bad debts were originated between fiscal 2001 and fiscal 2004.</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segments signature loan contribution, or fees less bad debt, increased $27.2 million, or 109% compared to fiscal 2005. The primary cause of the increased contribution was the higher average loan balances at existing stores and the addition of new stores, resulting in an 88% increase in the current year signature loan fee revenue. Signature loan bad debt improved ten percentage points to 24% of related fees compared to fiscal 2005 excluding the sale of older bad debt. In December 2004, we sold our older bad debt (originated between fiscal 2001 and fiscal 2004) to an outside agency for net proceeds of approximately $0.7 million. Including the benefit of this sale, signature loan bad debt was 32% of related fees in fiscal 2005.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To transition customers from County Bank loans to credit services in the last quarter of fiscal 2005, we relaxed our underwriting criteria for credit services during the transitional period. In doing so, we enjoyed a significant increase in credit services volume, but experienced an increase in the losses on our letter of </w:t>
      </w:r>
    </w:p>
    <w:p>
      <w:pPr>
        <w:pStyle w:val="TextBody"/>
        <w:jc w:val="center"/>
        <w:rPr>
          <w:rFonts w:ascii="Helvetica;Arial;sans-serif" w:hAnsi="Helvetica;Arial;sans-serif"/>
          <w:sz w:val="17"/>
        </w:rPr>
      </w:pPr>
      <w:r>
        <w:rPr>
          <w:rFonts w:ascii="Helvetica;Arial;sans-serif" w:hAnsi="Helvetica;Arial;sans-serif"/>
          <w:sz w:val="17"/>
        </w:rPr>
        <w:t xml:space="preserve">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credit obligations in that period. The fiscal 2006 improvement in bad debt rates was partially a result of subsequent modifications we made to our underwriting for credit services.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Operations expense increased $11.2 million in fiscal 2006 to $26.9 million, or 39% of segment revenues from 43% in fiscal 2005. The increase was mostly from additional labor, rent and other costs at new stores that had not yet matured. Included in the fiscal 2005 amount is a one-time cost of $0.6 million related directly to the conversion of stores from offering payday loans to offering credit services. In fiscal 2006, operations expense was $103,890 per average store, compared to $89,050 per average store in fiscal 2005. Stores adjoining an EZPAWN location, which generally have lower operating costs, comprised a smaller percentage of the total EZMONEY stores than in fiscal 2005.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fiscal 2006, the $27.2 million increase in signature loan fees net of bad debt and $11.2 million greater operations expense resulted in a $16.0 million net increase in store operating income from the EZMONEY Operations segment. EZMONEY Operations made up 32% of fiscal 2006 consolidated store operating income compared to 17% in fiscal 2005. </w:t>
      </w:r>
    </w:p>
    <w:p>
      <w:pPr>
        <w:pStyle w:val="TextBody"/>
        <w:spacing w:before="240" w:after="283"/>
        <w:jc w:val="left"/>
        <w:rPr>
          <w:rFonts w:ascii="Helvetica;Arial;sans-serif" w:hAnsi="Helvetica;Arial;sans-serif"/>
          <w:sz w:val="17"/>
        </w:rPr>
      </w:pPr>
      <w:r>
        <w:rPr>
          <w:rFonts w:ascii="Helvetica;Arial;sans-serif" w:hAnsi="Helvetica;Arial;sans-serif"/>
          <w:b/>
          <w:sz w:val="17"/>
        </w:rPr>
        <w:t>Other Items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items discussed below affect our consolidated financial results, but are not allocated between segments.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Administrative expenses in fiscal 2006 were $27.7 million compared to $23.1 million in fiscal 2005. This is an improvement of 0.8 of a percentage point to 13.3% when measured as a percent of net revenue. The dollar increase was due primarily to a $2.0 million increase in administrative labor and benefits and a $1.4 million increase in stock compensation recognized as a result of adopting SFAS No. 123(R), as described in </w:t>
      </w:r>
      <w:r>
        <w:rPr>
          <w:rFonts w:ascii="Helvetica;Arial;sans-serif" w:hAnsi="Helvetica;Arial;sans-serif"/>
          <w:i/>
          <w:sz w:val="17"/>
        </w:rPr>
        <w:t xml:space="preserve">Effect of Adopting a New Accounting Principle for Share-based Compensation </w:t>
      </w:r>
      <w:r>
        <w:rPr>
          <w:rFonts w:ascii="Helvetica;Arial;sans-serif" w:hAnsi="Helvetica;Arial;sans-serif"/>
          <w:sz w:val="17"/>
        </w:rPr>
        <w:t xml:space="preserve">above.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Depreciation and amortization expense was $8.6 million in fiscal 2006, compared to $8.1 million in fiscal 2005. Depreciation on assets placed in service, primarily related to new EZMONEY stores, exceeded the reduction from assets that became fully depreciated or were retired.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had net interest income of $0.1 million in fiscal 2006, compared to net interest expense of $1.3 million in fiscal 2005. We had an average outstanding debt balance of $1.6 million and an average cash balance of $17.5 million in fiscal 2006, compared to an average debt balance of $17.0 million and an average cash balance of $2.9 million in fiscal 2005. Our earnings on invested cash in fiscal 2006 more than offset the interest and line of credit commitment fees paid in the period. The liquidity changes were funded primarily by cash flow from operations after funding all investment activity.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fiscal 2006 income tax expense was $16.2 million (35.7% of pre-tax income) compared to $8.3 million (36% of pre-tax income) in fiscal 2005. The decrease in the fiscal 2006 effective tax rate was primarily due to a $0.7 million reduction in accrued state income taxes following a legislative change. Partially offsetting this was a $0.3 million tax increase related to non-deductible stock compensation and a $0.4 million valuation allowance placed on a capital loss carry-forward.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Consolidated operating income for fiscal 2006 improved $20.8 million over fiscal 2005 to $43.0 million. Contributing to this were the $10.0 million and $16.0 million increases in store operating income in our EZPAWN and EZMONEY Operations segments, partially offset by the $4.7 million increase in administrative expenses. After a $1.4 million improvement in net interest, a $7.9 million increase in income taxes, and other smaller items, net income improved to $29.3 million in fiscal 2006 from $14.8 million in fiscal 2005. </w:t>
      </w:r>
    </w:p>
    <w:p>
      <w:pPr>
        <w:pStyle w:val="TextBody"/>
        <w:spacing w:before="240" w:after="283"/>
        <w:jc w:val="left"/>
        <w:rPr>
          <w:rFonts w:ascii="Helvetica;Arial;sans-serif" w:hAnsi="Helvetica;Arial;sans-serif"/>
          <w:sz w:val="17"/>
        </w:rPr>
      </w:pPr>
      <w:r>
        <w:rPr>
          <w:rFonts w:ascii="Helvetica;Arial;sans-serif" w:hAnsi="Helvetica;Arial;sans-serif"/>
          <w:b/>
          <w:i/>
          <w:sz w:val="17"/>
        </w:rPr>
        <w:t>Liquidity and Capital Resources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fiscal 2007, our $53.4 million cash flow from operations consisted of (i) net income plus several non-cash items, aggregating to $51.0 million, and (ii) $2.4 million of changes in operating assets and liabilities. The changes in operating assets and liabilities were of a normal, recurring nature. In fiscal 2006, our </w:t>
      </w:r>
    </w:p>
    <w:p>
      <w:pPr>
        <w:pStyle w:val="TextBody"/>
        <w:jc w:val="center"/>
        <w:rPr>
          <w:rFonts w:ascii="Helvetica;Arial;sans-serif" w:hAnsi="Helvetica;Arial;sans-serif"/>
          <w:sz w:val="17"/>
        </w:rPr>
      </w:pPr>
      <w:r>
        <w:rPr>
          <w:rFonts w:ascii="Helvetica;Arial;sans-serif" w:hAnsi="Helvetica;Arial;sans-serif"/>
          <w:sz w:val="17"/>
        </w:rPr>
        <w:t xml:space="preserve">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$43.2 million cash flow from operations consisted mostly of net income plus several non-cash items, primarily depreciation and the change in deferred taxes. The primary differences in cash flow from operations between the two years were an increase in the gross profit on sales of inventory and an increase in collected signature loan fees and pawn service charges, net of higher operating expenditures and taxes paid.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$62.9 million of cash used in investing activities during the current year was funded mostly by cash flow from operations and cash on hand. Our most significant year-do-date investments were the $23.2 million acquisition of 15 pawn stores and one payday loan store from Jumping Jack Cash, the $13.4 million additional investment in the common stock of an unconsolidated affiliate, and $13.7 million in additions to property and equipment primarily for new store construction. Other significant investments were the funding of $7.6 million of payday loans net of repayments and $6.5 million of pawn loans net of repayments and recoveries through the sale of forfeited collateral. Partially offsetting these were $1.3 million of dividends received from an unconsolidated affiliate and $2.4 million received from the exercise of employee stock options and related excess tax benefits. The net effect of these and other smaller cash flows was a $7.4 million decrease in cash on hand, providing a $22.5 million ending cash balance.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Below is a summary of our cash needs to meet future aggregate contractual obligations </w:t>
      </w:r>
      <w:r>
        <w:rPr>
          <w:rFonts w:ascii="Helvetica;Arial;sans-serif" w:hAnsi="Helvetica;Arial;sans-serif"/>
          <w:i/>
          <w:sz w:val="17"/>
        </w:rPr>
        <w:t>(in millions)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3475"/>
        <w:gridCol w:w="243"/>
        <w:gridCol w:w="158"/>
        <w:gridCol w:w="670"/>
        <w:gridCol w:w="89"/>
        <w:gridCol w:w="243"/>
        <w:gridCol w:w="265"/>
        <w:gridCol w:w="906"/>
        <w:gridCol w:w="89"/>
        <w:gridCol w:w="243"/>
        <w:gridCol w:w="221"/>
        <w:gridCol w:w="770"/>
        <w:gridCol w:w="88"/>
        <w:gridCol w:w="243"/>
        <w:gridCol w:w="221"/>
        <w:gridCol w:w="770"/>
        <w:gridCol w:w="89"/>
        <w:gridCol w:w="243"/>
        <w:gridCol w:w="243"/>
        <w:gridCol w:w="837"/>
        <w:gridCol w:w="99"/>
      </w:tblGrid>
      <w:tr>
        <w:trPr/>
        <w:tc>
          <w:tcPr>
            <w:tcW w:w="34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388" w:type="dxa"/>
            <w:gridSpan w:val="18"/>
            <w:tcBorders>
              <w:bottom w:val="single" w:sz="2" w:space="0" w:color="000000"/>
            </w:tcBorders>
            <w:shd w:fill="auto" w:val="clear"/>
            <w:tcMar>
              <w:bottom w:w="28" w:type="dxa"/>
            </w:tcMar>
            <w:vAlign w:val="bottom"/>
          </w:tcPr>
          <w:p>
            <w:pPr>
              <w:pStyle w:val="TableContents"/>
              <w:spacing w:before="0" w:after="283"/>
              <w:jc w:val="center"/>
              <w:rPr/>
            </w:pPr>
            <w:r>
              <w:rPr/>
              <w:t>Payments due by Period</w:t>
            </w:r>
          </w:p>
        </w:tc>
        <w:tc>
          <w:tcPr>
            <w:tcW w:w="99" w:type="dxa"/>
            <w:tcBorders/>
            <w:shd w:fill="auto"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71" w:type="dxa"/>
            <w:gridSpan w:val="2"/>
            <w:tcBorders/>
            <w:shd w:fill="auto" w:val="clear"/>
            <w:vAlign w:val="bottom"/>
          </w:tcPr>
          <w:p>
            <w:pPr>
              <w:pStyle w:val="TableContents"/>
              <w:spacing w:before="0" w:after="283"/>
              <w:jc w:val="center"/>
              <w:rPr/>
            </w:pPr>
            <w:r>
              <w:rPr/>
              <w:t>Less than 1</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80" w:type="dxa"/>
            <w:gridSpan w:val="2"/>
            <w:tcBorders/>
            <w:shd w:fill="auto" w:val="clear"/>
            <w:vAlign w:val="bottom"/>
          </w:tcPr>
          <w:p>
            <w:pPr>
              <w:pStyle w:val="TableContents"/>
              <w:spacing w:before="0" w:after="283"/>
              <w:jc w:val="center"/>
              <w:rPr/>
            </w:pPr>
            <w:r>
              <w:rPr/>
              <w:t>More than</w:t>
            </w:r>
          </w:p>
        </w:tc>
        <w:tc>
          <w:tcPr>
            <w:tcW w:w="99" w:type="dxa"/>
            <w:tcBorders/>
            <w:shd w:fill="auto" w:val="clear"/>
            <w:vAlign w:val="bottom"/>
          </w:tcPr>
          <w:p>
            <w:pPr>
              <w:pStyle w:val="TableContents"/>
              <w:spacing w:before="0" w:after="283"/>
              <w:rPr/>
            </w:pPr>
            <w:r>
              <w:rPr/>
              <w:t> </w:t>
            </w:r>
          </w:p>
        </w:tc>
      </w:tr>
      <w:tr>
        <w:trPr/>
        <w:tc>
          <w:tcPr>
            <w:tcW w:w="3475" w:type="dxa"/>
            <w:tcBorders>
              <w:bottom w:val="single" w:sz="2" w:space="0" w:color="000000"/>
            </w:tcBorders>
            <w:shd w:fill="auto" w:val="clear"/>
            <w:tcMar>
              <w:bottom w:w="28" w:type="dxa"/>
            </w:tcMar>
            <w:vAlign w:val="bottom"/>
          </w:tcPr>
          <w:p>
            <w:pPr>
              <w:pStyle w:val="TableContents"/>
              <w:spacing w:before="0" w:after="283"/>
              <w:jc w:val="left"/>
              <w:rPr/>
            </w:pPr>
            <w:r>
              <w:rPr/>
              <w:t>Contractual Obligations</w:t>
            </w:r>
          </w:p>
        </w:tc>
        <w:tc>
          <w:tcPr>
            <w:tcW w:w="243"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71" w:type="dxa"/>
            <w:gridSpan w:val="2"/>
            <w:tcBorders>
              <w:bottom w:val="single" w:sz="2" w:space="0" w:color="000000"/>
            </w:tcBorders>
            <w:shd w:fill="auto" w:val="clear"/>
            <w:tcMar>
              <w:bottom w:w="28" w:type="dxa"/>
            </w:tcMar>
            <w:vAlign w:val="bottom"/>
          </w:tcPr>
          <w:p>
            <w:pPr>
              <w:pStyle w:val="TableContents"/>
              <w:spacing w:before="0" w:after="283"/>
              <w:jc w:val="center"/>
              <w:rPr/>
            </w:pPr>
            <w:r>
              <w:rPr/>
              <w:t>year</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pPr>
            <w:r>
              <w:rPr/>
              <w:t>1-3 years</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pPr>
            <w:r>
              <w:rPr/>
              <w:t>3-5 years</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pPr>
            <w:r>
              <w:rPr/>
              <w:t>5 years</w:t>
            </w:r>
          </w:p>
        </w:tc>
        <w:tc>
          <w:tcPr>
            <w:tcW w:w="99" w:type="dxa"/>
            <w:tcBorders/>
            <w:shd w:fill="auto" w:val="clear"/>
            <w:vAlign w:val="bottom"/>
          </w:tcPr>
          <w:p>
            <w:pPr>
              <w:pStyle w:val="TableContents"/>
              <w:spacing w:before="0" w:after="283"/>
              <w:rPr/>
            </w:pPr>
            <w:r>
              <w:rPr/>
              <w:t> </w:t>
            </w:r>
          </w:p>
        </w:tc>
      </w:tr>
      <w:tr>
        <w:trPr/>
        <w:tc>
          <w:tcPr>
            <w:tcW w:w="3475" w:type="dxa"/>
            <w:tcBorders/>
            <w:shd w:fill="CCEEFF" w:val="clear"/>
            <w:vAlign w:val="bottom"/>
          </w:tcPr>
          <w:p>
            <w:pPr>
              <w:pStyle w:val="TableContents"/>
              <w:spacing w:before="0" w:after="0"/>
              <w:ind w:left="225" w:right="0" w:hanging="225"/>
              <w:rPr/>
            </w:pPr>
            <w:r>
              <w:rPr/>
              <w:t>Long-term debt obligations</w:t>
            </w:r>
          </w:p>
        </w:tc>
        <w:tc>
          <w:tcPr>
            <w:tcW w:w="24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6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w:t>
            </w:r>
          </w:p>
        </w:tc>
        <w:tc>
          <w:tcPr>
            <w:tcW w:w="906"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770"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7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0"/>
              <w:ind w:left="225" w:right="0" w:hanging="225"/>
              <w:rPr/>
            </w:pPr>
            <w:r>
              <w:rPr/>
              <w:t>Interest on long-term debt obligations</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pPr>
            <w:r>
              <w:rPr/>
              <w:t>0.2</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0.1</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0.1</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r>
      <w:tr>
        <w:trPr/>
        <w:tc>
          <w:tcPr>
            <w:tcW w:w="3475" w:type="dxa"/>
            <w:tcBorders/>
            <w:shd w:fill="CCEEFF" w:val="clear"/>
            <w:vAlign w:val="bottom"/>
          </w:tcPr>
          <w:p>
            <w:pPr>
              <w:pStyle w:val="TableContents"/>
              <w:spacing w:before="0" w:after="0"/>
              <w:ind w:left="225" w:right="0" w:hanging="225"/>
              <w:rPr/>
            </w:pPr>
            <w:r>
              <w:rPr/>
              <w:t>Capital lease obligations</w:t>
            </w:r>
          </w:p>
        </w:tc>
        <w:tc>
          <w:tcPr>
            <w:tcW w:w="24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0"/>
              <w:ind w:left="225" w:right="0" w:hanging="225"/>
              <w:rPr/>
            </w:pPr>
            <w:r>
              <w:rPr/>
              <w:t>Operating lease obligations</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pPr>
            <w:r>
              <w:rPr/>
              <w:t>150.2</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22.0</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39.7</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33.1</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55.4</w:t>
            </w:r>
          </w:p>
        </w:tc>
        <w:tc>
          <w:tcPr>
            <w:tcW w:w="99" w:type="dxa"/>
            <w:tcBorders/>
            <w:shd w:fill="auto" w:val="clear"/>
            <w:vAlign w:val="bottom"/>
          </w:tcPr>
          <w:p>
            <w:pPr>
              <w:pStyle w:val="TableContents"/>
              <w:spacing w:before="0" w:after="283"/>
              <w:rPr/>
            </w:pPr>
            <w:r>
              <w:rPr/>
              <w:t> </w:t>
            </w:r>
          </w:p>
        </w:tc>
      </w:tr>
      <w:tr>
        <w:trPr/>
        <w:tc>
          <w:tcPr>
            <w:tcW w:w="3475" w:type="dxa"/>
            <w:tcBorders/>
            <w:shd w:fill="CCEEFF" w:val="clear"/>
            <w:vAlign w:val="bottom"/>
          </w:tcPr>
          <w:p>
            <w:pPr>
              <w:pStyle w:val="TableContents"/>
              <w:spacing w:before="0" w:after="0"/>
              <w:ind w:left="225" w:right="0" w:hanging="225"/>
              <w:rPr/>
            </w:pPr>
            <w:r>
              <w:rPr/>
              <w:t>Purchase obligations</w:t>
            </w:r>
          </w:p>
        </w:tc>
        <w:tc>
          <w:tcPr>
            <w:tcW w:w="24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0"/>
              <w:ind w:left="225" w:right="0" w:hanging="225"/>
              <w:rPr/>
            </w:pPr>
            <w:r>
              <w:rPr/>
              <w:t>Other long-term liabilities</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r>
      <w:tr>
        <w:trPr/>
        <w:tc>
          <w:tcPr>
            <w:tcW w:w="3475" w:type="dxa"/>
            <w:tcBorders/>
            <w:shd w:fill="auto" w:val="clear"/>
            <w:vAlign w:val="center"/>
          </w:tcPr>
          <w:p>
            <w:pPr>
              <w:pStyle w:val="TableContents"/>
              <w:spacing w:before="0" w:after="0"/>
              <w:ind w:left="225" w:right="0" w:hanging="225"/>
              <w:rPr/>
            </w:pPr>
            <w:r>
              <w:rPr/>
              <w:t> </w:t>
            </w:r>
          </w:p>
        </w:tc>
        <w:tc>
          <w:tcPr>
            <w:tcW w:w="243" w:type="dxa"/>
            <w:tcBorders/>
            <w:shd w:fill="auto" w:val="clear"/>
            <w:vAlign w:val="center"/>
          </w:tcPr>
          <w:p>
            <w:pPr>
              <w:pStyle w:val="TableContents"/>
              <w:spacing w:before="0" w:after="283"/>
              <w:rPr/>
            </w:pPr>
            <w:r>
              <w:rPr/>
              <w:t> </w:t>
            </w:r>
          </w:p>
        </w:tc>
        <w:tc>
          <w:tcPr>
            <w:tcW w:w="8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0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3475" w:type="dxa"/>
            <w:tcBorders/>
            <w:shd w:fill="CCEEFF" w:val="clear"/>
            <w:vAlign w:val="bottom"/>
          </w:tcPr>
          <w:p>
            <w:pPr>
              <w:pStyle w:val="TableContents"/>
              <w:spacing w:before="0" w:after="0"/>
              <w:ind w:left="225" w:right="0" w:hanging="225"/>
              <w:rPr/>
            </w:pPr>
            <w:r>
              <w:rPr/>
              <w:t>Total</w:t>
            </w:r>
          </w:p>
        </w:tc>
        <w:tc>
          <w:tcPr>
            <w:tcW w:w="24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670" w:type="dxa"/>
            <w:tcBorders/>
            <w:shd w:fill="CCEEFF" w:val="clear"/>
            <w:vAlign w:val="bottom"/>
          </w:tcPr>
          <w:p>
            <w:pPr>
              <w:pStyle w:val="TableContents"/>
              <w:spacing w:before="0" w:after="283"/>
              <w:jc w:val="right"/>
              <w:rPr/>
            </w:pPr>
            <w:r>
              <w:rPr/>
              <w:t>150.4</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w:t>
            </w:r>
          </w:p>
        </w:tc>
        <w:tc>
          <w:tcPr>
            <w:tcW w:w="906" w:type="dxa"/>
            <w:tcBorders/>
            <w:shd w:fill="CCEEFF" w:val="clear"/>
            <w:vAlign w:val="bottom"/>
          </w:tcPr>
          <w:p>
            <w:pPr>
              <w:pStyle w:val="TableContents"/>
              <w:spacing w:before="0" w:after="283"/>
              <w:jc w:val="right"/>
              <w:rPr/>
            </w:pPr>
            <w:r>
              <w:rPr/>
              <w:t>22.1</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770" w:type="dxa"/>
            <w:tcBorders/>
            <w:shd w:fill="CCEEFF" w:val="clear"/>
            <w:vAlign w:val="bottom"/>
          </w:tcPr>
          <w:p>
            <w:pPr>
              <w:pStyle w:val="TableContents"/>
              <w:spacing w:before="0" w:after="283"/>
              <w:jc w:val="right"/>
              <w:rPr/>
            </w:pPr>
            <w:r>
              <w:rPr/>
              <w:t>39.8</w:t>
            </w:r>
          </w:p>
        </w:tc>
        <w:tc>
          <w:tcPr>
            <w:tcW w:w="88"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770" w:type="dxa"/>
            <w:tcBorders/>
            <w:shd w:fill="CCEEFF" w:val="clear"/>
            <w:vAlign w:val="bottom"/>
          </w:tcPr>
          <w:p>
            <w:pPr>
              <w:pStyle w:val="TableContents"/>
              <w:spacing w:before="0" w:after="283"/>
              <w:jc w:val="right"/>
              <w:rPr/>
            </w:pPr>
            <w:r>
              <w:rPr/>
              <w:t>33.1</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55.4</w:t>
            </w:r>
          </w:p>
        </w:tc>
        <w:tc>
          <w:tcPr>
            <w:tcW w:w="99" w:type="dxa"/>
            <w:tcBorders/>
            <w:shd w:fill="CCEEFF" w:val="clear"/>
            <w:vAlign w:val="bottom"/>
          </w:tcPr>
          <w:p>
            <w:pPr>
              <w:pStyle w:val="TableContents"/>
              <w:spacing w:before="0" w:after="283"/>
              <w:rPr/>
            </w:pPr>
            <w:r>
              <w:rPr/>
              <w:t> </w:t>
            </w:r>
          </w:p>
        </w:tc>
      </w:tr>
      <w:tr>
        <w:trPr/>
        <w:tc>
          <w:tcPr>
            <w:tcW w:w="3475" w:type="dxa"/>
            <w:tcBorders/>
            <w:shd w:fill="auto" w:val="clear"/>
            <w:vAlign w:val="center"/>
          </w:tcPr>
          <w:p>
            <w:pPr>
              <w:pStyle w:val="TableContents"/>
              <w:spacing w:before="0" w:after="0"/>
              <w:ind w:left="225" w:right="0" w:hanging="225"/>
              <w:rPr/>
            </w:pPr>
            <w:r>
              <w:rPr/>
              <w:t> </w:t>
            </w:r>
          </w:p>
        </w:tc>
        <w:tc>
          <w:tcPr>
            <w:tcW w:w="243" w:type="dxa"/>
            <w:tcBorders/>
            <w:shd w:fill="auto" w:val="clear"/>
            <w:vAlign w:val="center"/>
          </w:tcPr>
          <w:p>
            <w:pPr>
              <w:pStyle w:val="TableContents"/>
              <w:spacing w:before="0" w:after="283"/>
              <w:rPr/>
            </w:pPr>
            <w:r>
              <w:rPr/>
              <w:t> </w:t>
            </w:r>
          </w:p>
        </w:tc>
        <w:tc>
          <w:tcPr>
            <w:tcW w:w="8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0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addition to the contractual obligations in the table above, we are obligated under letters of credit issued to unaffiliated lenders as part of our credit service operations. At September 30, 2007, our maximum exposure for losses on letters of credit, if all brokered loans defaulted and none was collected, was $24.7 million. This amount includes principal, interest and insufficient funds fees.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addition to the operating lease obligations in the table above, we are responsible for the maintenance, property taxes, and insurance at most of our locations. In the fiscal year ended September 30, 2007, these collectively amounted to $8.2 million.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October 22, 2007, subsequent to the current year-end, we completed the acquisition of twenty Mexico pawnshops from MMFS Intl., S.A. de C.V, a subsidiary of Mister Money Holdings, Inc. for $15.3 million cash and direct transaction costs, as described in Note S, </w:t>
      </w:r>
      <w:r>
        <w:rPr>
          <w:rFonts w:ascii="Helvetica;Arial;sans-serif" w:hAnsi="Helvetica;Arial;sans-serif"/>
          <w:i/>
          <w:sz w:val="17"/>
        </w:rPr>
        <w:t xml:space="preserve">Subsequent Event </w:t>
      </w:r>
      <w:r>
        <w:rPr>
          <w:rFonts w:ascii="Helvetica;Arial;sans-serif" w:hAnsi="Helvetica;Arial;sans-serif"/>
          <w:sz w:val="17"/>
        </w:rPr>
        <w:t xml:space="preserve">in the financial statements filed as part of this Form 10-K.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the fiscal year ending September 30, 2008, we plan to open approximately 100 new signature loan stores in the U.S. and seven to ten new pawn stores in Mexico for an expected capital expenditure of approximately $6.7 million, plus the funding of working capital and start-up losses at these stores. We believe these new stores will create a drag on earnings and liquidity in their first six to nine months of operations before turning profitable.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While we had no debt outstanding at September 30, 2007, we have a $40 million revolving credit facility secured by our assets, which matures October 1, 2009. Under the terms of the agreement, we could borrow the full $40 million at September 30, 2007. Terms of the agreement require, among other things, </w:t>
      </w:r>
    </w:p>
    <w:p>
      <w:pPr>
        <w:pStyle w:val="TextBody"/>
        <w:jc w:val="center"/>
        <w:rPr>
          <w:rFonts w:ascii="Helvetica;Arial;sans-serif" w:hAnsi="Helvetica;Arial;sans-serif"/>
          <w:sz w:val="17"/>
        </w:rPr>
      </w:pPr>
      <w:r>
        <w:rPr>
          <w:rFonts w:ascii="Helvetica;Arial;sans-serif" w:hAnsi="Helvetica;Arial;sans-serif"/>
          <w:sz w:val="17"/>
        </w:rPr>
        <w:t xml:space="preserve">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that we meet certain financial covenants. Payment of dividends and additional debt are allowed but restricted. The interest amount shown in the table above reflects the commitment fee we anticipate paying through the maturity of the credit agreement, assuming we remain debt-free.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anticipate that cash flow from operations, cash on hand and availability under our revolving credit facility will be adequate to fund our contractual obligations, planned store growth, capital expenditures, known acquisitions and working capital requirements during the coming year. </w:t>
      </w:r>
    </w:p>
    <w:p>
      <w:pPr>
        <w:pStyle w:val="TextBody"/>
        <w:jc w:val="center"/>
        <w:rPr>
          <w:rFonts w:ascii="Helvetica;Arial;sans-serif" w:hAnsi="Helvetica;Arial;sans-serif"/>
          <w:sz w:val="17"/>
        </w:rPr>
      </w:pPr>
      <w:r>
        <w:rPr>
          <w:rFonts w:ascii="Helvetica;Arial;sans-serif" w:hAnsi="Helvetica;Arial;sans-serif"/>
          <w:sz w:val="17"/>
        </w:rPr>
        <w:t xml:space="preserve">43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mallCaps/>
          <w:sz w:val="17"/>
        </w:rPr>
        <w:t>Cautionary Statement Regarding Risks and Uncertainties That May Affect Future Results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i/>
          <w:sz w:val="17"/>
        </w:rPr>
        <w:t>Forward-Looking Information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This Annual Report on Form 10-K, including Managements Discussion and Analysis of Financial Condition and Results of Operations, includes forward-looking statements within the meaning of Section 27A of the Securities Act of 1933, as amended, and Section 21E of the Securities Exchange Act of 1934, as amended. We intend that all forward-looking statements be subject to the safe harbors created by these laws. All statements other than statements of historical information are forward-looking and may contain information about financial results, economic conditions, trends, and known uncertainties. All forward-looking statements are based on current expectations regarding important risk factors. Many of these risks and uncertainties are beyond our ability to control, and, in many cases we cannot predict all of the risks and uncertainties that could cause actual results to differ materially from those expressed in the forward-looking statements. You should not regard those forward-looking statements as representations that the results expressed in the statements will be achieved. Important risk factors that could cause results or events to differ from current expectations are described in Item 1A, Risk Factors, of this Annual Report on Form 10-K. These factors are not intended to be an all-encompassing list of risks and uncertainties that may affect the operations, performance, development and result of our business. You are cautioned not to place undue reliance on these forward-looking statements, which speak only as of the date hereof. We undertake no obligation to release publicly the results of any revisions to these forward-looking statements which may be made to reflect events or circumstances after the date hereon, including without limitation, changes in our business strategy or planned capital expenditures, store growth plans, or to reflect the occurrence of unanticipated events.</w:t>
      </w:r>
    </w:p>
    <w:p>
      <w:pPr>
        <w:pStyle w:val="TextBody"/>
        <w:spacing w:before="240" w:after="283"/>
        <w:jc w:val="left"/>
        <w:rPr>
          <w:rFonts w:ascii="Helvetica;Arial;sans-serif" w:hAnsi="Helvetica;Arial;sans-serif"/>
          <w:sz w:val="17"/>
        </w:rPr>
      </w:pPr>
      <w:bookmarkStart w:id="14" w:name="111"/>
      <w:bookmarkEnd w:id="14"/>
      <w:r>
        <w:rPr>
          <w:rFonts w:ascii="Helvetica;Arial;sans-serif" w:hAnsi="Helvetica;Arial;sans-serif"/>
          <w:b/>
          <w:smallCaps/>
          <w:sz w:val="17"/>
        </w:rPr>
        <w:t>Item 7A. Qualitative and Quantitative Disclosures about Market Risk</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i/>
          <w:sz w:val="17"/>
        </w:rPr>
        <w:t>Market Risk Disclosures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The following discussion about our market risk disclosures involves forward-looking statements. Actual results could differ materially from those projected in the forward-looking statements. We are exposed to market risk related to changes in foreign currency exchange rates and gold values. We also are exposed to regulatory risk in relation to our credit services, payday loans and pawn operations. We do not use derivative financial instruments.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earnings and financial position may be affected by changes in gold values and the resulting impact on pawn lending and jewelry sales. The proceeds of scrap sales and our ability to sell excess jewelry inventory at an acceptable margin depend on gold values. The impact on our financial position and results of operations of a hypothetical decrease in gold values cannot be reasonably estimated. For further discussion, you should read Risk Factors in Part I, Item 1A of this annual report on Form 10-K.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earnings and financial position are affected by foreign exchange rate fluctuations related to our equity investment in A&amp;B. A&amp;Bs functional currency is the U.K. pound. The impact on our results of operations and financial position of a hypothetical change in the exchange rate between the U.S. dollar and the U.K. pound cannot be reasonably estimated due to the interrelationship of operating results and exchange rates. The translation adjustment representing the strengthening in the U.K. pound during the year ended June 30, 2007 (included in our September 30, 2007 results on a three-month lag as described above) was a $1,390,000 increase, net of tax effect, to stockholders equity. On September 30, 2007, the U.K. pound strengthened to 1.00 to 2.0477 U.S. dollars from 2.0039 at June 30, 2007. We cannot assure the future valuation of the U.K. pound or how further movements in the pound could affect our future earnings or financial position.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Similar to the discussion above regarding the U.K. pound, fluctuations in the exchange rate for the Mexican peso also affect our earnings and financial position due to our pawn operations in Mexico. Currently these operations are not material. The translation adjustment representing the weakening in the Mexican peso during the year ended September 30, 2007 was a $13,000 decrease, net of tax effect, to stockholders equity. We have currently assumed permanent reinvestment of earnings and capital in Mexico. Accumulated translation gains or losses related to any future repatriation of earnings or capital would impact our earnings in the period of repatriation. </w:t>
      </w:r>
    </w:p>
    <w:p>
      <w:pPr>
        <w:pStyle w:val="TextBody"/>
        <w:jc w:val="center"/>
        <w:rPr>
          <w:rFonts w:ascii="Helvetica;Arial;sans-serif" w:hAnsi="Helvetica;Arial;sans-serif"/>
          <w:sz w:val="17"/>
        </w:rPr>
      </w:pPr>
      <w:r>
        <w:rPr>
          <w:rFonts w:ascii="Helvetica;Arial;sans-serif" w:hAnsi="Helvetica;Arial;sans-serif"/>
          <w:sz w:val="17"/>
        </w:rPr>
        <w:t xml:space="preserve">44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15" w:name="112"/>
      <w:bookmarkEnd w:id="15"/>
      <w:r>
        <w:rPr>
          <w:rFonts w:ascii="Helvetica;Arial;sans-serif" w:hAnsi="Helvetica;Arial;sans-serif"/>
          <w:b/>
          <w:smallCaps/>
          <w:sz w:val="17"/>
        </w:rPr>
        <w:t>Item 8. Financial Statements and Supplementary Data</w:t>
      </w:r>
      <w:r>
        <w:rPr>
          <w:rFonts w:ascii="Helvetica;Arial;sans-serif" w:hAnsi="Helvetica;Arial;sans-serif"/>
          <w:sz w:val="17"/>
        </w:rPr>
        <w:t xml:space="preserve"> </w:t>
      </w:r>
    </w:p>
    <w:p>
      <w:pPr>
        <w:pStyle w:val="TextBody"/>
        <w:spacing w:before="360" w:after="283"/>
        <w:jc w:val="center"/>
        <w:rPr>
          <w:rFonts w:ascii="Helvetica;Arial;sans-serif" w:hAnsi="Helvetica;Arial;sans-serif"/>
          <w:sz w:val="17"/>
        </w:rPr>
      </w:pPr>
      <w:r>
        <w:rPr>
          <w:rFonts w:ascii="Helvetica;Arial;sans-serif" w:hAnsi="Helvetica;Arial;sans-serif"/>
          <w:b/>
          <w:sz w:val="17"/>
        </w:rPr>
        <w:t>Index to Financial Statements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9191"/>
        <w:gridCol w:w="310"/>
        <w:gridCol w:w="159"/>
        <w:gridCol w:w="406"/>
        <w:gridCol w:w="139"/>
      </w:tblGrid>
      <w:tr>
        <w:trPr/>
        <w:tc>
          <w:tcPr>
            <w:tcW w:w="9191"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9191"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565" w:type="dxa"/>
            <w:gridSpan w:val="2"/>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139" w:type="dxa"/>
            <w:tcBorders/>
            <w:shd w:fill="auto" w:val="clear"/>
            <w:vAlign w:val="bottom"/>
          </w:tcPr>
          <w:p>
            <w:pPr>
              <w:pStyle w:val="TableContents"/>
              <w:spacing w:before="0" w:after="283"/>
              <w:rPr/>
            </w:pPr>
            <w:r>
              <w:rPr/>
              <w:t> </w:t>
            </w:r>
          </w:p>
        </w:tc>
      </w:tr>
      <w:tr>
        <w:trPr/>
        <w:tc>
          <w:tcPr>
            <w:tcW w:w="9191" w:type="dxa"/>
            <w:tcBorders/>
            <w:shd w:fill="auto" w:val="clear"/>
            <w:vAlign w:val="bottom"/>
          </w:tcPr>
          <w:p>
            <w:pPr>
              <w:pStyle w:val="TableContents"/>
              <w:spacing w:before="0" w:after="0"/>
              <w:ind w:left="225" w:right="0" w:hanging="225"/>
              <w:rPr/>
            </w:pPr>
            <w:hyperlink w:anchor="300">
              <w:r>
                <w:rPr>
                  <w:rStyle w:val="InternetLink"/>
                </w:rPr>
                <w:t>Report of Independent Registered Public Accounting Firm</w:t>
              </w:r>
            </w:hyperlink>
          </w:p>
        </w:tc>
        <w:tc>
          <w:tcPr>
            <w:tcW w:w="31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46</w:t>
            </w:r>
          </w:p>
        </w:tc>
        <w:tc>
          <w:tcPr>
            <w:tcW w:w="139" w:type="dxa"/>
            <w:tcBorders/>
            <w:shd w:fill="auto" w:val="clear"/>
            <w:vAlign w:val="bottom"/>
          </w:tcPr>
          <w:p>
            <w:pPr>
              <w:pStyle w:val="TableContents"/>
              <w:spacing w:before="0" w:after="283"/>
              <w:rPr/>
            </w:pPr>
            <w:r>
              <w:rPr/>
              <w:t> </w:t>
            </w:r>
          </w:p>
        </w:tc>
      </w:tr>
      <w:tr>
        <w:trPr/>
        <w:tc>
          <w:tcPr>
            <w:tcW w:w="9191" w:type="dxa"/>
            <w:tcBorders/>
            <w:shd w:fill="auto" w:val="clear"/>
            <w:vAlign w:val="center"/>
          </w:tcPr>
          <w:p>
            <w:pPr>
              <w:pStyle w:val="TableContents"/>
              <w:spacing w:before="0" w:after="283"/>
              <w:rPr/>
            </w:pPr>
            <w:r>
              <w:rPr/>
              <w:t> </w:t>
            </w:r>
          </w:p>
        </w:tc>
        <w:tc>
          <w:tcPr>
            <w:tcW w:w="1014" w:type="dxa"/>
            <w:gridSpan w:val="4"/>
            <w:tcBorders/>
            <w:shd w:fill="auto" w:val="clear"/>
          </w:tcPr>
          <w:p>
            <w:pPr>
              <w:pStyle w:val="TableContents"/>
              <w:spacing w:before="0" w:after="283"/>
              <w:rPr>
                <w:sz w:val="4"/>
                <w:szCs w:val="4"/>
              </w:rPr>
            </w:pPr>
            <w:r>
              <w:rPr>
                <w:sz w:val="4"/>
                <w:szCs w:val="4"/>
              </w:rPr>
            </w:r>
          </w:p>
        </w:tc>
      </w:tr>
      <w:tr>
        <w:trPr/>
        <w:tc>
          <w:tcPr>
            <w:tcW w:w="9191" w:type="dxa"/>
            <w:tcBorders/>
            <w:shd w:fill="auto" w:val="clear"/>
            <w:vAlign w:val="bottom"/>
          </w:tcPr>
          <w:p>
            <w:pPr>
              <w:pStyle w:val="TableContents"/>
              <w:spacing w:before="0" w:after="0"/>
              <w:ind w:left="225" w:right="0" w:hanging="225"/>
              <w:rPr/>
            </w:pPr>
            <w:r>
              <w:rPr/>
              <w:t>Consolidated Financial Statements:</w:t>
            </w:r>
          </w:p>
        </w:tc>
        <w:tc>
          <w:tcPr>
            <w:tcW w:w="31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9191" w:type="dxa"/>
            <w:tcBorders/>
            <w:shd w:fill="auto" w:val="clear"/>
            <w:vAlign w:val="center"/>
          </w:tcPr>
          <w:p>
            <w:pPr>
              <w:pStyle w:val="TableContents"/>
              <w:spacing w:before="0" w:after="283"/>
              <w:rPr/>
            </w:pPr>
            <w:r>
              <w:rPr/>
              <w:t> </w:t>
            </w:r>
          </w:p>
        </w:tc>
        <w:tc>
          <w:tcPr>
            <w:tcW w:w="1014" w:type="dxa"/>
            <w:gridSpan w:val="4"/>
            <w:tcBorders/>
            <w:shd w:fill="auto" w:val="clear"/>
          </w:tcPr>
          <w:p>
            <w:pPr>
              <w:pStyle w:val="TableContents"/>
              <w:spacing w:before="0" w:after="283"/>
              <w:rPr>
                <w:sz w:val="4"/>
                <w:szCs w:val="4"/>
              </w:rPr>
            </w:pPr>
            <w:r>
              <w:rPr>
                <w:sz w:val="4"/>
                <w:szCs w:val="4"/>
              </w:rPr>
            </w:r>
          </w:p>
        </w:tc>
      </w:tr>
      <w:tr>
        <w:trPr/>
        <w:tc>
          <w:tcPr>
            <w:tcW w:w="9191" w:type="dxa"/>
            <w:tcBorders/>
            <w:shd w:fill="auto" w:val="clear"/>
            <w:vAlign w:val="bottom"/>
          </w:tcPr>
          <w:p>
            <w:pPr>
              <w:pStyle w:val="TableContents"/>
              <w:spacing w:before="0" w:after="0"/>
              <w:ind w:left="450" w:right="0" w:hanging="225"/>
              <w:rPr/>
            </w:pPr>
            <w:hyperlink w:anchor="301">
              <w:r>
                <w:rPr>
                  <w:rStyle w:val="InternetLink"/>
                </w:rPr>
                <w:t>Consolidated Balance Sheets as of September 30, 2006 and 2007</w:t>
              </w:r>
            </w:hyperlink>
          </w:p>
        </w:tc>
        <w:tc>
          <w:tcPr>
            <w:tcW w:w="31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47</w:t>
            </w:r>
          </w:p>
        </w:tc>
        <w:tc>
          <w:tcPr>
            <w:tcW w:w="139" w:type="dxa"/>
            <w:tcBorders/>
            <w:shd w:fill="auto" w:val="clear"/>
            <w:vAlign w:val="bottom"/>
          </w:tcPr>
          <w:p>
            <w:pPr>
              <w:pStyle w:val="TableContents"/>
              <w:spacing w:before="0" w:after="283"/>
              <w:rPr/>
            </w:pPr>
            <w:r>
              <w:rPr/>
              <w:t> </w:t>
            </w:r>
          </w:p>
        </w:tc>
      </w:tr>
      <w:tr>
        <w:trPr/>
        <w:tc>
          <w:tcPr>
            <w:tcW w:w="9191" w:type="dxa"/>
            <w:tcBorders/>
            <w:shd w:fill="auto" w:val="clear"/>
            <w:vAlign w:val="center"/>
          </w:tcPr>
          <w:p>
            <w:pPr>
              <w:pStyle w:val="TableContents"/>
              <w:spacing w:before="0" w:after="283"/>
              <w:rPr/>
            </w:pPr>
            <w:r>
              <w:rPr/>
              <w:t> </w:t>
            </w:r>
          </w:p>
        </w:tc>
        <w:tc>
          <w:tcPr>
            <w:tcW w:w="1014" w:type="dxa"/>
            <w:gridSpan w:val="4"/>
            <w:tcBorders/>
            <w:shd w:fill="auto" w:val="clear"/>
          </w:tcPr>
          <w:p>
            <w:pPr>
              <w:pStyle w:val="TableContents"/>
              <w:spacing w:before="0" w:after="283"/>
              <w:rPr>
                <w:sz w:val="4"/>
                <w:szCs w:val="4"/>
              </w:rPr>
            </w:pPr>
            <w:r>
              <w:rPr>
                <w:sz w:val="4"/>
                <w:szCs w:val="4"/>
              </w:rPr>
            </w:r>
          </w:p>
        </w:tc>
      </w:tr>
      <w:tr>
        <w:trPr/>
        <w:tc>
          <w:tcPr>
            <w:tcW w:w="9191" w:type="dxa"/>
            <w:tcBorders/>
            <w:shd w:fill="auto" w:val="clear"/>
            <w:vAlign w:val="bottom"/>
          </w:tcPr>
          <w:p>
            <w:pPr>
              <w:pStyle w:val="TableContents"/>
              <w:spacing w:before="0" w:after="0"/>
              <w:ind w:left="450" w:right="0" w:hanging="225"/>
              <w:rPr/>
            </w:pPr>
            <w:hyperlink w:anchor="302">
              <w:r>
                <w:rPr>
                  <w:rStyle w:val="InternetLink"/>
                </w:rPr>
                <w:t>Consolidated Statements of Operations for each of the Three Fiscal Years Ended September 30, 2007</w:t>
              </w:r>
            </w:hyperlink>
          </w:p>
        </w:tc>
        <w:tc>
          <w:tcPr>
            <w:tcW w:w="31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48</w:t>
            </w:r>
          </w:p>
        </w:tc>
        <w:tc>
          <w:tcPr>
            <w:tcW w:w="139" w:type="dxa"/>
            <w:tcBorders/>
            <w:shd w:fill="auto" w:val="clear"/>
            <w:vAlign w:val="bottom"/>
          </w:tcPr>
          <w:p>
            <w:pPr>
              <w:pStyle w:val="TableContents"/>
              <w:spacing w:before="0" w:after="283"/>
              <w:rPr/>
            </w:pPr>
            <w:r>
              <w:rPr/>
              <w:t> </w:t>
            </w:r>
          </w:p>
        </w:tc>
      </w:tr>
      <w:tr>
        <w:trPr/>
        <w:tc>
          <w:tcPr>
            <w:tcW w:w="9191" w:type="dxa"/>
            <w:tcBorders/>
            <w:shd w:fill="auto" w:val="clear"/>
            <w:vAlign w:val="center"/>
          </w:tcPr>
          <w:p>
            <w:pPr>
              <w:pStyle w:val="TableContents"/>
              <w:spacing w:before="0" w:after="283"/>
              <w:rPr/>
            </w:pPr>
            <w:r>
              <w:rPr/>
              <w:t> </w:t>
            </w:r>
          </w:p>
        </w:tc>
        <w:tc>
          <w:tcPr>
            <w:tcW w:w="1014" w:type="dxa"/>
            <w:gridSpan w:val="4"/>
            <w:tcBorders/>
            <w:shd w:fill="auto" w:val="clear"/>
          </w:tcPr>
          <w:p>
            <w:pPr>
              <w:pStyle w:val="TableContents"/>
              <w:spacing w:before="0" w:after="283"/>
              <w:rPr>
                <w:sz w:val="4"/>
                <w:szCs w:val="4"/>
              </w:rPr>
            </w:pPr>
            <w:r>
              <w:rPr>
                <w:sz w:val="4"/>
                <w:szCs w:val="4"/>
              </w:rPr>
            </w:r>
          </w:p>
        </w:tc>
      </w:tr>
      <w:tr>
        <w:trPr/>
        <w:tc>
          <w:tcPr>
            <w:tcW w:w="9191" w:type="dxa"/>
            <w:tcBorders/>
            <w:shd w:fill="auto" w:val="clear"/>
            <w:vAlign w:val="bottom"/>
          </w:tcPr>
          <w:p>
            <w:pPr>
              <w:pStyle w:val="TableContents"/>
              <w:spacing w:before="0" w:after="0"/>
              <w:ind w:left="450" w:right="0" w:hanging="225"/>
              <w:rPr/>
            </w:pPr>
            <w:hyperlink w:anchor="303">
              <w:r>
                <w:rPr>
                  <w:rStyle w:val="InternetLink"/>
                </w:rPr>
                <w:t>Consolidated Statements of Cash Flows for each of the Three Fiscal Years Ended September 30, 2007</w:t>
              </w:r>
            </w:hyperlink>
          </w:p>
        </w:tc>
        <w:tc>
          <w:tcPr>
            <w:tcW w:w="31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49</w:t>
            </w:r>
          </w:p>
        </w:tc>
        <w:tc>
          <w:tcPr>
            <w:tcW w:w="139" w:type="dxa"/>
            <w:tcBorders/>
            <w:shd w:fill="auto" w:val="clear"/>
            <w:vAlign w:val="bottom"/>
          </w:tcPr>
          <w:p>
            <w:pPr>
              <w:pStyle w:val="TableContents"/>
              <w:spacing w:before="0" w:after="283"/>
              <w:rPr/>
            </w:pPr>
            <w:r>
              <w:rPr/>
              <w:t> </w:t>
            </w:r>
          </w:p>
        </w:tc>
      </w:tr>
      <w:tr>
        <w:trPr/>
        <w:tc>
          <w:tcPr>
            <w:tcW w:w="9191" w:type="dxa"/>
            <w:tcBorders/>
            <w:shd w:fill="auto" w:val="clear"/>
            <w:vAlign w:val="center"/>
          </w:tcPr>
          <w:p>
            <w:pPr>
              <w:pStyle w:val="TableContents"/>
              <w:spacing w:before="0" w:after="283"/>
              <w:rPr/>
            </w:pPr>
            <w:r>
              <w:rPr/>
              <w:t> </w:t>
            </w:r>
          </w:p>
        </w:tc>
        <w:tc>
          <w:tcPr>
            <w:tcW w:w="1014" w:type="dxa"/>
            <w:gridSpan w:val="4"/>
            <w:tcBorders/>
            <w:shd w:fill="auto" w:val="clear"/>
          </w:tcPr>
          <w:p>
            <w:pPr>
              <w:pStyle w:val="TableContents"/>
              <w:spacing w:before="0" w:after="283"/>
              <w:rPr>
                <w:sz w:val="4"/>
                <w:szCs w:val="4"/>
              </w:rPr>
            </w:pPr>
            <w:r>
              <w:rPr>
                <w:sz w:val="4"/>
                <w:szCs w:val="4"/>
              </w:rPr>
            </w:r>
          </w:p>
        </w:tc>
      </w:tr>
      <w:tr>
        <w:trPr/>
        <w:tc>
          <w:tcPr>
            <w:tcW w:w="9191" w:type="dxa"/>
            <w:tcBorders/>
            <w:shd w:fill="auto" w:val="clear"/>
            <w:vAlign w:val="bottom"/>
          </w:tcPr>
          <w:p>
            <w:pPr>
              <w:pStyle w:val="TableContents"/>
              <w:spacing w:before="0" w:after="0"/>
              <w:ind w:left="450" w:right="0" w:hanging="225"/>
              <w:rPr/>
            </w:pPr>
            <w:hyperlink w:anchor="304">
              <w:r>
                <w:rPr>
                  <w:rStyle w:val="InternetLink"/>
                </w:rPr>
                <w:t>Consolidated Statements of Stockholders Equity for each of the Three Fiscal Years Ended September 30, 2007</w:t>
              </w:r>
            </w:hyperlink>
          </w:p>
        </w:tc>
        <w:tc>
          <w:tcPr>
            <w:tcW w:w="31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50</w:t>
            </w:r>
          </w:p>
        </w:tc>
        <w:tc>
          <w:tcPr>
            <w:tcW w:w="139" w:type="dxa"/>
            <w:tcBorders/>
            <w:shd w:fill="auto" w:val="clear"/>
            <w:vAlign w:val="bottom"/>
          </w:tcPr>
          <w:p>
            <w:pPr>
              <w:pStyle w:val="TableContents"/>
              <w:spacing w:before="0" w:after="283"/>
              <w:rPr/>
            </w:pPr>
            <w:r>
              <w:rPr/>
              <w:t> </w:t>
            </w:r>
          </w:p>
        </w:tc>
      </w:tr>
      <w:tr>
        <w:trPr/>
        <w:tc>
          <w:tcPr>
            <w:tcW w:w="9191" w:type="dxa"/>
            <w:tcBorders/>
            <w:shd w:fill="auto" w:val="clear"/>
            <w:vAlign w:val="center"/>
          </w:tcPr>
          <w:p>
            <w:pPr>
              <w:pStyle w:val="TableContents"/>
              <w:spacing w:before="0" w:after="283"/>
              <w:rPr/>
            </w:pPr>
            <w:r>
              <w:rPr/>
              <w:t> </w:t>
            </w:r>
          </w:p>
        </w:tc>
        <w:tc>
          <w:tcPr>
            <w:tcW w:w="1014" w:type="dxa"/>
            <w:gridSpan w:val="4"/>
            <w:tcBorders/>
            <w:shd w:fill="auto" w:val="clear"/>
          </w:tcPr>
          <w:p>
            <w:pPr>
              <w:pStyle w:val="TableContents"/>
              <w:spacing w:before="0" w:after="283"/>
              <w:rPr>
                <w:sz w:val="4"/>
                <w:szCs w:val="4"/>
              </w:rPr>
            </w:pPr>
            <w:r>
              <w:rPr>
                <w:sz w:val="4"/>
                <w:szCs w:val="4"/>
              </w:rPr>
            </w:r>
          </w:p>
        </w:tc>
      </w:tr>
      <w:tr>
        <w:trPr/>
        <w:tc>
          <w:tcPr>
            <w:tcW w:w="9191" w:type="dxa"/>
            <w:tcBorders/>
            <w:shd w:fill="auto" w:val="clear"/>
            <w:vAlign w:val="bottom"/>
          </w:tcPr>
          <w:p>
            <w:pPr>
              <w:pStyle w:val="TableContents"/>
              <w:spacing w:before="0" w:after="0"/>
              <w:ind w:left="450" w:right="0" w:hanging="225"/>
              <w:rPr/>
            </w:pPr>
            <w:hyperlink w:anchor="305">
              <w:r>
                <w:rPr>
                  <w:rStyle w:val="InternetLink"/>
                </w:rPr>
                <w:t>Notes to Consolidated Financial Statements</w:t>
              </w:r>
            </w:hyperlink>
          </w:p>
        </w:tc>
        <w:tc>
          <w:tcPr>
            <w:tcW w:w="31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51</w:t>
            </w:r>
          </w:p>
        </w:tc>
        <w:tc>
          <w:tcPr>
            <w:tcW w:w="139" w:type="dxa"/>
            <w:tcBorders/>
            <w:shd w:fill="auto" w:val="clear"/>
            <w:vAlign w:val="bottom"/>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45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16" w:name="300"/>
      <w:bookmarkEnd w:id="16"/>
      <w:r>
        <w:rPr>
          <w:rFonts w:ascii="Helvetica;Arial;sans-serif" w:hAnsi="Helvetica;Arial;sans-serif"/>
          <w:b/>
          <w:sz w:val="17"/>
        </w:rPr>
        <w:t>Report of Independent Registered Public Accounting Firm</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Board of Directors and Stockholders</w:t>
        <w:br/>
        <w:t>EZCORP, Inc.</w:t>
        <w:br/>
        <w:t xml:space="preserve">Austin, Texas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audited the accompanying consolidated balance sheets of EZCORP, Inc. and subsidiaries as of September 30, 2006 and 2007 and the related consolidated statements of operations, stockholders equity, and cash flows for each of the three years in the period ended September 30, 2007. Our audits also include the financial statement schedule listed in the index at Item 15(a)(2). These financial statements and schedule are the responsibility of the Companys management. Our responsibility is to express an opinion on these financial statements and schedule based on our audits.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conducted our audits in accordance with the standards of the Public Company Accounting Oversight Board (United States). Those standards require that we plan and perform the audit to obtain reasonable assurance about whether the financial statements and schedule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our opinion, the consolidated financial statements referred to above present fairly, in all material respects, the financial position of EZCORP, Inc. and subsidiaries at September 30, 2006 and 2007, and the results of its operations and its cash flows for each of the three years in the period ended September 30, 2007,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more fully described in Note I to the consolidated financial statements, effective October 1, 2005, the Company adopted the provisions of SFAS No. 123(R), Share-Based Payment.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also have audited, in accordance with the standards of the Public Company Accounting Oversight Board (United States), the effectiveness of EZCORP, Inc.s internal control over financial reporting as of September 30, 2007, based on criteria established in Internal Control  Integrated Framework issued by the Committee of Sponsoring Organizations of the Treadway Commission (COSO) and our report dated December 10, 2007 expressed an unqualified opinion thereon.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/s/ BDO Seidman, LLP </w:t>
      </w:r>
    </w:p>
    <w:p>
      <w:pPr>
        <w:pStyle w:val="TextBody"/>
        <w:spacing w:before="120" w:after="283"/>
        <w:jc w:val="left"/>
        <w:rPr>
          <w:rFonts w:ascii="Helvetica;Arial;sans-serif" w:hAnsi="Helvetica;Arial;sans-serif"/>
          <w:sz w:val="17"/>
        </w:rPr>
      </w:pPr>
      <w:r>
        <w:rPr>
          <w:rFonts w:ascii="Helvetica;Arial;sans-serif" w:hAnsi="Helvetica;Arial;sans-serif"/>
          <w:sz w:val="17"/>
        </w:rPr>
        <w:t>Dallas, Texas</w:t>
        <w:br/>
        <w:t xml:space="preserve">December 10, 2007 </w:t>
      </w:r>
    </w:p>
    <w:p>
      <w:pPr>
        <w:pStyle w:val="TextBody"/>
        <w:jc w:val="center"/>
        <w:rPr>
          <w:rFonts w:ascii="Helvetica;Arial;sans-serif" w:hAnsi="Helvetica;Arial;sans-serif"/>
          <w:sz w:val="17"/>
        </w:rPr>
      </w:pPr>
      <w:r>
        <w:rPr>
          <w:rFonts w:ascii="Helvetica;Arial;sans-serif" w:hAnsi="Helvetica;Arial;sans-serif"/>
          <w:sz w:val="17"/>
        </w:rPr>
        <w:t xml:space="preserve">46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r>
        <w:rPr>
          <w:rFonts w:ascii="Helvetica;Arial;sans-serif" w:hAnsi="Helvetica;Arial;sans-serif"/>
          <w:b/>
          <w:smallCaps/>
          <w:sz w:val="17"/>
        </w:rPr>
        <w:t>EZCORP, Inc.</w:t>
      </w:r>
      <w:r>
        <w:rPr>
          <w:rFonts w:ascii="Helvetica;Arial;sans-serif" w:hAnsi="Helvetica;Arial;sans-serif"/>
          <w:sz w:val="17"/>
        </w:rPr>
        <w:t xml:space="preserve"> </w:t>
      </w:r>
    </w:p>
    <w:p>
      <w:pPr>
        <w:pStyle w:val="TextBody"/>
        <w:spacing w:before="0" w:after="0"/>
        <w:jc w:val="center"/>
        <w:rPr>
          <w:rFonts w:ascii="Helvetica;Arial;sans-serif" w:hAnsi="Helvetica;Arial;sans-serif"/>
          <w:b/>
          <w:smallCaps/>
          <w:sz w:val="17"/>
        </w:rPr>
      </w:pPr>
      <w:bookmarkStart w:id="17" w:name="301"/>
      <w:bookmarkEnd w:id="17"/>
      <w:r>
        <w:rPr>
          <w:rFonts w:ascii="Helvetica;Arial;sans-serif" w:hAnsi="Helvetica;Arial;sans-serif"/>
          <w:b/>
          <w:smallCaps/>
          <w:sz w:val="17"/>
        </w:rPr>
        <w:t>Consolidated Balance Sheets</w:t>
      </w:r>
    </w:p>
    <w:tbl>
      <w:tblPr>
        <w:tblW w:w="5000" w:type="pct"/>
        <w:jc w:val="center"/>
        <w:tblInd w:w="0" w:type="dxa"/>
        <w:tblCellMar>
          <w:top w:w="0" w:type="dxa"/>
          <w:left w:w="0" w:type="dxa"/>
          <w:bottom w:w="0" w:type="dxa"/>
          <w:right w:w="0" w:type="dxa"/>
        </w:tblCellMar>
      </w:tblPr>
      <w:tblGrid>
        <w:gridCol w:w="7112"/>
        <w:gridCol w:w="457"/>
        <w:gridCol w:w="151"/>
        <w:gridCol w:w="805"/>
        <w:gridCol w:w="130"/>
        <w:gridCol w:w="457"/>
        <w:gridCol w:w="151"/>
        <w:gridCol w:w="805"/>
        <w:gridCol w:w="137"/>
      </w:tblGrid>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2499"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2499" w:type="dxa"/>
            <w:gridSpan w:val="6"/>
            <w:tcBorders/>
            <w:shd w:fill="auto" w:val="clear"/>
            <w:vAlign w:val="bottom"/>
          </w:tcPr>
          <w:p>
            <w:pPr>
              <w:pStyle w:val="TableContents"/>
              <w:spacing w:before="0" w:after="283"/>
              <w:jc w:val="center"/>
              <w:rPr>
                <w:i/>
              </w:rPr>
            </w:pPr>
            <w:r>
              <w:rPr>
                <w:i/>
              </w:rPr>
              <w:t>(In thousands)</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450" w:right="0" w:hanging="225"/>
              <w:rPr/>
            </w:pPr>
            <w:r>
              <w:rPr/>
              <w:t>Assets: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Current assets: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Cash and cash equivalents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29,939</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22,533</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900" w:right="0" w:hanging="225"/>
              <w:rPr/>
            </w:pPr>
            <w:r>
              <w:rPr/>
              <w:t>Pawn loans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50,304</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60,742</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Payday loans,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2,443</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4,814</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900" w:right="0" w:hanging="225"/>
              <w:rPr/>
            </w:pPr>
            <w:r>
              <w:rPr/>
              <w:t>Pawn service charges receivable,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8,234</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10,113</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Signature loan fees receivable,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4,380</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5,992</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900" w:right="0" w:hanging="225"/>
              <w:rPr/>
            </w:pPr>
            <w:r>
              <w:rPr/>
              <w:t>Inventory,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35,616</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37,942</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Deferred tax asset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7,150</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8,964</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900" w:right="0" w:hanging="225"/>
              <w:rPr/>
            </w:pPr>
            <w:r>
              <w:rPr/>
              <w:t>Federal income taxes receivable</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35</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Prepaid expenses and other assets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3,907</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6,146</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1350" w:right="0" w:hanging="225"/>
              <w:rPr/>
            </w:pPr>
            <w:r>
              <w:rPr/>
              <w:t>Total current assets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142,008</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157,246</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tcPr>
          <w:p>
            <w:pPr>
              <w:pStyle w:val="TableContents"/>
              <w:spacing w:before="0" w:after="0"/>
              <w:ind w:left="225" w:right="0" w:hanging="225"/>
              <w:rPr/>
            </w:pPr>
            <w:r>
              <w:rPr/>
              <w:t> </w:t>
            </w:r>
          </w:p>
        </w:tc>
        <w:tc>
          <w:tcPr>
            <w:tcW w:w="457" w:type="dxa"/>
            <w:tcBorders/>
            <w:shd w:fill="auto" w:val="clear"/>
          </w:tcPr>
          <w:p>
            <w:pPr>
              <w:pStyle w:val="TableContents"/>
              <w:spacing w:before="0" w:after="283"/>
              <w:rPr/>
            </w:pPr>
            <w:r>
              <w:rPr/>
              <w:t> </w:t>
            </w:r>
          </w:p>
        </w:tc>
        <w:tc>
          <w:tcPr>
            <w:tcW w:w="151" w:type="dxa"/>
            <w:tcBorders/>
            <w:shd w:fill="auto" w:val="clear"/>
          </w:tcPr>
          <w:p>
            <w:pPr>
              <w:pStyle w:val="TableContents"/>
              <w:spacing w:before="0" w:after="283"/>
              <w:rPr/>
            </w:pPr>
            <w:r>
              <w:rPr/>
              <w:t> </w:t>
            </w:r>
          </w:p>
        </w:tc>
        <w:tc>
          <w:tcPr>
            <w:tcW w:w="805" w:type="dxa"/>
            <w:tcBorders/>
            <w:shd w:fill="auto" w:val="clear"/>
          </w:tcPr>
          <w:p>
            <w:pPr>
              <w:pStyle w:val="TableContents"/>
              <w:spacing w:before="0" w:after="283"/>
              <w:rPr/>
            </w:pPr>
            <w:r>
              <w:rPr/>
              <w:t> </w:t>
            </w:r>
          </w:p>
        </w:tc>
        <w:tc>
          <w:tcPr>
            <w:tcW w:w="13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rPr/>
            </w:pPr>
            <w:r>
              <w:rPr/>
              <w:t> </w:t>
            </w:r>
          </w:p>
        </w:tc>
        <w:tc>
          <w:tcPr>
            <w:tcW w:w="151" w:type="dxa"/>
            <w:tcBorders/>
            <w:shd w:fill="auto" w:val="clear"/>
          </w:tcPr>
          <w:p>
            <w:pPr>
              <w:pStyle w:val="TableContents"/>
              <w:spacing w:before="0" w:after="283"/>
              <w:rPr/>
            </w:pPr>
            <w:r>
              <w:rPr/>
              <w:t> </w:t>
            </w:r>
          </w:p>
        </w:tc>
        <w:tc>
          <w:tcPr>
            <w:tcW w:w="805" w:type="dxa"/>
            <w:tcBorders/>
            <w:shd w:fill="auto" w:val="clear"/>
          </w:tcPr>
          <w:p>
            <w:pPr>
              <w:pStyle w:val="TableContents"/>
              <w:spacing w:before="0" w:after="283"/>
              <w:rPr/>
            </w:pPr>
            <w:r>
              <w:rPr/>
              <w:t> </w:t>
            </w:r>
          </w:p>
        </w:tc>
        <w:tc>
          <w:tcPr>
            <w:tcW w:w="137" w:type="dxa"/>
            <w:tcBorders/>
            <w:shd w:fill="auto" w:val="clea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Investment in unconsolidated affiliate</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19,275</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35,746</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Property and equipment, net</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29,447</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33,806</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Deferred tax asset, non-current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3,749</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4,765</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Goodwill</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768</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16,211</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Other assets, net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2,611</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3,412</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Total assets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197,858</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251,186</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tcPr>
          <w:p>
            <w:pPr>
              <w:pStyle w:val="TableContents"/>
              <w:spacing w:before="0" w:after="0"/>
              <w:ind w:left="225" w:right="0" w:hanging="225"/>
              <w:rPr/>
            </w:pPr>
            <w:r>
              <w:rPr/>
              <w:t> </w:t>
            </w:r>
          </w:p>
        </w:tc>
        <w:tc>
          <w:tcPr>
            <w:tcW w:w="457" w:type="dxa"/>
            <w:tcBorders/>
            <w:shd w:fill="auto" w:val="clear"/>
          </w:tcPr>
          <w:p>
            <w:pPr>
              <w:pStyle w:val="TableContents"/>
              <w:spacing w:before="0" w:after="283"/>
              <w:rPr/>
            </w:pPr>
            <w:r>
              <w:rPr/>
              <w:t> </w:t>
            </w:r>
          </w:p>
        </w:tc>
        <w:tc>
          <w:tcPr>
            <w:tcW w:w="151" w:type="dxa"/>
            <w:tcBorders/>
            <w:shd w:fill="auto" w:val="clear"/>
          </w:tcPr>
          <w:p>
            <w:pPr>
              <w:pStyle w:val="TableContents"/>
              <w:spacing w:before="0" w:after="283"/>
              <w:rPr/>
            </w:pPr>
            <w:r>
              <w:rPr/>
              <w:t> </w:t>
            </w:r>
          </w:p>
        </w:tc>
        <w:tc>
          <w:tcPr>
            <w:tcW w:w="805" w:type="dxa"/>
            <w:tcBorders/>
            <w:shd w:fill="auto" w:val="clear"/>
          </w:tcPr>
          <w:p>
            <w:pPr>
              <w:pStyle w:val="TableContents"/>
              <w:spacing w:before="0" w:after="283"/>
              <w:rPr/>
            </w:pPr>
            <w:r>
              <w:rPr/>
              <w:t> </w:t>
            </w:r>
          </w:p>
        </w:tc>
        <w:tc>
          <w:tcPr>
            <w:tcW w:w="130"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rPr/>
            </w:pPr>
            <w:r>
              <w:rPr/>
              <w:t> </w:t>
            </w:r>
          </w:p>
        </w:tc>
        <w:tc>
          <w:tcPr>
            <w:tcW w:w="151" w:type="dxa"/>
            <w:tcBorders/>
            <w:shd w:fill="auto" w:val="clear"/>
          </w:tcPr>
          <w:p>
            <w:pPr>
              <w:pStyle w:val="TableContents"/>
              <w:spacing w:before="0" w:after="283"/>
              <w:rPr/>
            </w:pPr>
            <w:r>
              <w:rPr/>
              <w:t> </w:t>
            </w:r>
          </w:p>
        </w:tc>
        <w:tc>
          <w:tcPr>
            <w:tcW w:w="805" w:type="dxa"/>
            <w:tcBorders/>
            <w:shd w:fill="auto" w:val="clear"/>
          </w:tcPr>
          <w:p>
            <w:pPr>
              <w:pStyle w:val="TableContents"/>
              <w:spacing w:before="0" w:after="283"/>
              <w:rPr/>
            </w:pPr>
            <w:r>
              <w:rPr/>
              <w:t> </w:t>
            </w:r>
          </w:p>
        </w:tc>
        <w:tc>
          <w:tcPr>
            <w:tcW w:w="137" w:type="dxa"/>
            <w:tcBorders/>
            <w:shd w:fill="auto" w:val="clea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225" w:right="0" w:hanging="225"/>
              <w:rPr/>
            </w:pPr>
            <w:r>
              <w:rPr/>
              <w:t>Liabilities and stockholders equity: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Current liabilities: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Accounts payable and other accrued expenses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22,579</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5" w:type="dxa"/>
            <w:tcBorders/>
            <w:shd w:fill="CCEEFF" w:val="clear"/>
            <w:vAlign w:val="bottom"/>
          </w:tcPr>
          <w:p>
            <w:pPr>
              <w:pStyle w:val="TableContents"/>
              <w:spacing w:before="0" w:after="283"/>
              <w:jc w:val="right"/>
              <w:rPr/>
            </w:pPr>
            <w:r>
              <w:rPr/>
              <w:t>25,592</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900" w:right="0" w:hanging="225"/>
              <w:rPr/>
            </w:pPr>
            <w:r>
              <w:rPr/>
              <w:t>Customer layaway deposits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1,890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1,988</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Federal income taxes payable</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4,795</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1575" w:right="0" w:hanging="225"/>
              <w:rPr/>
            </w:pPr>
            <w:r>
              <w:rPr/>
              <w:t>Total current liabilities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24,469</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32,375</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Deferred gains and other long-term liabilities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3,249</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2,886</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1575" w:right="0" w:hanging="225"/>
              <w:rPr/>
            </w:pPr>
            <w:r>
              <w:rPr/>
              <w:t>Total long-term liabilities</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3,249</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2,886</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675" w:right="0" w:hanging="225"/>
              <w:rPr/>
            </w:pPr>
            <w:r>
              <w:rPr/>
              <w:t>Commitments and contingencies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Stockholders equity:</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Preferred Stock, par value $.01 per share; Authorized 5 million shares; none issued and outstanding</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900" w:right="0" w:hanging="225"/>
              <w:rPr/>
            </w:pPr>
            <w:r>
              <w:rPr/>
              <w:t>Class A Non-voting Common Stock, par value $.01 per share; Authorized 50 million shares; 37,542,240 issued and 37,515,141 outstanding in 2006; 38,363,176 issued and 38,336,077 outstanding in 2007</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375</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383</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Class B Voting Common Stock, convertible, par value $.01 per share; 3 million shares authorized; 2,970,171 issued and outstanding</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30</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30</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bottom"/>
          </w:tcPr>
          <w:p>
            <w:pPr>
              <w:pStyle w:val="TableContents"/>
              <w:spacing w:before="0" w:after="0"/>
              <w:ind w:left="900" w:right="0" w:hanging="225"/>
              <w:rPr/>
            </w:pPr>
            <w:r>
              <w:rPr/>
              <w:t>Additional paid-in capital</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124,572</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131,098</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Retained earnings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43,973</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81,847</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225" w:right="0" w:hanging="225"/>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168,950</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213,358</w:t>
            </w:r>
          </w:p>
        </w:tc>
        <w:tc>
          <w:tcPr>
            <w:tcW w:w="137" w:type="dxa"/>
            <w:tcBorders/>
            <w:shd w:fill="auto" w:val="clear"/>
            <w:vAlign w:val="bottom"/>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900" w:right="0" w:hanging="225"/>
              <w:rPr/>
            </w:pPr>
            <w:r>
              <w:rPr/>
              <w:t>Treasury stock, at cost (27,099 shares)</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05" w:type="dxa"/>
            <w:tcBorders/>
            <w:shd w:fill="CCEEFF" w:val="clear"/>
            <w:vAlign w:val="bottom"/>
          </w:tcPr>
          <w:p>
            <w:pPr>
              <w:pStyle w:val="TableContents"/>
              <w:spacing w:before="0" w:after="283"/>
              <w:jc w:val="right"/>
              <w:rPr/>
            </w:pPr>
            <w:r>
              <w:rPr/>
              <w:t>(35</w:t>
            </w:r>
          </w:p>
        </w:tc>
        <w:tc>
          <w:tcPr>
            <w:tcW w:w="130"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05" w:type="dxa"/>
            <w:tcBorders/>
            <w:shd w:fill="CCEEFF" w:val="clear"/>
            <w:vAlign w:val="bottom"/>
          </w:tcPr>
          <w:p>
            <w:pPr>
              <w:pStyle w:val="TableContents"/>
              <w:spacing w:before="0" w:after="283"/>
              <w:jc w:val="right"/>
              <w:rPr/>
            </w:pPr>
            <w:r>
              <w:rPr/>
              <w:t>(35</w:t>
            </w:r>
          </w:p>
        </w:tc>
        <w:tc>
          <w:tcPr>
            <w:tcW w:w="137" w:type="dxa"/>
            <w:tcBorders/>
            <w:shd w:fill="CCEEFF" w:val="clear"/>
            <w:vAlign w:val="bottom"/>
          </w:tcPr>
          <w:p>
            <w:pPr>
              <w:pStyle w:val="TableContents"/>
              <w:spacing w:before="0" w:after="283"/>
              <w:rPr/>
            </w:pPr>
            <w:r>
              <w:rPr/>
              <w:t>)</w:t>
            </w:r>
          </w:p>
        </w:tc>
      </w:tr>
      <w:tr>
        <w:trPr/>
        <w:tc>
          <w:tcPr>
            <w:tcW w:w="7112" w:type="dxa"/>
            <w:tcBorders/>
            <w:shd w:fill="auto" w:val="clear"/>
            <w:vAlign w:val="bottom"/>
          </w:tcPr>
          <w:p>
            <w:pPr>
              <w:pStyle w:val="TableContents"/>
              <w:spacing w:before="0" w:after="0"/>
              <w:ind w:left="900" w:right="0" w:hanging="225"/>
              <w:rPr/>
            </w:pPr>
            <w:r>
              <w:rPr/>
              <w:t>Accumulated other comprehensive income</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1,225</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2,602</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CCEEFF" w:val="clear"/>
            <w:vAlign w:val="bottom"/>
          </w:tcPr>
          <w:p>
            <w:pPr>
              <w:pStyle w:val="TableContents"/>
              <w:spacing w:before="0" w:after="0"/>
              <w:ind w:left="1575" w:right="0" w:hanging="225"/>
              <w:rPr/>
            </w:pPr>
            <w:r>
              <w:rPr/>
              <w:t>Total stockholders equity</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170,140</w:t>
            </w:r>
          </w:p>
        </w:tc>
        <w:tc>
          <w:tcPr>
            <w:tcW w:w="130"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215,925</w:t>
            </w:r>
          </w:p>
        </w:tc>
        <w:tc>
          <w:tcPr>
            <w:tcW w:w="137" w:type="dxa"/>
            <w:tcBorders/>
            <w:shd w:fill="CCEEFF"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12" w:type="dxa"/>
            <w:tcBorders/>
            <w:shd w:fill="auto" w:val="clear"/>
            <w:vAlign w:val="bottom"/>
          </w:tcPr>
          <w:p>
            <w:pPr>
              <w:pStyle w:val="TableContents"/>
              <w:spacing w:before="0" w:after="0"/>
              <w:ind w:left="675" w:right="0" w:hanging="225"/>
              <w:rPr/>
            </w:pPr>
            <w:r>
              <w:rPr/>
              <w:t>Total liabilities and stockholders equity</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197,858</w:t>
            </w:r>
          </w:p>
        </w:tc>
        <w:tc>
          <w:tcPr>
            <w:tcW w:w="130"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5" w:type="dxa"/>
            <w:tcBorders/>
            <w:shd w:fill="auto" w:val="clear"/>
            <w:vAlign w:val="bottom"/>
          </w:tcPr>
          <w:p>
            <w:pPr>
              <w:pStyle w:val="TableContents"/>
              <w:spacing w:before="0" w:after="283"/>
              <w:jc w:val="right"/>
              <w:rPr/>
            </w:pPr>
            <w:r>
              <w:rPr/>
              <w:t>251,186</w:t>
            </w:r>
          </w:p>
        </w:tc>
        <w:tc>
          <w:tcPr>
            <w:tcW w:w="137" w:type="dxa"/>
            <w:tcBorders/>
            <w:shd w:fill="auto" w:val="clear"/>
            <w:vAlign w:val="bottom"/>
          </w:tcPr>
          <w:p>
            <w:pPr>
              <w:pStyle w:val="TableContents"/>
              <w:spacing w:before="0" w:after="283"/>
              <w:rPr/>
            </w:pPr>
            <w:r>
              <w:rPr/>
              <w:t> </w:t>
            </w:r>
          </w:p>
        </w:tc>
      </w:tr>
      <w:tr>
        <w:trPr/>
        <w:tc>
          <w:tcPr>
            <w:tcW w:w="7112" w:type="dxa"/>
            <w:tcBorders/>
            <w:shd w:fill="auto" w:val="clear"/>
            <w:vAlign w:val="center"/>
          </w:tcPr>
          <w:p>
            <w:pPr>
              <w:pStyle w:val="TableContents"/>
              <w:spacing w:before="0" w:after="0"/>
              <w:ind w:left="225" w:right="0" w:hanging="225"/>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i/>
          <w:sz w:val="17"/>
        </w:rPr>
        <w:t>See accompanying notes to consolidated financial statements.</w:t>
      </w:r>
      <w:r>
        <w:rPr>
          <w:rFonts w:ascii="Helvetica;Arial;sans-serif" w:hAnsi="Helvetica;Arial;sans-serif"/>
          <w:sz w:val="17"/>
        </w:rPr>
        <w:t xml:space="preserve"> </w:t>
      </w:r>
    </w:p>
    <w:p>
      <w:pPr>
        <w:pStyle w:val="TextBody"/>
        <w:jc w:val="center"/>
        <w:rPr>
          <w:rFonts w:ascii="Helvetica;Arial;sans-serif" w:hAnsi="Helvetica;Arial;sans-serif"/>
          <w:sz w:val="17"/>
        </w:rPr>
      </w:pPr>
      <w:r>
        <w:rPr>
          <w:rFonts w:ascii="Helvetica;Arial;sans-serif" w:hAnsi="Helvetica;Arial;sans-serif"/>
          <w:sz w:val="17"/>
        </w:rPr>
        <w:t xml:space="preserve">47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r>
        <w:rPr>
          <w:rFonts w:ascii="Helvetica;Arial;sans-serif" w:hAnsi="Helvetica;Arial;sans-serif"/>
          <w:b/>
          <w:smallCaps/>
          <w:sz w:val="17"/>
        </w:rPr>
        <w:t>EZCORP, Inc.</w:t>
      </w:r>
      <w:r>
        <w:rPr>
          <w:rFonts w:ascii="Helvetica;Arial;sans-serif" w:hAnsi="Helvetica;Arial;sans-serif"/>
          <w:sz w:val="17"/>
        </w:rPr>
        <w:t xml:space="preserve"> </w:t>
      </w:r>
    </w:p>
    <w:p>
      <w:pPr>
        <w:pStyle w:val="TextBody"/>
        <w:spacing w:before="0" w:after="0"/>
        <w:jc w:val="center"/>
        <w:rPr>
          <w:rFonts w:ascii="Helvetica;Arial;sans-serif" w:hAnsi="Helvetica;Arial;sans-serif"/>
          <w:b/>
          <w:sz w:val="17"/>
        </w:rPr>
      </w:pPr>
      <w:bookmarkStart w:id="18" w:name="302"/>
      <w:bookmarkEnd w:id="18"/>
      <w:r>
        <w:rPr>
          <w:rFonts w:ascii="Helvetica;Arial;sans-serif" w:hAnsi="Helvetica;Arial;sans-serif"/>
          <w:b/>
          <w:sz w:val="17"/>
        </w:rPr>
        <w:t>Consolidated Statements of Operations</w:t>
      </w:r>
    </w:p>
    <w:tbl>
      <w:tblPr>
        <w:tblW w:w="5000" w:type="pct"/>
        <w:jc w:val="center"/>
        <w:tblInd w:w="0" w:type="dxa"/>
        <w:tblCellMar>
          <w:top w:w="0" w:type="dxa"/>
          <w:left w:w="0" w:type="dxa"/>
          <w:bottom w:w="0" w:type="dxa"/>
          <w:right w:w="0" w:type="dxa"/>
        </w:tblCellMar>
      </w:tblPr>
      <w:tblGrid>
        <w:gridCol w:w="5057"/>
        <w:gridCol w:w="371"/>
        <w:gridCol w:w="185"/>
        <w:gridCol w:w="1010"/>
        <w:gridCol w:w="146"/>
        <w:gridCol w:w="381"/>
        <w:gridCol w:w="185"/>
        <w:gridCol w:w="1010"/>
        <w:gridCol w:w="146"/>
        <w:gridCol w:w="381"/>
        <w:gridCol w:w="185"/>
        <w:gridCol w:w="1012"/>
        <w:gridCol w:w="136"/>
      </w:tblGrid>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4641"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19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19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19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4641" w:type="dxa"/>
            <w:gridSpan w:val="10"/>
            <w:tcBorders>
              <w:bottom w:val="single" w:sz="2" w:space="0" w:color="000000"/>
            </w:tcBorders>
            <w:shd w:fill="auto" w:val="clear"/>
            <w:tcMar>
              <w:bottom w:w="28" w:type="dxa"/>
            </w:tcMar>
            <w:vAlign w:val="bottom"/>
          </w:tcPr>
          <w:p>
            <w:pPr>
              <w:pStyle w:val="TableContents"/>
              <w:spacing w:before="0" w:after="283"/>
              <w:jc w:val="center"/>
              <w:rPr>
                <w:i/>
              </w:rPr>
            </w:pPr>
            <w:r>
              <w:rPr>
                <w:i/>
              </w:rPr>
              <w:t>(In thousands, except per share amounts)</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Revenues: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Sales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0" w:type="dxa"/>
            <w:tcBorders/>
            <w:shd w:fill="auto" w:val="clear"/>
            <w:vAlign w:val="bottom"/>
          </w:tcPr>
          <w:p>
            <w:pPr>
              <w:pStyle w:val="TableContents"/>
              <w:spacing w:before="0" w:after="283"/>
              <w:jc w:val="right"/>
              <w:rPr/>
            </w:pPr>
            <w:r>
              <w:rPr/>
              <w:t>148,410</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0" w:type="dxa"/>
            <w:tcBorders/>
            <w:shd w:fill="auto" w:val="clear"/>
            <w:vAlign w:val="bottom"/>
          </w:tcPr>
          <w:p>
            <w:pPr>
              <w:pStyle w:val="TableContents"/>
              <w:spacing w:before="0" w:after="283"/>
              <w:jc w:val="right"/>
              <w:rPr/>
            </w:pPr>
            <w:r>
              <w:rPr/>
              <w:t>177,424</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2" w:type="dxa"/>
            <w:tcBorders/>
            <w:shd w:fill="auto" w:val="clear"/>
            <w:vAlign w:val="bottom"/>
          </w:tcPr>
          <w:p>
            <w:pPr>
              <w:pStyle w:val="TableContents"/>
              <w:spacing w:before="0" w:after="283"/>
              <w:jc w:val="right"/>
              <w:rPr/>
            </w:pPr>
            <w:r>
              <w:rPr/>
              <w:t>192,987</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Pawn service charges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62,274</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65,325</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73,551</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Signature loan fees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42,200</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71,840</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104,347</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Other</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1,275</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1,263</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1,330</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675" w:right="0" w:hanging="225"/>
              <w:rPr/>
            </w:pPr>
            <w:r>
              <w:rPr/>
              <w:t>Total revenues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254,159</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315,852</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372,215</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Cost of goods sold</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90,678</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106,873</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118,007</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675" w:right="0" w:hanging="225"/>
              <w:rPr/>
            </w:pPr>
            <w:r>
              <w:rPr/>
              <w:t>Net revenues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163,481</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208,979</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254,208</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Operating expenses: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Operations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97,079</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111,738</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128,602</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Signature loan bad debt</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13,000</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17,897</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28,508</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Administrative</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23,067</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27,749</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31,749</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Depreciation</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8,036</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8,543</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9,697</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Amortization</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68</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67</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115</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675" w:right="0" w:hanging="225"/>
              <w:rPr/>
            </w:pPr>
            <w:r>
              <w:rPr/>
              <w:t>Total operating expenses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141,250</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165,994</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198,671</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Operating income</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22,231</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42,985</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55,537</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Interest income</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(245</w:t>
            </w:r>
          </w:p>
        </w:tc>
        <w:tc>
          <w:tcPr>
            <w:tcW w:w="146"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(520</w:t>
            </w:r>
          </w:p>
        </w:tc>
        <w:tc>
          <w:tcPr>
            <w:tcW w:w="146"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(1,654</w:t>
            </w:r>
          </w:p>
        </w:tc>
        <w:tc>
          <w:tcPr>
            <w:tcW w:w="136" w:type="dxa"/>
            <w:tcBorders/>
            <w:shd w:fill="CCEEFF" w:val="clear"/>
            <w:vAlign w:val="bottom"/>
          </w:tcPr>
          <w:p>
            <w:pPr>
              <w:pStyle w:val="TableContents"/>
              <w:spacing w:before="0" w:after="283"/>
              <w:rPr/>
            </w:pPr>
            <w:r>
              <w:rPr/>
              <w:t>)</w:t>
            </w:r>
          </w:p>
        </w:tc>
      </w:tr>
      <w:tr>
        <w:trPr/>
        <w:tc>
          <w:tcPr>
            <w:tcW w:w="5057" w:type="dxa"/>
            <w:tcBorders/>
            <w:shd w:fill="auto" w:val="clear"/>
            <w:vAlign w:val="bottom"/>
          </w:tcPr>
          <w:p>
            <w:pPr>
              <w:pStyle w:val="TableContents"/>
              <w:spacing w:before="0" w:after="0"/>
              <w:ind w:left="225" w:right="0" w:hanging="225"/>
              <w:rPr/>
            </w:pPr>
            <w:r>
              <w:rPr/>
              <w:t>Interest expense</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1,520</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441</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281</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Equity in net income of unconsolidated affiliate</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(2,173</w:t>
            </w:r>
          </w:p>
        </w:tc>
        <w:tc>
          <w:tcPr>
            <w:tcW w:w="146"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pPr>
            <w:r>
              <w:rPr/>
              <w:t>(2,433</w:t>
            </w:r>
          </w:p>
        </w:tc>
        <w:tc>
          <w:tcPr>
            <w:tcW w:w="146"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pPr>
            <w:r>
              <w:rPr/>
              <w:t>(2,945</w:t>
            </w:r>
          </w:p>
        </w:tc>
        <w:tc>
          <w:tcPr>
            <w:tcW w:w="136" w:type="dxa"/>
            <w:tcBorders/>
            <w:shd w:fill="CCEEFF" w:val="clear"/>
            <w:vAlign w:val="bottom"/>
          </w:tcPr>
          <w:p>
            <w:pPr>
              <w:pStyle w:val="TableContents"/>
              <w:spacing w:before="0" w:after="283"/>
              <w:rPr/>
            </w:pPr>
            <w:r>
              <w:rPr/>
              <w:t>)</w:t>
            </w:r>
          </w:p>
        </w:tc>
      </w:tr>
      <w:tr>
        <w:trPr/>
        <w:tc>
          <w:tcPr>
            <w:tcW w:w="5057" w:type="dxa"/>
            <w:tcBorders/>
            <w:shd w:fill="auto" w:val="clear"/>
            <w:vAlign w:val="bottom"/>
          </w:tcPr>
          <w:p>
            <w:pPr>
              <w:pStyle w:val="TableContents"/>
              <w:spacing w:before="0" w:after="0"/>
              <w:ind w:left="225" w:right="0" w:hanging="225"/>
              <w:rPr/>
            </w:pPr>
            <w:r>
              <w:rPr/>
              <w:t>(Gain) loss on sale / disposal of assets</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79</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1010" w:type="dxa"/>
            <w:tcBorders/>
            <w:shd w:fill="auto" w:val="clear"/>
            <w:vAlign w:val="bottom"/>
          </w:tcPr>
          <w:p>
            <w:pPr>
              <w:pStyle w:val="TableContents"/>
              <w:spacing w:before="0" w:after="283"/>
              <w:jc w:val="right"/>
              <w:rPr/>
            </w:pPr>
            <w:r>
              <w:rPr/>
              <w:t>(7</w:t>
            </w:r>
          </w:p>
        </w:tc>
        <w:tc>
          <w:tcPr>
            <w:tcW w:w="146" w:type="dxa"/>
            <w:tcBorders/>
            <w:shd w:fill="auto" w:val="clear"/>
            <w:vAlign w:val="bottom"/>
          </w:tcPr>
          <w:p>
            <w:pPr>
              <w:pStyle w:val="TableContents"/>
              <w:spacing w:before="0" w:after="283"/>
              <w:rPr/>
            </w:pPr>
            <w:r>
              <w:rPr/>
              <w:t>)</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1012" w:type="dxa"/>
            <w:tcBorders/>
            <w:shd w:fill="auto" w:val="clear"/>
            <w:vAlign w:val="bottom"/>
          </w:tcPr>
          <w:p>
            <w:pPr>
              <w:pStyle w:val="TableContents"/>
              <w:spacing w:before="0" w:after="283"/>
              <w:jc w:val="right"/>
              <w:rPr/>
            </w:pPr>
            <w:r>
              <w:rPr/>
              <w:t>(72</w:t>
            </w:r>
          </w:p>
        </w:tc>
        <w:tc>
          <w:tcPr>
            <w:tcW w:w="136" w:type="dxa"/>
            <w:tcBorders/>
            <w:shd w:fill="auto" w:val="clear"/>
            <w:vAlign w:val="bottom"/>
          </w:tcPr>
          <w:p>
            <w:pPr>
              <w:pStyle w:val="TableContents"/>
              <w:spacing w:before="0" w:after="283"/>
              <w:rPr/>
            </w:pPr>
            <w:r>
              <w:rPr/>
              <w:t>)</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Income before income taxes</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23,050</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45,504</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59,927</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Income tax expense</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8,298</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16,245</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22,053</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Net income</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10" w:type="dxa"/>
            <w:tcBorders/>
            <w:shd w:fill="CCEEFF" w:val="clear"/>
            <w:vAlign w:val="bottom"/>
          </w:tcPr>
          <w:p>
            <w:pPr>
              <w:pStyle w:val="TableContents"/>
              <w:spacing w:before="0" w:after="283"/>
              <w:jc w:val="right"/>
              <w:rPr/>
            </w:pPr>
            <w:r>
              <w:rPr/>
              <w:t>14,752</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10" w:type="dxa"/>
            <w:tcBorders/>
            <w:shd w:fill="CCEEFF" w:val="clear"/>
            <w:vAlign w:val="bottom"/>
          </w:tcPr>
          <w:p>
            <w:pPr>
              <w:pStyle w:val="TableContents"/>
              <w:spacing w:before="0" w:after="283"/>
              <w:jc w:val="right"/>
              <w:rPr/>
            </w:pPr>
            <w:r>
              <w:rPr/>
              <w:t>29,259</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12" w:type="dxa"/>
            <w:tcBorders/>
            <w:shd w:fill="CCEEFF" w:val="clear"/>
            <w:vAlign w:val="bottom"/>
          </w:tcPr>
          <w:p>
            <w:pPr>
              <w:pStyle w:val="TableContents"/>
              <w:spacing w:before="0" w:after="283"/>
              <w:jc w:val="right"/>
              <w:rPr/>
            </w:pPr>
            <w:r>
              <w:rPr/>
              <w:t>37,874</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 </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225" w:right="0" w:hanging="225"/>
              <w:rPr/>
            </w:pPr>
            <w:r>
              <w:rPr/>
              <w:t>Net income per common share:</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Basic</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10" w:type="dxa"/>
            <w:tcBorders/>
            <w:shd w:fill="CCEEFF" w:val="clear"/>
            <w:vAlign w:val="bottom"/>
          </w:tcPr>
          <w:p>
            <w:pPr>
              <w:pStyle w:val="TableContents"/>
              <w:spacing w:before="0" w:after="283"/>
              <w:jc w:val="right"/>
              <w:rPr/>
            </w:pPr>
            <w:r>
              <w:rPr/>
              <w:t>0.40</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10" w:type="dxa"/>
            <w:tcBorders/>
            <w:shd w:fill="CCEEFF" w:val="clear"/>
            <w:vAlign w:val="bottom"/>
          </w:tcPr>
          <w:p>
            <w:pPr>
              <w:pStyle w:val="TableContents"/>
              <w:spacing w:before="0" w:after="283"/>
              <w:jc w:val="right"/>
              <w:rPr/>
            </w:pPr>
            <w:r>
              <w:rPr/>
              <w:t>0.74</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w:t>
            </w:r>
          </w:p>
        </w:tc>
        <w:tc>
          <w:tcPr>
            <w:tcW w:w="1012" w:type="dxa"/>
            <w:tcBorders/>
            <w:shd w:fill="CCEEFF" w:val="clear"/>
            <w:vAlign w:val="bottom"/>
          </w:tcPr>
          <w:p>
            <w:pPr>
              <w:pStyle w:val="TableContents"/>
              <w:spacing w:before="0" w:after="283"/>
              <w:jc w:val="right"/>
              <w:rPr/>
            </w:pPr>
            <w:r>
              <w:rPr/>
              <w:t>0.92</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Diluted</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0" w:type="dxa"/>
            <w:tcBorders/>
            <w:shd w:fill="auto" w:val="clear"/>
            <w:vAlign w:val="bottom"/>
          </w:tcPr>
          <w:p>
            <w:pPr>
              <w:pStyle w:val="TableContents"/>
              <w:spacing w:before="0" w:after="283"/>
              <w:jc w:val="right"/>
              <w:rPr/>
            </w:pPr>
            <w:r>
              <w:rPr/>
              <w:t>0.36</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0" w:type="dxa"/>
            <w:tcBorders/>
            <w:shd w:fill="auto" w:val="clear"/>
            <w:vAlign w:val="bottom"/>
          </w:tcPr>
          <w:p>
            <w:pPr>
              <w:pStyle w:val="TableContents"/>
              <w:spacing w:before="0" w:after="283"/>
              <w:jc w:val="right"/>
              <w:rPr/>
            </w:pPr>
            <w:r>
              <w:rPr/>
              <w:t>0.69</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1012" w:type="dxa"/>
            <w:tcBorders/>
            <w:shd w:fill="auto" w:val="clear"/>
            <w:vAlign w:val="bottom"/>
          </w:tcPr>
          <w:p>
            <w:pPr>
              <w:pStyle w:val="TableContents"/>
              <w:spacing w:before="0" w:after="283"/>
              <w:jc w:val="right"/>
              <w:rPr/>
            </w:pPr>
            <w:r>
              <w:rPr/>
              <w:t>0.88</w:t>
            </w:r>
          </w:p>
        </w:tc>
        <w:tc>
          <w:tcPr>
            <w:tcW w:w="136" w:type="dxa"/>
            <w:tcBorders/>
            <w:shd w:fill="auto" w:val="clear"/>
            <w:vAlign w:val="bottom"/>
          </w:tcPr>
          <w:p>
            <w:pPr>
              <w:pStyle w:val="TableContents"/>
              <w:spacing w:before="0" w:after="283"/>
              <w:rPr/>
            </w:pPr>
            <w:r>
              <w:rPr/>
              <w:t> </w:t>
            </w:r>
          </w:p>
        </w:tc>
      </w:tr>
      <w:tr>
        <w:trPr/>
        <w:tc>
          <w:tcPr>
            <w:tcW w:w="505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1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225" w:right="0" w:hanging="225"/>
              <w:rPr/>
            </w:pPr>
            <w:r>
              <w:rPr/>
              <w:t>Weighted average shares outstanding:</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057" w:type="dxa"/>
            <w:tcBorders/>
            <w:shd w:fill="auto" w:val="clear"/>
            <w:vAlign w:val="bottom"/>
          </w:tcPr>
          <w:p>
            <w:pPr>
              <w:pStyle w:val="TableContents"/>
              <w:spacing w:before="0" w:after="0"/>
              <w:ind w:left="450" w:right="0" w:hanging="225"/>
              <w:rPr/>
            </w:pPr>
            <w:r>
              <w:rPr/>
              <w:t>Basic</w:t>
            </w:r>
          </w:p>
        </w:tc>
        <w:tc>
          <w:tcPr>
            <w:tcW w:w="37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37,302</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39,432</w:t>
            </w:r>
          </w:p>
        </w:tc>
        <w:tc>
          <w:tcPr>
            <w:tcW w:w="14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41,034</w:t>
            </w:r>
          </w:p>
        </w:tc>
        <w:tc>
          <w:tcPr>
            <w:tcW w:w="136" w:type="dxa"/>
            <w:tcBorders/>
            <w:shd w:fill="auto" w:val="clear"/>
            <w:vAlign w:val="bottom"/>
          </w:tcPr>
          <w:p>
            <w:pPr>
              <w:pStyle w:val="TableContents"/>
              <w:spacing w:before="0" w:after="283"/>
              <w:rPr/>
            </w:pPr>
            <w:r>
              <w:rPr/>
              <w:t> </w:t>
            </w:r>
          </w:p>
        </w:tc>
      </w:tr>
      <w:tr>
        <w:trPr/>
        <w:tc>
          <w:tcPr>
            <w:tcW w:w="5057" w:type="dxa"/>
            <w:tcBorders/>
            <w:shd w:fill="CCEEFF" w:val="clear"/>
            <w:vAlign w:val="bottom"/>
          </w:tcPr>
          <w:p>
            <w:pPr>
              <w:pStyle w:val="TableContents"/>
              <w:spacing w:before="0" w:after="0"/>
              <w:ind w:left="450" w:right="0" w:hanging="225"/>
              <w:rPr/>
            </w:pPr>
            <w:r>
              <w:rPr/>
              <w:t>Diluted</w:t>
            </w:r>
          </w:p>
        </w:tc>
        <w:tc>
          <w:tcPr>
            <w:tcW w:w="37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40,722</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pPr>
            <w:r>
              <w:rPr/>
              <w:t>42,264</w:t>
            </w:r>
          </w:p>
        </w:tc>
        <w:tc>
          <w:tcPr>
            <w:tcW w:w="14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43,230</w:t>
            </w:r>
          </w:p>
        </w:tc>
        <w:tc>
          <w:tcPr>
            <w:tcW w:w="136" w:type="dxa"/>
            <w:tcBorders/>
            <w:shd w:fill="CCEEFF"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i/>
          <w:sz w:val="17"/>
        </w:rPr>
        <w:t>See accompanying notes to consolidated financial statements.</w:t>
      </w:r>
      <w:r>
        <w:rPr>
          <w:rFonts w:ascii="Helvetica;Arial;sans-serif" w:hAnsi="Helvetica;Arial;sans-serif"/>
          <w:sz w:val="17"/>
        </w:rPr>
        <w:t xml:space="preserve"> </w:t>
      </w:r>
    </w:p>
    <w:p>
      <w:pPr>
        <w:pStyle w:val="TextBody"/>
        <w:jc w:val="center"/>
        <w:rPr>
          <w:rFonts w:ascii="Helvetica;Arial;sans-serif" w:hAnsi="Helvetica;Arial;sans-serif"/>
          <w:sz w:val="17"/>
        </w:rPr>
      </w:pPr>
      <w:r>
        <w:rPr>
          <w:rFonts w:ascii="Helvetica;Arial;sans-serif" w:hAnsi="Helvetica;Arial;sans-serif"/>
          <w:sz w:val="17"/>
        </w:rPr>
        <w:t xml:space="preserve">48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r>
        <w:rPr>
          <w:rFonts w:ascii="Helvetica;Arial;sans-serif" w:hAnsi="Helvetica;Arial;sans-serif"/>
          <w:b/>
          <w:sz w:val="17"/>
        </w:rPr>
        <w:t>EZCORP, Inc.</w:t>
      </w:r>
      <w:r>
        <w:rPr>
          <w:rFonts w:ascii="Helvetica;Arial;sans-serif" w:hAnsi="Helvetica;Arial;sans-serif"/>
          <w:sz w:val="17"/>
        </w:rPr>
        <w:t xml:space="preserve"> </w:t>
      </w:r>
    </w:p>
    <w:p>
      <w:pPr>
        <w:pStyle w:val="TextBody"/>
        <w:spacing w:before="0" w:after="0"/>
        <w:jc w:val="center"/>
        <w:rPr>
          <w:rFonts w:ascii="Helvetica;Arial;sans-serif" w:hAnsi="Helvetica;Arial;sans-serif"/>
          <w:b/>
          <w:smallCaps/>
          <w:sz w:val="17"/>
        </w:rPr>
      </w:pPr>
      <w:bookmarkStart w:id="19" w:name="303"/>
      <w:bookmarkEnd w:id="19"/>
      <w:r>
        <w:rPr>
          <w:rFonts w:ascii="Helvetica;Arial;sans-serif" w:hAnsi="Helvetica;Arial;sans-serif"/>
          <w:b/>
          <w:smallCaps/>
          <w:sz w:val="17"/>
        </w:rPr>
        <w:t>Consolidated Statements of Cash Flows</w:t>
      </w:r>
    </w:p>
    <w:tbl>
      <w:tblPr>
        <w:tblW w:w="5000" w:type="pct"/>
        <w:jc w:val="center"/>
        <w:tblInd w:w="0" w:type="dxa"/>
        <w:tblCellMar>
          <w:top w:w="0" w:type="dxa"/>
          <w:left w:w="0" w:type="dxa"/>
          <w:bottom w:w="0" w:type="dxa"/>
          <w:right w:w="0" w:type="dxa"/>
        </w:tblCellMar>
      </w:tblPr>
      <w:tblGrid>
        <w:gridCol w:w="5498"/>
        <w:gridCol w:w="409"/>
        <w:gridCol w:w="154"/>
        <w:gridCol w:w="875"/>
        <w:gridCol w:w="129"/>
        <w:gridCol w:w="409"/>
        <w:gridCol w:w="154"/>
        <w:gridCol w:w="875"/>
        <w:gridCol w:w="129"/>
        <w:gridCol w:w="409"/>
        <w:gridCol w:w="154"/>
        <w:gridCol w:w="874"/>
        <w:gridCol w:w="136"/>
      </w:tblGrid>
      <w:tr>
        <w:trPr/>
        <w:tc>
          <w:tcPr>
            <w:tcW w:w="549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4162"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36" w:type="dxa"/>
            <w:tcBorders/>
            <w:shd w:fill="auto"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02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02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02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6" w:type="dxa"/>
            <w:tcBorders/>
            <w:shd w:fill="auto"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4162" w:type="dxa"/>
            <w:gridSpan w:val="10"/>
            <w:tcBorders/>
            <w:shd w:fill="auto" w:val="clear"/>
            <w:vAlign w:val="bottom"/>
          </w:tcPr>
          <w:p>
            <w:pPr>
              <w:pStyle w:val="TableContents"/>
              <w:spacing w:before="0" w:after="283"/>
              <w:jc w:val="center"/>
              <w:rPr/>
            </w:pPr>
            <w:r>
              <w:rPr/>
              <w:t>(</w:t>
            </w:r>
            <w:r>
              <w:rPr>
                <w:i/>
              </w:rPr>
              <w:t>In thousands)</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225" w:right="0" w:hanging="225"/>
              <w:rPr/>
            </w:pPr>
            <w:r>
              <w:rPr/>
              <w:t>Operating Activities: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450" w:right="0" w:hanging="225"/>
              <w:rPr/>
            </w:pPr>
            <w:r>
              <w:rPr/>
              <w:t>Net income</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14,752</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29,259</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37,874</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675" w:right="0" w:hanging="225"/>
              <w:rPr/>
            </w:pPr>
            <w:r>
              <w:rPr/>
              <w:t>Depreciation and amortization</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8,104</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8,610</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9,812</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675" w:right="0" w:hanging="225"/>
              <w:rPr/>
            </w:pPr>
            <w:r>
              <w:rPr/>
              <w:t>Payday loan loss provision</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6,627</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2,221</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5,353</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675" w:right="0" w:hanging="225"/>
              <w:rPr/>
            </w:pPr>
            <w:r>
              <w:rPr/>
              <w:t>Deferred taxes</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111</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3,724</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4" w:type="dxa"/>
            <w:tcBorders/>
            <w:shd w:fill="auto" w:val="clear"/>
            <w:vAlign w:val="bottom"/>
          </w:tcPr>
          <w:p>
            <w:pPr>
              <w:pStyle w:val="TableContents"/>
              <w:spacing w:before="0" w:after="283"/>
              <w:jc w:val="right"/>
              <w:rPr/>
            </w:pPr>
            <w:r>
              <w:rPr/>
              <w:t>(2,636</w:t>
            </w:r>
          </w:p>
        </w:tc>
        <w:tc>
          <w:tcPr>
            <w:tcW w:w="136" w:type="dxa"/>
            <w:tcBorders/>
            <w:shd w:fill="auto" w:val="clear"/>
            <w:vAlign w:val="bottom"/>
          </w:tcPr>
          <w:p>
            <w:pPr>
              <w:pStyle w:val="TableContents"/>
              <w:spacing w:before="0" w:after="283"/>
              <w:rPr/>
            </w:pPr>
            <w:r>
              <w:rPr/>
              <w:t>)</w:t>
            </w:r>
          </w:p>
        </w:tc>
      </w:tr>
      <w:tr>
        <w:trPr/>
        <w:tc>
          <w:tcPr>
            <w:tcW w:w="5498" w:type="dxa"/>
            <w:tcBorders/>
            <w:shd w:fill="CCEEFF" w:val="clear"/>
            <w:vAlign w:val="bottom"/>
          </w:tcPr>
          <w:p>
            <w:pPr>
              <w:pStyle w:val="TableContents"/>
              <w:spacing w:before="0" w:after="0"/>
              <w:ind w:left="675" w:right="0" w:hanging="225"/>
              <w:rPr/>
            </w:pPr>
            <w:r>
              <w:rPr/>
              <w:t>Net (gain) loss on sale or disposal of assets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79</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(7</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4" w:type="dxa"/>
            <w:tcBorders/>
            <w:shd w:fill="CCEEFF" w:val="clear"/>
            <w:vAlign w:val="bottom"/>
          </w:tcPr>
          <w:p>
            <w:pPr>
              <w:pStyle w:val="TableContents"/>
              <w:spacing w:before="0" w:after="283"/>
              <w:jc w:val="right"/>
              <w:rPr/>
            </w:pPr>
            <w:r>
              <w:rPr/>
              <w:t>(72</w:t>
            </w:r>
          </w:p>
        </w:tc>
        <w:tc>
          <w:tcPr>
            <w:tcW w:w="136" w:type="dxa"/>
            <w:tcBorders/>
            <w:shd w:fill="CCEEFF" w:val="clear"/>
            <w:vAlign w:val="bottom"/>
          </w:tcPr>
          <w:p>
            <w:pPr>
              <w:pStyle w:val="TableContents"/>
              <w:spacing w:before="0" w:after="283"/>
              <w:rPr/>
            </w:pPr>
            <w:r>
              <w:rPr/>
              <w:t>)</w:t>
            </w:r>
          </w:p>
        </w:tc>
      </w:tr>
      <w:tr>
        <w:trPr/>
        <w:tc>
          <w:tcPr>
            <w:tcW w:w="5498" w:type="dxa"/>
            <w:tcBorders/>
            <w:shd w:fill="auto" w:val="clear"/>
            <w:vAlign w:val="bottom"/>
          </w:tcPr>
          <w:p>
            <w:pPr>
              <w:pStyle w:val="TableContents"/>
              <w:spacing w:before="0" w:after="0"/>
              <w:ind w:left="675" w:right="0" w:hanging="225"/>
              <w:rPr/>
            </w:pPr>
            <w:r>
              <w:rPr/>
              <w:t>Share-based compensation</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588</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1,397</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3,627</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675" w:right="0" w:hanging="225"/>
              <w:rPr/>
            </w:pPr>
            <w:r>
              <w:rPr/>
              <w:t>Income from investment in unconsolidated affiliate</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(2,173</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(2,433</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4" w:type="dxa"/>
            <w:tcBorders/>
            <w:shd w:fill="CCEEFF" w:val="clear"/>
            <w:vAlign w:val="bottom"/>
          </w:tcPr>
          <w:p>
            <w:pPr>
              <w:pStyle w:val="TableContents"/>
              <w:spacing w:before="0" w:after="283"/>
              <w:jc w:val="right"/>
              <w:rPr/>
            </w:pPr>
            <w:r>
              <w:rPr/>
              <w:t>(2,945</w:t>
            </w:r>
          </w:p>
        </w:tc>
        <w:tc>
          <w:tcPr>
            <w:tcW w:w="136" w:type="dxa"/>
            <w:tcBorders/>
            <w:shd w:fill="CCEEFF" w:val="clear"/>
            <w:vAlign w:val="bottom"/>
          </w:tcPr>
          <w:p>
            <w:pPr>
              <w:pStyle w:val="TableContents"/>
              <w:spacing w:before="0" w:after="283"/>
              <w:rPr/>
            </w:pPr>
            <w:r>
              <w:rPr/>
              <w:t>)</w:t>
            </w:r>
          </w:p>
        </w:tc>
      </w:tr>
      <w:tr>
        <w:trPr/>
        <w:tc>
          <w:tcPr>
            <w:tcW w:w="5498"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675" w:right="0" w:hanging="225"/>
              <w:rPr/>
            </w:pPr>
            <w:r>
              <w:rPr/>
              <w:t>Service charges and fees receivable, net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(2,618</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213</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4" w:type="dxa"/>
            <w:tcBorders/>
            <w:shd w:fill="CCEEFF" w:val="clear"/>
            <w:vAlign w:val="bottom"/>
          </w:tcPr>
          <w:p>
            <w:pPr>
              <w:pStyle w:val="TableContents"/>
              <w:spacing w:before="0" w:after="283"/>
              <w:jc w:val="right"/>
              <w:rPr/>
            </w:pPr>
            <w:r>
              <w:rPr/>
              <w:t>(2,948</w:t>
            </w:r>
          </w:p>
        </w:tc>
        <w:tc>
          <w:tcPr>
            <w:tcW w:w="136" w:type="dxa"/>
            <w:tcBorders/>
            <w:shd w:fill="CCEEFF" w:val="clear"/>
            <w:vAlign w:val="bottom"/>
          </w:tcPr>
          <w:p>
            <w:pPr>
              <w:pStyle w:val="TableContents"/>
              <w:spacing w:before="0" w:after="283"/>
              <w:rPr/>
            </w:pPr>
            <w:r>
              <w:rPr/>
              <w:t>)</w:t>
            </w:r>
          </w:p>
        </w:tc>
      </w:tr>
      <w:tr>
        <w:trPr/>
        <w:tc>
          <w:tcPr>
            <w:tcW w:w="5498" w:type="dxa"/>
            <w:tcBorders/>
            <w:shd w:fill="auto" w:val="clear"/>
            <w:vAlign w:val="bottom"/>
          </w:tcPr>
          <w:p>
            <w:pPr>
              <w:pStyle w:val="TableContents"/>
              <w:spacing w:before="0" w:after="0"/>
              <w:ind w:left="675" w:right="0" w:hanging="225"/>
              <w:rPr/>
            </w:pPr>
            <w:r>
              <w:rPr/>
              <w:t>Inventory, net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193</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(772</w:t>
            </w:r>
          </w:p>
        </w:tc>
        <w:tc>
          <w:tcPr>
            <w:tcW w:w="129"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4" w:type="dxa"/>
            <w:tcBorders/>
            <w:shd w:fill="auto" w:val="clear"/>
            <w:vAlign w:val="bottom"/>
          </w:tcPr>
          <w:p>
            <w:pPr>
              <w:pStyle w:val="TableContents"/>
              <w:spacing w:before="0" w:after="283"/>
              <w:jc w:val="right"/>
              <w:rPr/>
            </w:pPr>
            <w:r>
              <w:rPr/>
              <w:t>(411</w:t>
            </w:r>
          </w:p>
        </w:tc>
        <w:tc>
          <w:tcPr>
            <w:tcW w:w="136" w:type="dxa"/>
            <w:tcBorders/>
            <w:shd w:fill="auto" w:val="clear"/>
            <w:vAlign w:val="bottom"/>
          </w:tcPr>
          <w:p>
            <w:pPr>
              <w:pStyle w:val="TableContents"/>
              <w:spacing w:before="0" w:after="283"/>
              <w:rPr/>
            </w:pPr>
            <w:r>
              <w:rPr/>
              <w:t>)</w:t>
            </w:r>
          </w:p>
        </w:tc>
      </w:tr>
      <w:tr>
        <w:trPr/>
        <w:tc>
          <w:tcPr>
            <w:tcW w:w="5498" w:type="dxa"/>
            <w:tcBorders/>
            <w:shd w:fill="CCEEFF" w:val="clear"/>
            <w:vAlign w:val="bottom"/>
          </w:tcPr>
          <w:p>
            <w:pPr>
              <w:pStyle w:val="TableContents"/>
              <w:spacing w:before="0" w:after="0"/>
              <w:ind w:left="675" w:right="0" w:hanging="225"/>
              <w:rPr/>
            </w:pPr>
            <w:r>
              <w:rPr/>
              <w:t>Note receivable from related party</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1,500</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675" w:right="0" w:hanging="225"/>
              <w:rPr/>
            </w:pPr>
            <w:r>
              <w:rPr/>
              <w:t>Prepaid expenses, other current assets, and other assets, net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1,625</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(1,675</w:t>
            </w:r>
          </w:p>
        </w:tc>
        <w:tc>
          <w:tcPr>
            <w:tcW w:w="129"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4" w:type="dxa"/>
            <w:tcBorders/>
            <w:shd w:fill="auto" w:val="clear"/>
            <w:vAlign w:val="bottom"/>
          </w:tcPr>
          <w:p>
            <w:pPr>
              <w:pStyle w:val="TableContents"/>
              <w:spacing w:before="0" w:after="283"/>
              <w:jc w:val="right"/>
              <w:rPr/>
            </w:pPr>
            <w:r>
              <w:rPr/>
              <w:t>(2,138</w:t>
            </w:r>
          </w:p>
        </w:tc>
        <w:tc>
          <w:tcPr>
            <w:tcW w:w="136" w:type="dxa"/>
            <w:tcBorders/>
            <w:shd w:fill="auto" w:val="clear"/>
            <w:vAlign w:val="bottom"/>
          </w:tcPr>
          <w:p>
            <w:pPr>
              <w:pStyle w:val="TableContents"/>
              <w:spacing w:before="0" w:after="283"/>
              <w:rPr/>
            </w:pPr>
            <w:r>
              <w:rPr/>
              <w:t>)</w:t>
            </w:r>
          </w:p>
        </w:tc>
      </w:tr>
      <w:tr>
        <w:trPr/>
        <w:tc>
          <w:tcPr>
            <w:tcW w:w="5498" w:type="dxa"/>
            <w:tcBorders/>
            <w:shd w:fill="CCEEFF" w:val="clear"/>
            <w:vAlign w:val="bottom"/>
          </w:tcPr>
          <w:p>
            <w:pPr>
              <w:pStyle w:val="TableContents"/>
              <w:spacing w:before="0" w:after="0"/>
              <w:ind w:left="675" w:right="0" w:hanging="225"/>
              <w:rPr/>
            </w:pPr>
            <w:r>
              <w:rPr/>
              <w:t>Accounts payable and accrued expenses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4,107</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3,524</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2,903</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675" w:right="0" w:hanging="225"/>
              <w:rPr/>
            </w:pPr>
            <w:r>
              <w:rPr/>
              <w:t>Customer layaway deposits</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27</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174</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21</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675" w:right="0" w:hanging="225"/>
              <w:rPr/>
            </w:pPr>
            <w:r>
              <w:rPr/>
              <w:t>Deferred gains and other long-term liabilities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(361</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(348</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4" w:type="dxa"/>
            <w:tcBorders/>
            <w:shd w:fill="CCEEFF" w:val="clear"/>
            <w:vAlign w:val="bottom"/>
          </w:tcPr>
          <w:p>
            <w:pPr>
              <w:pStyle w:val="TableContents"/>
              <w:spacing w:before="0" w:after="283"/>
              <w:jc w:val="right"/>
              <w:rPr/>
            </w:pPr>
            <w:r>
              <w:rPr/>
              <w:t>(363</w:t>
            </w:r>
          </w:p>
        </w:tc>
        <w:tc>
          <w:tcPr>
            <w:tcW w:w="136" w:type="dxa"/>
            <w:tcBorders/>
            <w:shd w:fill="CCEEFF" w:val="clear"/>
            <w:vAlign w:val="bottom"/>
          </w:tcPr>
          <w:p>
            <w:pPr>
              <w:pStyle w:val="TableContents"/>
              <w:spacing w:before="0" w:after="283"/>
              <w:rPr/>
            </w:pPr>
            <w:r>
              <w:rPr/>
              <w:t>)</w:t>
            </w:r>
          </w:p>
        </w:tc>
      </w:tr>
      <w:tr>
        <w:trPr/>
        <w:tc>
          <w:tcPr>
            <w:tcW w:w="5498" w:type="dxa"/>
            <w:tcBorders/>
            <w:shd w:fill="auto" w:val="clear"/>
            <w:vAlign w:val="bottom"/>
          </w:tcPr>
          <w:p>
            <w:pPr>
              <w:pStyle w:val="TableContents"/>
              <w:spacing w:before="0" w:after="0"/>
              <w:ind w:left="675" w:right="0" w:hanging="225"/>
              <w:rPr/>
            </w:pPr>
            <w:r>
              <w:rPr/>
              <w:t>Excess tax benefit from stock-based compensation</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(1,084</w:t>
            </w:r>
          </w:p>
        </w:tc>
        <w:tc>
          <w:tcPr>
            <w:tcW w:w="129"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4" w:type="dxa"/>
            <w:tcBorders/>
            <w:shd w:fill="auto" w:val="clear"/>
            <w:vAlign w:val="bottom"/>
          </w:tcPr>
          <w:p>
            <w:pPr>
              <w:pStyle w:val="TableContents"/>
              <w:spacing w:before="0" w:after="283"/>
              <w:jc w:val="right"/>
              <w:rPr/>
            </w:pPr>
            <w:r>
              <w:rPr/>
              <w:t>(916</w:t>
            </w:r>
          </w:p>
        </w:tc>
        <w:tc>
          <w:tcPr>
            <w:tcW w:w="136" w:type="dxa"/>
            <w:tcBorders/>
            <w:shd w:fill="auto" w:val="clear"/>
            <w:vAlign w:val="bottom"/>
          </w:tcPr>
          <w:p>
            <w:pPr>
              <w:pStyle w:val="TableContents"/>
              <w:spacing w:before="0" w:after="283"/>
              <w:rPr/>
            </w:pPr>
            <w:r>
              <w:rPr/>
              <w:t>)</w:t>
            </w:r>
          </w:p>
        </w:tc>
      </w:tr>
      <w:tr>
        <w:trPr/>
        <w:tc>
          <w:tcPr>
            <w:tcW w:w="5498" w:type="dxa"/>
            <w:tcBorders/>
            <w:shd w:fill="CCEEFF" w:val="clear"/>
            <w:vAlign w:val="bottom"/>
          </w:tcPr>
          <w:p>
            <w:pPr>
              <w:pStyle w:val="TableContents"/>
              <w:spacing w:before="0" w:after="0"/>
              <w:ind w:left="675" w:right="0" w:hanging="225"/>
              <w:rPr/>
            </w:pPr>
            <w:r>
              <w:rPr/>
              <w:t>Federal income taxes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(837</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435</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6,248</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8" w:type="dxa"/>
            <w:tcBorders/>
            <w:shd w:fill="auto" w:val="clear"/>
            <w:vAlign w:val="bottom"/>
          </w:tcPr>
          <w:p>
            <w:pPr>
              <w:pStyle w:val="TableContents"/>
              <w:spacing w:before="0" w:after="0"/>
              <w:ind w:left="225" w:right="0" w:hanging="225"/>
              <w:rPr/>
            </w:pPr>
            <w:r>
              <w:rPr/>
              <w:t>Net cash provided by operating activities</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31,724</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43,238</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53,409</w:t>
            </w:r>
          </w:p>
        </w:tc>
        <w:tc>
          <w:tcPr>
            <w:tcW w:w="136" w:type="dxa"/>
            <w:tcBorders/>
            <w:shd w:fill="auto"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225" w:right="0" w:hanging="225"/>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225" w:right="0" w:hanging="225"/>
              <w:rPr/>
            </w:pPr>
            <w:r>
              <w:rPr/>
              <w:t>Investing Activities: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450" w:right="0" w:hanging="225"/>
              <w:rPr/>
            </w:pPr>
            <w:r>
              <w:rPr/>
              <w:t>Pawn loans made</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(172,991</w:t>
            </w:r>
          </w:p>
        </w:tc>
        <w:tc>
          <w:tcPr>
            <w:tcW w:w="129"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(191,826</w:t>
            </w:r>
          </w:p>
        </w:tc>
        <w:tc>
          <w:tcPr>
            <w:tcW w:w="129"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4" w:type="dxa"/>
            <w:tcBorders/>
            <w:shd w:fill="auto" w:val="clear"/>
            <w:vAlign w:val="bottom"/>
          </w:tcPr>
          <w:p>
            <w:pPr>
              <w:pStyle w:val="TableContents"/>
              <w:spacing w:before="0" w:after="283"/>
              <w:jc w:val="right"/>
              <w:rPr/>
            </w:pPr>
            <w:r>
              <w:rPr/>
              <w:t>(211,856</w:t>
            </w:r>
          </w:p>
        </w:tc>
        <w:tc>
          <w:tcPr>
            <w:tcW w:w="136" w:type="dxa"/>
            <w:tcBorders/>
            <w:shd w:fill="auto" w:val="clear"/>
            <w:vAlign w:val="bottom"/>
          </w:tcPr>
          <w:p>
            <w:pPr>
              <w:pStyle w:val="TableContents"/>
              <w:spacing w:before="0" w:after="283"/>
              <w:rPr/>
            </w:pPr>
            <w:r>
              <w:rPr/>
              <w:t>)</w:t>
            </w:r>
          </w:p>
        </w:tc>
      </w:tr>
      <w:tr>
        <w:trPr/>
        <w:tc>
          <w:tcPr>
            <w:tcW w:w="5498" w:type="dxa"/>
            <w:tcBorders/>
            <w:shd w:fill="CCEEFF" w:val="clear"/>
            <w:vAlign w:val="bottom"/>
          </w:tcPr>
          <w:p>
            <w:pPr>
              <w:pStyle w:val="TableContents"/>
              <w:spacing w:before="0" w:after="0"/>
              <w:ind w:left="450" w:right="0" w:hanging="225"/>
              <w:rPr/>
            </w:pPr>
            <w:r>
              <w:rPr/>
              <w:t>Pawn loans repaid</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93,315</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101,610</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109,175</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450" w:right="0" w:hanging="225"/>
              <w:rPr/>
            </w:pPr>
            <w:r>
              <w:rPr/>
              <w:t>Recovery of pawn loan principal through sale of forfeited collateral</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76,040</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89,556</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96,207</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450" w:right="0" w:hanging="225"/>
              <w:rPr/>
            </w:pPr>
            <w:r>
              <w:rPr/>
              <w:t>Payday loans made</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(59,466</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(24,368</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4" w:type="dxa"/>
            <w:tcBorders/>
            <w:shd w:fill="CCEEFF" w:val="clear"/>
            <w:vAlign w:val="bottom"/>
          </w:tcPr>
          <w:p>
            <w:pPr>
              <w:pStyle w:val="TableContents"/>
              <w:spacing w:before="0" w:after="283"/>
              <w:jc w:val="right"/>
              <w:rPr/>
            </w:pPr>
            <w:r>
              <w:rPr/>
              <w:t>(48,460</w:t>
            </w:r>
          </w:p>
        </w:tc>
        <w:tc>
          <w:tcPr>
            <w:tcW w:w="136" w:type="dxa"/>
            <w:tcBorders/>
            <w:shd w:fill="CCEEFF" w:val="clear"/>
            <w:vAlign w:val="bottom"/>
          </w:tcPr>
          <w:p>
            <w:pPr>
              <w:pStyle w:val="TableContents"/>
              <w:spacing w:before="0" w:after="283"/>
              <w:rPr/>
            </w:pPr>
            <w:r>
              <w:rPr/>
              <w:t>)</w:t>
            </w:r>
          </w:p>
        </w:tc>
      </w:tr>
      <w:tr>
        <w:trPr/>
        <w:tc>
          <w:tcPr>
            <w:tcW w:w="5498" w:type="dxa"/>
            <w:tcBorders/>
            <w:shd w:fill="auto" w:val="clear"/>
            <w:vAlign w:val="bottom"/>
          </w:tcPr>
          <w:p>
            <w:pPr>
              <w:pStyle w:val="TableContents"/>
              <w:spacing w:before="0" w:after="0"/>
              <w:ind w:left="450" w:right="0" w:hanging="225"/>
              <w:rPr/>
            </w:pPr>
            <w:r>
              <w:rPr/>
              <w:t>Payday loans repaid</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58,497</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21,338</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40,842</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450" w:right="0" w:hanging="225"/>
              <w:rPr/>
            </w:pPr>
            <w:r>
              <w:rPr/>
              <w:t>Additions to property and equipment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(9,227</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(11,052</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4" w:type="dxa"/>
            <w:tcBorders/>
            <w:shd w:fill="CCEEFF" w:val="clear"/>
            <w:vAlign w:val="bottom"/>
          </w:tcPr>
          <w:p>
            <w:pPr>
              <w:pStyle w:val="TableContents"/>
              <w:spacing w:before="0" w:after="283"/>
              <w:jc w:val="right"/>
              <w:rPr/>
            </w:pPr>
            <w:r>
              <w:rPr/>
              <w:t>(13,742</w:t>
            </w:r>
          </w:p>
        </w:tc>
        <w:tc>
          <w:tcPr>
            <w:tcW w:w="136" w:type="dxa"/>
            <w:tcBorders/>
            <w:shd w:fill="CCEEFF" w:val="clear"/>
            <w:vAlign w:val="bottom"/>
          </w:tcPr>
          <w:p>
            <w:pPr>
              <w:pStyle w:val="TableContents"/>
              <w:spacing w:before="0" w:after="283"/>
              <w:rPr/>
            </w:pPr>
            <w:r>
              <w:rPr/>
              <w:t>)</w:t>
            </w:r>
          </w:p>
        </w:tc>
      </w:tr>
      <w:tr>
        <w:trPr/>
        <w:tc>
          <w:tcPr>
            <w:tcW w:w="5498" w:type="dxa"/>
            <w:tcBorders/>
            <w:shd w:fill="auto" w:val="clear"/>
            <w:vAlign w:val="bottom"/>
          </w:tcPr>
          <w:p>
            <w:pPr>
              <w:pStyle w:val="TableContents"/>
              <w:spacing w:before="0" w:after="0"/>
              <w:ind w:left="450" w:right="0" w:hanging="225"/>
              <w:rPr/>
            </w:pPr>
            <w:r>
              <w:rPr/>
              <w:t>Acquisitions, net of cash acquired</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(2,194</w:t>
            </w:r>
          </w:p>
        </w:tc>
        <w:tc>
          <w:tcPr>
            <w:tcW w:w="129"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4" w:type="dxa"/>
            <w:tcBorders/>
            <w:shd w:fill="auto" w:val="clear"/>
            <w:vAlign w:val="bottom"/>
          </w:tcPr>
          <w:p>
            <w:pPr>
              <w:pStyle w:val="TableContents"/>
              <w:spacing w:before="0" w:after="283"/>
              <w:jc w:val="right"/>
              <w:rPr/>
            </w:pPr>
            <w:r>
              <w:rPr/>
              <w:t>(23,201</w:t>
            </w:r>
          </w:p>
        </w:tc>
        <w:tc>
          <w:tcPr>
            <w:tcW w:w="136" w:type="dxa"/>
            <w:tcBorders/>
            <w:shd w:fill="auto" w:val="clear"/>
            <w:vAlign w:val="bottom"/>
          </w:tcPr>
          <w:p>
            <w:pPr>
              <w:pStyle w:val="TableContents"/>
              <w:spacing w:before="0" w:after="283"/>
              <w:rPr/>
            </w:pPr>
            <w:r>
              <w:rPr/>
              <w:t>)</w:t>
            </w:r>
          </w:p>
        </w:tc>
      </w:tr>
      <w:tr>
        <w:trPr/>
        <w:tc>
          <w:tcPr>
            <w:tcW w:w="5498" w:type="dxa"/>
            <w:tcBorders/>
            <w:shd w:fill="CCEEFF" w:val="clear"/>
            <w:vAlign w:val="bottom"/>
          </w:tcPr>
          <w:p>
            <w:pPr>
              <w:pStyle w:val="TableContents"/>
              <w:spacing w:before="0" w:after="0"/>
              <w:ind w:left="450" w:right="0" w:hanging="225"/>
              <w:rPr/>
            </w:pPr>
            <w:r>
              <w:rPr/>
              <w:t>Investment in unconsolidated affiliate</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4" w:type="dxa"/>
            <w:tcBorders/>
            <w:shd w:fill="CCEEFF" w:val="clear"/>
            <w:vAlign w:val="bottom"/>
          </w:tcPr>
          <w:p>
            <w:pPr>
              <w:pStyle w:val="TableContents"/>
              <w:spacing w:before="0" w:after="283"/>
              <w:jc w:val="right"/>
              <w:rPr/>
            </w:pPr>
            <w:r>
              <w:rPr/>
              <w:t>(13,408</w:t>
            </w:r>
          </w:p>
        </w:tc>
        <w:tc>
          <w:tcPr>
            <w:tcW w:w="136" w:type="dxa"/>
            <w:tcBorders/>
            <w:shd w:fill="CCEEFF" w:val="clear"/>
            <w:vAlign w:val="bottom"/>
          </w:tcPr>
          <w:p>
            <w:pPr>
              <w:pStyle w:val="TableContents"/>
              <w:spacing w:before="0" w:after="283"/>
              <w:rPr/>
            </w:pPr>
            <w:r>
              <w:rPr/>
              <w:t>)</w:t>
            </w:r>
          </w:p>
        </w:tc>
      </w:tr>
      <w:tr>
        <w:trPr/>
        <w:tc>
          <w:tcPr>
            <w:tcW w:w="5498" w:type="dxa"/>
            <w:tcBorders/>
            <w:shd w:fill="auto" w:val="clear"/>
            <w:vAlign w:val="bottom"/>
          </w:tcPr>
          <w:p>
            <w:pPr>
              <w:pStyle w:val="TableContents"/>
              <w:spacing w:before="0" w:after="0"/>
              <w:ind w:left="450" w:right="0" w:hanging="225"/>
              <w:rPr/>
            </w:pPr>
            <w:r>
              <w:rPr/>
              <w:t>Dividends from unconsolidated affiliate</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861</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969</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1,274</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450" w:right="0" w:hanging="225"/>
              <w:rPr/>
            </w:pPr>
            <w:r>
              <w:rPr/>
              <w:t>Proceeds from sale of assets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66</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259</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8" w:type="dxa"/>
            <w:tcBorders/>
            <w:shd w:fill="auto" w:val="clear"/>
            <w:vAlign w:val="bottom"/>
          </w:tcPr>
          <w:p>
            <w:pPr>
              <w:pStyle w:val="TableContents"/>
              <w:spacing w:before="0" w:after="0"/>
              <w:ind w:left="675" w:right="0" w:hanging="225"/>
              <w:rPr/>
            </w:pPr>
            <w:r>
              <w:rPr/>
              <w:t>Net cash used in investing activities</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(12,971</w:t>
            </w:r>
          </w:p>
        </w:tc>
        <w:tc>
          <w:tcPr>
            <w:tcW w:w="129"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(15,901</w:t>
            </w:r>
          </w:p>
        </w:tc>
        <w:tc>
          <w:tcPr>
            <w:tcW w:w="129"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4" w:type="dxa"/>
            <w:tcBorders/>
            <w:shd w:fill="auto" w:val="clear"/>
            <w:vAlign w:val="bottom"/>
          </w:tcPr>
          <w:p>
            <w:pPr>
              <w:pStyle w:val="TableContents"/>
              <w:spacing w:before="0" w:after="283"/>
              <w:jc w:val="right"/>
              <w:rPr/>
            </w:pPr>
            <w:r>
              <w:rPr/>
              <w:t>(62,910</w:t>
            </w:r>
          </w:p>
        </w:tc>
        <w:tc>
          <w:tcPr>
            <w:tcW w:w="136" w:type="dxa"/>
            <w:tcBorders/>
            <w:shd w:fill="auto" w:val="clear"/>
            <w:vAlign w:val="bottom"/>
          </w:tcPr>
          <w:p>
            <w:pPr>
              <w:pStyle w:val="TableContents"/>
              <w:spacing w:before="0" w:after="283"/>
              <w:rPr/>
            </w:pPr>
            <w:r>
              <w:rPr/>
              <w:t>)</w:t>
            </w:r>
          </w:p>
        </w:tc>
      </w:tr>
      <w:tr>
        <w:trPr/>
        <w:tc>
          <w:tcPr>
            <w:tcW w:w="5498" w:type="dxa"/>
            <w:tcBorders/>
            <w:shd w:fill="auto" w:val="clear"/>
            <w:vAlign w:val="bottom"/>
          </w:tcPr>
          <w:p>
            <w:pPr>
              <w:pStyle w:val="TableContents"/>
              <w:spacing w:before="0" w:after="0"/>
              <w:ind w:left="225" w:right="0" w:hanging="225"/>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225" w:right="0" w:hanging="225"/>
              <w:rPr/>
            </w:pPr>
            <w:r>
              <w:rPr/>
              <w:t>Financing Activities: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450" w:right="0" w:hanging="225"/>
              <w:rPr/>
            </w:pPr>
            <w:r>
              <w:rPr/>
              <w:t>Proceeds from exercise of stock options and warrants</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909</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4,350</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1,462</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450" w:right="0" w:hanging="225"/>
              <w:rPr/>
            </w:pPr>
            <w:r>
              <w:rPr/>
              <w:t>Excess tax benefit from stock-based compensation</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1,084</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916</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450" w:right="0" w:hanging="225"/>
              <w:rPr/>
            </w:pPr>
            <w:r>
              <w:rPr/>
              <w:t>Debt issuance costs</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4" w:type="dxa"/>
            <w:tcBorders/>
            <w:shd w:fill="auto" w:val="clear"/>
            <w:vAlign w:val="bottom"/>
          </w:tcPr>
          <w:p>
            <w:pPr>
              <w:pStyle w:val="TableContents"/>
              <w:spacing w:before="0" w:after="283"/>
              <w:jc w:val="right"/>
              <w:rPr/>
            </w:pPr>
            <w:r>
              <w:rPr/>
              <w:t>(283</w:t>
            </w:r>
          </w:p>
        </w:tc>
        <w:tc>
          <w:tcPr>
            <w:tcW w:w="136" w:type="dxa"/>
            <w:tcBorders/>
            <w:shd w:fill="auto" w:val="clear"/>
            <w:vAlign w:val="bottom"/>
          </w:tcPr>
          <w:p>
            <w:pPr>
              <w:pStyle w:val="TableContents"/>
              <w:spacing w:before="0" w:after="283"/>
              <w:rPr/>
            </w:pPr>
            <w:r>
              <w:rPr/>
              <w:t>)</w:t>
            </w:r>
          </w:p>
        </w:tc>
      </w:tr>
      <w:tr>
        <w:trPr/>
        <w:tc>
          <w:tcPr>
            <w:tcW w:w="5498" w:type="dxa"/>
            <w:tcBorders/>
            <w:shd w:fill="CCEEFF" w:val="clear"/>
            <w:vAlign w:val="bottom"/>
          </w:tcPr>
          <w:p>
            <w:pPr>
              <w:pStyle w:val="TableContents"/>
              <w:spacing w:before="0" w:after="0"/>
              <w:ind w:left="450" w:right="0" w:hanging="225"/>
              <w:rPr/>
            </w:pPr>
            <w:r>
              <w:rPr/>
              <w:t>Net payments on bank borrowings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(18,000</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(7,000</w:t>
            </w:r>
          </w:p>
        </w:tc>
        <w:tc>
          <w:tcPr>
            <w:tcW w:w="129" w:type="dxa"/>
            <w:tcBorders/>
            <w:shd w:fill="CCEEFF" w:val="clear"/>
            <w:vAlign w:val="bottom"/>
          </w:tcPr>
          <w:p>
            <w:pPr>
              <w:pStyle w:val="TableContents"/>
              <w:spacing w:before="0" w:after="283"/>
              <w:rPr/>
            </w:pPr>
            <w:r>
              <w:rPr/>
              <w: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8" w:type="dxa"/>
            <w:tcBorders/>
            <w:shd w:fill="auto" w:val="clear"/>
            <w:vAlign w:val="bottom"/>
          </w:tcPr>
          <w:p>
            <w:pPr>
              <w:pStyle w:val="TableContents"/>
              <w:spacing w:before="0" w:after="0"/>
              <w:ind w:left="675" w:right="0" w:hanging="225"/>
              <w:rPr/>
            </w:pPr>
            <w:r>
              <w:rPr/>
              <w:t>Net cash provided by (used in) financing activities</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(17,091</w:t>
            </w:r>
          </w:p>
        </w:tc>
        <w:tc>
          <w:tcPr>
            <w:tcW w:w="129"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(1,566</w:t>
            </w:r>
          </w:p>
        </w:tc>
        <w:tc>
          <w:tcPr>
            <w:tcW w:w="129"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2,095</w:t>
            </w:r>
          </w:p>
        </w:tc>
        <w:tc>
          <w:tcPr>
            <w:tcW w:w="136" w:type="dxa"/>
            <w:tcBorders/>
            <w:shd w:fill="auto" w:val="clear"/>
            <w:vAlign w:val="bottom"/>
          </w:tcPr>
          <w:p>
            <w:pPr>
              <w:pStyle w:val="TableContents"/>
              <w:spacing w:before="0" w:after="283"/>
              <w:rPr/>
            </w:pPr>
            <w:r>
              <w:rPr/>
              <w:t> </w:t>
            </w:r>
          </w:p>
        </w:tc>
      </w:tr>
      <w:tr>
        <w:trPr/>
        <w:tc>
          <w:tcPr>
            <w:tcW w:w="549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8" w:type="dxa"/>
            <w:tcBorders/>
            <w:shd w:fill="auto" w:val="clear"/>
            <w:vAlign w:val="bottom"/>
          </w:tcPr>
          <w:p>
            <w:pPr>
              <w:pStyle w:val="TableContents"/>
              <w:spacing w:before="0" w:after="0"/>
              <w:ind w:left="225" w:right="0" w:hanging="225"/>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450" w:right="0" w:hanging="225"/>
              <w:rPr/>
            </w:pPr>
            <w:r>
              <w:rPr/>
              <w:t>Change in cash and equivalents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1,662</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25,771</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4" w:type="dxa"/>
            <w:tcBorders/>
            <w:shd w:fill="CCEEFF" w:val="clear"/>
            <w:vAlign w:val="bottom"/>
          </w:tcPr>
          <w:p>
            <w:pPr>
              <w:pStyle w:val="TableContents"/>
              <w:spacing w:before="0" w:after="283"/>
              <w:jc w:val="right"/>
              <w:rPr/>
            </w:pPr>
            <w:r>
              <w:rPr/>
              <w:t>(7,406</w:t>
            </w:r>
          </w:p>
        </w:tc>
        <w:tc>
          <w:tcPr>
            <w:tcW w:w="136" w:type="dxa"/>
            <w:tcBorders/>
            <w:shd w:fill="CCEEFF" w:val="clear"/>
            <w:vAlign w:val="bottom"/>
          </w:tcPr>
          <w:p>
            <w:pPr>
              <w:pStyle w:val="TableContents"/>
              <w:spacing w:before="0" w:after="283"/>
              <w:rPr/>
            </w:pPr>
            <w:r>
              <w:rPr/>
              <w:t>)</w:t>
            </w:r>
          </w:p>
        </w:tc>
      </w:tr>
      <w:tr>
        <w:trPr/>
        <w:tc>
          <w:tcPr>
            <w:tcW w:w="5498" w:type="dxa"/>
            <w:tcBorders/>
            <w:shd w:fill="auto" w:val="clear"/>
            <w:vAlign w:val="bottom"/>
          </w:tcPr>
          <w:p>
            <w:pPr>
              <w:pStyle w:val="TableContents"/>
              <w:spacing w:before="0" w:after="0"/>
              <w:ind w:left="450" w:right="0" w:hanging="225"/>
              <w:rPr/>
            </w:pPr>
            <w:r>
              <w:rPr/>
              <w:t>Cash and equivalents at beginning of period</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2,506</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4,168</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29,939</w:t>
            </w:r>
          </w:p>
        </w:tc>
        <w:tc>
          <w:tcPr>
            <w:tcW w:w="136" w:type="dxa"/>
            <w:tcBorders/>
            <w:shd w:fill="auto" w:val="clear"/>
            <w:vAlign w:val="bottom"/>
          </w:tcPr>
          <w:p>
            <w:pPr>
              <w:pStyle w:val="TableContents"/>
              <w:spacing w:before="0" w:after="283"/>
              <w:rPr/>
            </w:pPr>
            <w:r>
              <w:rPr/>
              <w:t> </w:t>
            </w:r>
          </w:p>
        </w:tc>
      </w:tr>
      <w:tr>
        <w:trPr/>
        <w:tc>
          <w:tcPr>
            <w:tcW w:w="549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450" w:right="0" w:hanging="225"/>
              <w:rPr/>
            </w:pPr>
            <w:r>
              <w:rPr/>
              <w:t>Cash and equivalents at end of period</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4,168</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29,939</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22,533</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09"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498" w:type="dxa"/>
            <w:tcBorders/>
            <w:shd w:fill="auto" w:val="clear"/>
            <w:vAlign w:val="bottom"/>
          </w:tcPr>
          <w:p>
            <w:pPr>
              <w:pStyle w:val="TableContents"/>
              <w:spacing w:before="0" w:after="0"/>
              <w:ind w:left="225" w:right="0" w:hanging="225"/>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225" w:right="0" w:hanging="225"/>
              <w:rPr/>
            </w:pPr>
            <w:r>
              <w:rPr/>
              <w:t>Cash paid during the period for:</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675" w:right="0" w:hanging="225"/>
              <w:rPr/>
            </w:pPr>
            <w:r>
              <w:rPr/>
              <w:t>Interest</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943</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380</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139</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675" w:right="0" w:hanging="225"/>
              <w:rPr/>
            </w:pPr>
            <w:r>
              <w:rPr/>
              <w:t>Income taxes</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9,244</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12,163</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18,441</w:t>
            </w:r>
          </w:p>
        </w:tc>
        <w:tc>
          <w:tcPr>
            <w:tcW w:w="136" w:type="dxa"/>
            <w:tcBorders/>
            <w:shd w:fill="auto"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225" w:right="0" w:hanging="225"/>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225" w:right="0" w:hanging="225"/>
              <w:rPr/>
            </w:pPr>
            <w:r>
              <w:rPr/>
              <w:t>Non-cash Investing and Financing Activities:</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450" w:right="0" w:hanging="225"/>
              <w:rPr/>
            </w:pPr>
            <w:r>
              <w:rPr/>
              <w:t>Pawn loans forfeited and transferred to inventory</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75,890</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93,184</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96,387</w:t>
            </w:r>
          </w:p>
        </w:tc>
        <w:tc>
          <w:tcPr>
            <w:tcW w:w="136" w:type="dxa"/>
            <w:tcBorders/>
            <w:shd w:fill="auto" w:val="clear"/>
            <w:vAlign w:val="bottom"/>
          </w:tcPr>
          <w:p>
            <w:pPr>
              <w:pStyle w:val="TableContents"/>
              <w:spacing w:before="0" w:after="283"/>
              <w:rPr/>
            </w:pPr>
            <w:r>
              <w:rPr/>
              <w:t> </w:t>
            </w:r>
          </w:p>
        </w:tc>
      </w:tr>
      <w:tr>
        <w:trPr/>
        <w:tc>
          <w:tcPr>
            <w:tcW w:w="5498" w:type="dxa"/>
            <w:tcBorders/>
            <w:shd w:fill="CCEEFF" w:val="clear"/>
            <w:vAlign w:val="bottom"/>
          </w:tcPr>
          <w:p>
            <w:pPr>
              <w:pStyle w:val="TableContents"/>
              <w:spacing w:before="0" w:after="0"/>
              <w:ind w:left="450" w:right="0" w:hanging="225"/>
              <w:rPr/>
            </w:pPr>
            <w:r>
              <w:rPr/>
              <w:t>Issuance of common stock to 401(k) plan</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72</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45</w:t>
            </w:r>
          </w:p>
        </w:tc>
        <w:tc>
          <w:tcPr>
            <w:tcW w:w="12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27</w:t>
            </w:r>
          </w:p>
        </w:tc>
        <w:tc>
          <w:tcPr>
            <w:tcW w:w="136" w:type="dxa"/>
            <w:tcBorders/>
            <w:shd w:fill="CCEEFF" w:val="clear"/>
            <w:vAlign w:val="bottom"/>
          </w:tcPr>
          <w:p>
            <w:pPr>
              <w:pStyle w:val="TableContents"/>
              <w:spacing w:before="0" w:after="283"/>
              <w:rPr/>
            </w:pPr>
            <w:r>
              <w:rPr/>
              <w:t> </w:t>
            </w:r>
          </w:p>
        </w:tc>
      </w:tr>
      <w:tr>
        <w:trPr/>
        <w:tc>
          <w:tcPr>
            <w:tcW w:w="5498" w:type="dxa"/>
            <w:tcBorders/>
            <w:shd w:fill="auto" w:val="clear"/>
            <w:vAlign w:val="bottom"/>
          </w:tcPr>
          <w:p>
            <w:pPr>
              <w:pStyle w:val="TableContents"/>
              <w:spacing w:before="0" w:after="0"/>
              <w:ind w:left="450" w:right="0" w:hanging="225"/>
              <w:rPr/>
            </w:pPr>
            <w:r>
              <w:rPr/>
              <w:t>Foreign currency translation adjustment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65</w:t>
            </w:r>
          </w:p>
        </w:tc>
        <w:tc>
          <w:tcPr>
            <w:tcW w:w="12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(463</w:t>
            </w:r>
          </w:p>
        </w:tc>
        <w:tc>
          <w:tcPr>
            <w:tcW w:w="129" w:type="dxa"/>
            <w:tcBorders/>
            <w:shd w:fill="auto" w:val="clear"/>
            <w:vAlign w:val="bottom"/>
          </w:tcPr>
          <w:p>
            <w:pPr>
              <w:pStyle w:val="TableContents"/>
              <w:spacing w:before="0" w:after="283"/>
              <w:rPr/>
            </w:pPr>
            <w:r>
              <w:rPr/>
              <w:t>)</w:t>
            </w:r>
          </w:p>
        </w:tc>
        <w:tc>
          <w:tcPr>
            <w:tcW w:w="40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(1,377</w:t>
            </w:r>
          </w:p>
        </w:tc>
        <w:tc>
          <w:tcPr>
            <w:tcW w:w="136" w:type="dxa"/>
            <w:tcBorders/>
            <w:shd w:fill="auto" w:val="clear"/>
            <w:vAlign w:val="bottom"/>
          </w:tcPr>
          <w:p>
            <w:pPr>
              <w:pStyle w:val="TableContents"/>
              <w:spacing w:before="0" w:after="283"/>
              <w:rPr/>
            </w:pPr>
            <w:r>
              <w:rPr/>
              <w:t>)</w:t>
            </w:r>
          </w:p>
        </w:tc>
      </w:tr>
    </w:tbl>
    <w:p>
      <w:pPr>
        <w:pStyle w:val="TextBody"/>
        <w:spacing w:before="120" w:after="283"/>
        <w:jc w:val="left"/>
        <w:rPr>
          <w:rFonts w:ascii="Helvetica;Arial;sans-serif" w:hAnsi="Helvetica;Arial;sans-serif"/>
          <w:sz w:val="17"/>
        </w:rPr>
      </w:pPr>
      <w:r>
        <w:rPr>
          <w:rFonts w:ascii="Helvetica;Arial;sans-serif" w:hAnsi="Helvetica;Arial;sans-serif"/>
          <w:i/>
          <w:sz w:val="17"/>
        </w:rPr>
        <w:t>See accompanying notes to consolidated financial statements.</w:t>
      </w:r>
      <w:r>
        <w:rPr>
          <w:rFonts w:ascii="Helvetica;Arial;sans-serif" w:hAnsi="Helvetica;Arial;sans-serif"/>
          <w:sz w:val="17"/>
        </w:rPr>
        <w:t xml:space="preserve"> </w:t>
      </w:r>
    </w:p>
    <w:p>
      <w:pPr>
        <w:pStyle w:val="TextBody"/>
        <w:jc w:val="center"/>
        <w:rPr>
          <w:rFonts w:ascii="Helvetica;Arial;sans-serif" w:hAnsi="Helvetica;Arial;sans-serif"/>
          <w:sz w:val="17"/>
        </w:rPr>
      </w:pPr>
      <w:r>
        <w:rPr>
          <w:rFonts w:ascii="Helvetica;Arial;sans-serif" w:hAnsi="Helvetica;Arial;sans-serif"/>
          <w:sz w:val="17"/>
        </w:rPr>
        <w:t xml:space="preserve">49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r>
        <w:rPr>
          <w:rFonts w:ascii="Helvetica;Arial;sans-serif" w:hAnsi="Helvetica;Arial;sans-serif"/>
          <w:b/>
          <w:smallCaps/>
          <w:sz w:val="17"/>
        </w:rPr>
        <w:t>EZCORP, Inc.</w:t>
      </w:r>
      <w:r>
        <w:rPr>
          <w:rFonts w:ascii="Helvetica;Arial;sans-serif" w:hAnsi="Helvetica;Arial;sans-serif"/>
          <w:sz w:val="17"/>
        </w:rPr>
        <w:t xml:space="preserve"> </w:t>
      </w:r>
    </w:p>
    <w:p>
      <w:pPr>
        <w:pStyle w:val="TextBody"/>
        <w:spacing w:before="0" w:after="0"/>
        <w:jc w:val="center"/>
        <w:rPr>
          <w:rFonts w:ascii="Helvetica;Arial;sans-serif" w:hAnsi="Helvetica;Arial;sans-serif"/>
          <w:b/>
          <w:smallCaps/>
          <w:sz w:val="17"/>
        </w:rPr>
      </w:pPr>
      <w:bookmarkStart w:id="20" w:name="304"/>
      <w:bookmarkEnd w:id="20"/>
      <w:r>
        <w:rPr>
          <w:rFonts w:ascii="Helvetica;Arial;sans-serif" w:hAnsi="Helvetica;Arial;sans-serif"/>
          <w:b/>
          <w:smallCaps/>
          <w:sz w:val="17"/>
        </w:rPr>
        <w:t>Consolidated Statements of Stockholders Equity</w:t>
      </w:r>
    </w:p>
    <w:tbl>
      <w:tblPr>
        <w:tblW w:w="10866" w:type="dxa"/>
        <w:jc w:val="center"/>
        <w:tblInd w:w="0" w:type="dxa"/>
        <w:tblCellMar>
          <w:top w:w="0" w:type="dxa"/>
          <w:left w:w="0" w:type="dxa"/>
          <w:bottom w:w="0" w:type="dxa"/>
          <w:right w:w="0" w:type="dxa"/>
        </w:tblCellMar>
      </w:tblPr>
      <w:tblGrid>
        <w:gridCol w:w="1220"/>
        <w:gridCol w:w="60"/>
        <w:gridCol w:w="65"/>
        <w:gridCol w:w="741"/>
        <w:gridCol w:w="65"/>
        <w:gridCol w:w="65"/>
        <w:gridCol w:w="157"/>
        <w:gridCol w:w="433"/>
        <w:gridCol w:w="60"/>
        <w:gridCol w:w="60"/>
        <w:gridCol w:w="152"/>
        <w:gridCol w:w="873"/>
        <w:gridCol w:w="95"/>
        <w:gridCol w:w="60"/>
        <w:gridCol w:w="230"/>
        <w:gridCol w:w="1125"/>
        <w:gridCol w:w="95"/>
        <w:gridCol w:w="60"/>
        <w:gridCol w:w="325"/>
        <w:gridCol w:w="1060"/>
        <w:gridCol w:w="95"/>
        <w:gridCol w:w="60"/>
        <w:gridCol w:w="253"/>
        <w:gridCol w:w="607"/>
        <w:gridCol w:w="95"/>
        <w:gridCol w:w="60"/>
        <w:gridCol w:w="301"/>
        <w:gridCol w:w="1204"/>
        <w:gridCol w:w="95"/>
        <w:gridCol w:w="60"/>
        <w:gridCol w:w="140"/>
        <w:gridCol w:w="800"/>
        <w:gridCol w:w="95"/>
      </w:tblGrid>
      <w:tr>
        <w:trPr/>
        <w:tc>
          <w:tcPr>
            <w:tcW w:w="1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6" w:type="dxa"/>
            <w:gridSpan w:val="6"/>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shd w:fill="auto" w:val="clear"/>
            <w:vAlign w:val="bottom"/>
          </w:tcPr>
          <w:p>
            <w:pPr>
              <w:pStyle w:val="TableContents"/>
              <w:spacing w:before="0" w:after="283"/>
              <w:jc w:val="center"/>
              <w:rPr/>
            </w:pPr>
            <w:r>
              <w:rPr/>
              <w:t>Accumulated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6" w:type="dxa"/>
            <w:gridSpan w:val="6"/>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shd w:fill="auto" w:val="clear"/>
            <w:vAlign w:val="bottom"/>
          </w:tcPr>
          <w:p>
            <w:pPr>
              <w:pStyle w:val="TableContents"/>
              <w:spacing w:before="0" w:after="283"/>
              <w:jc w:val="center"/>
              <w:rPr/>
            </w:pPr>
            <w:r>
              <w:rPr/>
              <w:t>Retained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shd w:fill="auto" w:val="clear"/>
            <w:vAlign w:val="bottom"/>
          </w:tcPr>
          <w:p>
            <w:pPr>
              <w:pStyle w:val="TableContents"/>
              <w:spacing w:before="0" w:after="283"/>
              <w:jc w:val="center"/>
              <w:rPr/>
            </w:pPr>
            <w:r>
              <w:rPr/>
              <w:t>Other</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6" w:type="dxa"/>
            <w:gridSpan w:val="6"/>
            <w:tcBorders>
              <w:bottom w:val="single" w:sz="2" w:space="0" w:color="000000"/>
            </w:tcBorders>
            <w:shd w:fill="auto" w:val="clear"/>
            <w:tcMar>
              <w:bottom w:w="28" w:type="dxa"/>
            </w:tcMar>
            <w:vAlign w:val="bottom"/>
          </w:tcPr>
          <w:p>
            <w:pPr>
              <w:pStyle w:val="TableContents"/>
              <w:spacing w:before="0" w:after="283"/>
              <w:jc w:val="center"/>
              <w:rPr/>
            </w:pPr>
            <w:r>
              <w:rPr/>
              <w:t>Common Stock</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Additional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shd w:fill="auto" w:val="clear"/>
            <w:vAlign w:val="bottom"/>
          </w:tcPr>
          <w:p>
            <w:pPr>
              <w:pStyle w:val="TableContents"/>
              <w:spacing w:before="0" w:after="283"/>
              <w:jc w:val="center"/>
              <w:rPr/>
            </w:pPr>
            <w:r>
              <w:rPr/>
              <w:t>Earnings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jc w:val="center"/>
              <w:rPr/>
            </w:pPr>
            <w:r>
              <w:rPr/>
              <w:t>Deferred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shd w:fill="auto" w:val="clear"/>
            <w:vAlign w:val="bottom"/>
          </w:tcPr>
          <w:p>
            <w:pPr>
              <w:pStyle w:val="TableContents"/>
              <w:spacing w:before="0" w:after="283"/>
              <w:jc w:val="center"/>
              <w:rPr/>
            </w:pPr>
            <w:r>
              <w:rPr/>
              <w:t>Accumulated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590" w:type="dxa"/>
            <w:gridSpan w:val="2"/>
            <w:tcBorders/>
            <w:shd w:fill="auto" w:val="clear"/>
            <w:vAlign w:val="bottom"/>
          </w:tcPr>
          <w:p>
            <w:pPr>
              <w:pStyle w:val="TableContents"/>
              <w:spacing w:before="0" w:after="283"/>
              <w:jc w:val="center"/>
              <w:rPr/>
            </w:pPr>
            <w:r>
              <w:rPr/>
              <w:t>Par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Paid In</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shd w:fill="auto" w:val="clear"/>
            <w:vAlign w:val="bottom"/>
          </w:tcPr>
          <w:p>
            <w:pPr>
              <w:pStyle w:val="TableContents"/>
              <w:spacing w:before="0" w:after="283"/>
              <w:jc w:val="center"/>
              <w:rPr/>
            </w:pPr>
            <w:r>
              <w:rPr/>
              <w:t>(Accumulated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jc w:val="center"/>
              <w:rPr/>
            </w:pPr>
            <w:r>
              <w:rPr/>
              <w:t>Compensation</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jc w:val="center"/>
              <w:rPr/>
            </w:pPr>
            <w:r>
              <w:rPr/>
              <w:t>Treasury</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shd w:fill="auto" w:val="clear"/>
            <w:vAlign w:val="bottom"/>
          </w:tcPr>
          <w:p>
            <w:pPr>
              <w:pStyle w:val="TableContents"/>
              <w:spacing w:before="0" w:after="283"/>
              <w:jc w:val="center"/>
              <w:rPr/>
            </w:pPr>
            <w:r>
              <w:rPr/>
              <w:t>Comprehensive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6"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Shares</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590" w:type="dxa"/>
            <w:gridSpan w:val="2"/>
            <w:tcBorders>
              <w:bottom w:val="single" w:sz="2" w:space="0" w:color="000000"/>
            </w:tcBorders>
            <w:shd w:fill="auto" w:val="clear"/>
            <w:tcMar>
              <w:bottom w:w="28" w:type="dxa"/>
            </w:tcMar>
            <w:vAlign w:val="bottom"/>
          </w:tcPr>
          <w:p>
            <w:pPr>
              <w:pStyle w:val="TableContents"/>
              <w:spacing w:before="0" w:after="283"/>
              <w:jc w:val="center"/>
              <w:rPr/>
            </w:pPr>
            <w:r>
              <w:rPr/>
              <w:t>Value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pPr>
            <w:r>
              <w:rPr/>
              <w:t>Capital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2" w:space="0" w:color="000000"/>
            </w:tcBorders>
            <w:shd w:fill="auto" w:val="clear"/>
            <w:tcMar>
              <w:bottom w:w="28" w:type="dxa"/>
            </w:tcMar>
            <w:vAlign w:val="bottom"/>
          </w:tcPr>
          <w:p>
            <w:pPr>
              <w:pStyle w:val="TableContents"/>
              <w:spacing w:before="0" w:after="283"/>
              <w:jc w:val="center"/>
              <w:rPr/>
            </w:pPr>
            <w:r>
              <w:rPr/>
              <w:t>Deficit)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2" w:space="0" w:color="000000"/>
            </w:tcBorders>
            <w:shd w:fill="auto" w:val="clear"/>
            <w:tcMar>
              <w:bottom w:w="28" w:type="dxa"/>
            </w:tcMar>
            <w:vAlign w:val="bottom"/>
          </w:tcPr>
          <w:p>
            <w:pPr>
              <w:pStyle w:val="TableContents"/>
              <w:spacing w:before="0" w:after="283"/>
              <w:jc w:val="center"/>
              <w:rPr/>
            </w:pPr>
            <w:r>
              <w:rPr/>
              <w:t>Expense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pPr>
            <w:r>
              <w:rPr/>
              <w:t>Stock</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2" w:space="0" w:color="000000"/>
            </w:tcBorders>
            <w:shd w:fill="auto" w:val="clear"/>
            <w:tcMar>
              <w:bottom w:w="28" w:type="dxa"/>
            </w:tcMar>
            <w:vAlign w:val="bottom"/>
          </w:tcPr>
          <w:p>
            <w:pPr>
              <w:pStyle w:val="TableContents"/>
              <w:spacing w:before="0" w:after="283"/>
              <w:jc w:val="center"/>
              <w:rPr/>
            </w:pPr>
            <w:r>
              <w:rPr/>
              <w:t>Income (Loss)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91" w:type="dxa"/>
            <w:gridSpan w:val="30"/>
            <w:tcBorders/>
            <w:shd w:fill="auto" w:val="clear"/>
            <w:vAlign w:val="bottom"/>
          </w:tcPr>
          <w:p>
            <w:pPr>
              <w:pStyle w:val="TableContents"/>
              <w:spacing w:before="0" w:after="283"/>
              <w:jc w:val="center"/>
              <w:rPr>
                <w:i/>
              </w:rPr>
            </w:pPr>
            <w:r>
              <w:rPr>
                <w:i/>
              </w:rPr>
              <w:t>(In thousands)</w:t>
            </w:r>
          </w:p>
        </w:tc>
        <w:tc>
          <w:tcPr>
            <w:tcW w:w="95" w:type="dxa"/>
            <w:tcBorders/>
            <w:shd w:fill="auto" w:val="clear"/>
            <w:vAlign w:val="bottom"/>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225" w:right="0" w:hanging="225"/>
              <w:rPr/>
            </w:pPr>
            <w:r>
              <w:rPr/>
              <w:t>Balances at Sept. 30, 2004</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37,113</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433" w:type="dxa"/>
            <w:tcBorders/>
            <w:shd w:fill="CCEEFF" w:val="clear"/>
            <w:vAlign w:val="bottom"/>
          </w:tcPr>
          <w:p>
            <w:pPr>
              <w:pStyle w:val="TableContents"/>
              <w:spacing w:before="0" w:after="283"/>
              <w:jc w:val="right"/>
              <w:rPr/>
            </w:pPr>
            <w:r>
              <w:rPr/>
              <w:t>370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73" w:type="dxa"/>
            <w:tcBorders/>
            <w:shd w:fill="CCEEFF" w:val="clear"/>
            <w:vAlign w:val="bottom"/>
          </w:tcPr>
          <w:p>
            <w:pPr>
              <w:pStyle w:val="TableContents"/>
              <w:spacing w:before="0" w:after="283"/>
              <w:jc w:val="right"/>
              <w:rPr/>
            </w:pPr>
            <w:r>
              <w:rPr/>
              <w:t>116,437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125" w:type="dxa"/>
            <w:tcBorders/>
            <w:shd w:fill="CCEEFF" w:val="clear"/>
            <w:vAlign w:val="bottom"/>
          </w:tcPr>
          <w:p>
            <w:pPr>
              <w:pStyle w:val="TableContents"/>
              <w:spacing w:before="0" w:after="283"/>
              <w:jc w:val="right"/>
              <w:rPr/>
            </w:pPr>
            <w:r>
              <w:rPr/>
              <w:t>(38</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1060" w:type="dxa"/>
            <w:tcBorders/>
            <w:shd w:fill="CCEEFF" w:val="clear"/>
            <w:vAlign w:val="bottom"/>
          </w:tcPr>
          <w:p>
            <w:pPr>
              <w:pStyle w:val="TableContents"/>
              <w:spacing w:before="0" w:after="283"/>
              <w:jc w:val="right"/>
              <w:rPr/>
            </w:pPr>
            <w:r>
              <w:rPr/>
              <w:t>(832</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w:t>
            </w:r>
          </w:p>
        </w:tc>
        <w:tc>
          <w:tcPr>
            <w:tcW w:w="607" w:type="dxa"/>
            <w:tcBorders/>
            <w:shd w:fill="CCEEFF" w:val="clear"/>
            <w:vAlign w:val="bottom"/>
          </w:tcPr>
          <w:p>
            <w:pPr>
              <w:pStyle w:val="TableContents"/>
              <w:spacing w:before="0" w:after="283"/>
              <w:jc w:val="right"/>
              <w:rPr/>
            </w:pPr>
            <w:r>
              <w:rPr/>
              <w:t>(35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w:t>
            </w:r>
          </w:p>
        </w:tc>
        <w:tc>
          <w:tcPr>
            <w:tcW w:w="1204" w:type="dxa"/>
            <w:tcBorders/>
            <w:shd w:fill="CCEEFF" w:val="clear"/>
            <w:vAlign w:val="bottom"/>
          </w:tcPr>
          <w:p>
            <w:pPr>
              <w:pStyle w:val="TableContents"/>
              <w:spacing w:before="0" w:after="283"/>
              <w:jc w:val="right"/>
              <w:rPr/>
            </w:pPr>
            <w:r>
              <w:rPr/>
              <w:t>827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116,729</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center"/>
          </w:tcPr>
          <w:p>
            <w:pPr>
              <w:pStyle w:val="TableContents"/>
              <w:spacing w:before="0" w:after="283"/>
              <w:rPr/>
            </w:pPr>
            <w:r>
              <w:rPr/>
              <w:t> </w:t>
            </w:r>
          </w:p>
        </w:tc>
        <w:tc>
          <w:tcPr>
            <w:tcW w:w="9646" w:type="dxa"/>
            <w:gridSpan w:val="32"/>
            <w:tcBorders/>
            <w:shd w:fill="auto" w:val="clear"/>
          </w:tcPr>
          <w:p>
            <w:pPr>
              <w:pStyle w:val="TableContents"/>
              <w:spacing w:before="0" w:after="283"/>
              <w:rPr>
                <w:sz w:val="4"/>
                <w:szCs w:val="4"/>
              </w:rPr>
            </w:pPr>
            <w:r>
              <w:rPr>
                <w:sz w:val="4"/>
                <w:szCs w:val="4"/>
              </w:rPr>
            </w:r>
          </w:p>
        </w:tc>
      </w:tr>
      <w:tr>
        <w:trPr/>
        <w:tc>
          <w:tcPr>
            <w:tcW w:w="1220" w:type="dxa"/>
            <w:tcBorders/>
            <w:shd w:fill="auto" w:val="clear"/>
            <w:vAlign w:val="bottom"/>
          </w:tcPr>
          <w:p>
            <w:pPr>
              <w:pStyle w:val="TableContents"/>
              <w:spacing w:before="0" w:after="0"/>
              <w:ind w:left="450" w:right="0" w:hanging="225"/>
              <w:rPr/>
            </w:pPr>
            <w:r>
              <w:rPr/>
              <w:t>Issuance of Common Stock to 401(k) plan</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12</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72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72</w:t>
            </w:r>
          </w:p>
        </w:tc>
        <w:tc>
          <w:tcPr>
            <w:tcW w:w="95" w:type="dxa"/>
            <w:tcBorders/>
            <w:shd w:fill="auto" w:val="clear"/>
            <w:vAlign w:val="bottom"/>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Amortization of deferred compensation</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588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588</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0"/>
              <w:ind w:left="450" w:right="0" w:hanging="225"/>
              <w:rPr/>
            </w:pPr>
            <w:r>
              <w:rPr/>
              <w:t>Vesting of restricted stock</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375</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Stock options and warrants exercised</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1,104</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898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909</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0"/>
              <w:ind w:left="450" w:right="0" w:hanging="225"/>
              <w:rPr/>
            </w:pPr>
            <w:r>
              <w:rPr/>
              <w:t>Tax benefit from exercise of stock options</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558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558</w:t>
            </w:r>
          </w:p>
        </w:tc>
        <w:tc>
          <w:tcPr>
            <w:tcW w:w="95" w:type="dxa"/>
            <w:tcBorders/>
            <w:shd w:fill="auto" w:val="clear"/>
            <w:vAlign w:val="bottom"/>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Foreign currency translation adjustment</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 </w:t>
            </w:r>
          </w:p>
        </w:tc>
        <w:tc>
          <w:tcPr>
            <w:tcW w:w="1204" w:type="dxa"/>
            <w:tcBorders/>
            <w:shd w:fill="CCEEFF" w:val="clear"/>
            <w:vAlign w:val="bottom"/>
          </w:tcPr>
          <w:p>
            <w:pPr>
              <w:pStyle w:val="TableContents"/>
              <w:spacing w:before="0" w:after="283"/>
              <w:jc w:val="right"/>
              <w:rPr/>
            </w:pPr>
            <w:r>
              <w:rPr/>
              <w:t>(65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(65</w:t>
            </w:r>
          </w:p>
        </w:tc>
        <w:tc>
          <w:tcPr>
            <w:tcW w:w="95" w:type="dxa"/>
            <w:tcBorders/>
            <w:shd w:fill="CCEEFF" w:val="clear"/>
            <w:vAlign w:val="bottom"/>
          </w:tcPr>
          <w:p>
            <w:pPr>
              <w:pStyle w:val="TableContents"/>
              <w:spacing w:before="0" w:after="283"/>
              <w:rPr/>
            </w:pPr>
            <w:r>
              <w:rPr/>
              <w:t>)</w:t>
            </w:r>
          </w:p>
        </w:tc>
      </w:tr>
      <w:tr>
        <w:trPr/>
        <w:tc>
          <w:tcPr>
            <w:tcW w:w="1220" w:type="dxa"/>
            <w:tcBorders/>
            <w:shd w:fill="auto" w:val="clear"/>
            <w:vAlign w:val="bottom"/>
          </w:tcPr>
          <w:p>
            <w:pPr>
              <w:pStyle w:val="TableContents"/>
              <w:spacing w:before="0" w:after="0"/>
              <w:ind w:left="450" w:right="0" w:hanging="225"/>
              <w:rPr/>
            </w:pPr>
            <w:r>
              <w:rPr/>
              <w:t>Net income</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14,752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14,752</w:t>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74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12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04"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Total comprehensive income</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14,687</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8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20" w:type="dxa"/>
            <w:tcBorders/>
            <w:shd w:fill="auto" w:val="clear"/>
            <w:vAlign w:val="bottom"/>
          </w:tcPr>
          <w:p>
            <w:pPr>
              <w:pStyle w:val="TableContents"/>
              <w:spacing w:before="0" w:after="0"/>
              <w:ind w:left="225" w:right="0" w:hanging="225"/>
              <w:rPr/>
            </w:pPr>
            <w:r>
              <w:rPr/>
              <w:t>Balances at Sept. 30, 2005</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38,604</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381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117,965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14,714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 </w:t>
            </w:r>
          </w:p>
        </w:tc>
        <w:tc>
          <w:tcPr>
            <w:tcW w:w="1060" w:type="dxa"/>
            <w:tcBorders/>
            <w:shd w:fill="auto" w:val="clear"/>
            <w:vAlign w:val="bottom"/>
          </w:tcPr>
          <w:p>
            <w:pPr>
              <w:pStyle w:val="TableContents"/>
              <w:spacing w:before="0" w:after="283"/>
              <w:jc w:val="right"/>
              <w:rPr/>
            </w:pPr>
            <w:r>
              <w:rPr/>
              <w:t>(244</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 </w:t>
            </w:r>
          </w:p>
        </w:tc>
        <w:tc>
          <w:tcPr>
            <w:tcW w:w="607" w:type="dxa"/>
            <w:tcBorders/>
            <w:shd w:fill="auto" w:val="clear"/>
            <w:vAlign w:val="bottom"/>
          </w:tcPr>
          <w:p>
            <w:pPr>
              <w:pStyle w:val="TableContents"/>
              <w:spacing w:before="0" w:after="283"/>
              <w:jc w:val="right"/>
              <w:rPr/>
            </w:pPr>
            <w:r>
              <w:rPr/>
              <w:t>(35</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762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133,543</w:t>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Issuance of Common Stock to 401(k) plan</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3</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45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45</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0"/>
              <w:ind w:left="450" w:right="0" w:hanging="225"/>
              <w:rPr/>
            </w:pPr>
            <w:r>
              <w:rPr/>
              <w:t>Amortization of deferred compensation</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75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75</w:t>
            </w:r>
          </w:p>
        </w:tc>
        <w:tc>
          <w:tcPr>
            <w:tcW w:w="95" w:type="dxa"/>
            <w:tcBorders/>
            <w:shd w:fill="auto" w:val="clear"/>
            <w:vAlign w:val="bottom"/>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Reclass upon adoption of SFAS No. 123(R)</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(169</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169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0"/>
              <w:ind w:left="450" w:right="0" w:hanging="225"/>
              <w:rPr/>
            </w:pPr>
            <w:r>
              <w:rPr/>
              <w:t>Stock compensation</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60</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1,320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1,321</w:t>
            </w:r>
          </w:p>
        </w:tc>
        <w:tc>
          <w:tcPr>
            <w:tcW w:w="95" w:type="dxa"/>
            <w:tcBorders/>
            <w:shd w:fill="auto" w:val="clear"/>
            <w:vAlign w:val="bottom"/>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Stock options and warrants exercised</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1,845</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4,327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4,350</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0"/>
              <w:ind w:left="450" w:right="0" w:hanging="225"/>
              <w:rPr/>
            </w:pPr>
            <w:r>
              <w:rPr/>
              <w:t>Excess tax benefit from share-based compensation</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1,084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1,084</w:t>
            </w:r>
          </w:p>
        </w:tc>
        <w:tc>
          <w:tcPr>
            <w:tcW w:w="95" w:type="dxa"/>
            <w:tcBorders/>
            <w:shd w:fill="auto" w:val="clear"/>
            <w:vAlign w:val="bottom"/>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Foreign currency translation adjustment</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463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463</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0"/>
              <w:ind w:left="450" w:right="0" w:hanging="225"/>
              <w:rPr/>
            </w:pPr>
            <w:r>
              <w:rPr/>
              <w:t>Net income</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29,259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29,259</w:t>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74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12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04"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Total comprehensive income</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29,722</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8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20" w:type="dxa"/>
            <w:tcBorders/>
            <w:shd w:fill="auto" w:val="clear"/>
            <w:vAlign w:val="bottom"/>
          </w:tcPr>
          <w:p>
            <w:pPr>
              <w:pStyle w:val="TableContents"/>
              <w:spacing w:before="0" w:after="0"/>
              <w:ind w:left="225" w:right="0" w:hanging="225"/>
              <w:rPr/>
            </w:pPr>
            <w:r>
              <w:rPr/>
              <w:t>Balances at Sept. 30, 2006</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40,512</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405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124,572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43,973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 </w:t>
            </w:r>
          </w:p>
        </w:tc>
        <w:tc>
          <w:tcPr>
            <w:tcW w:w="607" w:type="dxa"/>
            <w:tcBorders/>
            <w:shd w:fill="auto" w:val="clear"/>
            <w:vAlign w:val="bottom"/>
          </w:tcPr>
          <w:p>
            <w:pPr>
              <w:pStyle w:val="TableContents"/>
              <w:spacing w:before="0" w:after="283"/>
              <w:jc w:val="right"/>
              <w:rPr/>
            </w:pPr>
            <w:r>
              <w:rPr/>
              <w:t>(35</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1,225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170,140</w:t>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Issuance of Common Stock to 401(k) plan</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2</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27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27</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0"/>
              <w:ind w:left="450" w:right="0" w:hanging="225"/>
              <w:rPr/>
            </w:pPr>
            <w:r>
              <w:rPr/>
              <w:t>Stock compensation</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3,627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3,627</w:t>
            </w:r>
          </w:p>
        </w:tc>
        <w:tc>
          <w:tcPr>
            <w:tcW w:w="95" w:type="dxa"/>
            <w:tcBorders/>
            <w:shd w:fill="auto" w:val="clear"/>
            <w:vAlign w:val="bottom"/>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Stock options and warrants exercised</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819</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1,454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1,462</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0"/>
              <w:ind w:left="450" w:right="0" w:hanging="225"/>
              <w:rPr/>
            </w:pPr>
            <w:r>
              <w:rPr/>
              <w:t>Excess tax benefit from share-based compensation</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1,418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1,418</w:t>
            </w:r>
          </w:p>
        </w:tc>
        <w:tc>
          <w:tcPr>
            <w:tcW w:w="95" w:type="dxa"/>
            <w:tcBorders/>
            <w:shd w:fill="auto" w:val="clear"/>
            <w:vAlign w:val="bottom"/>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Foreign currency translation adjustment</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1,377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1,377</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bottom"/>
          </w:tcPr>
          <w:p>
            <w:pPr>
              <w:pStyle w:val="TableContents"/>
              <w:spacing w:before="0" w:after="0"/>
              <w:ind w:left="450" w:right="0" w:hanging="225"/>
              <w:rPr/>
            </w:pPr>
            <w:r>
              <w:rPr/>
              <w:t>Net income</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37,874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37,874</w:t>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74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12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04"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20" w:type="dxa"/>
            <w:tcBorders/>
            <w:shd w:fill="CCEEFF" w:val="clear"/>
            <w:vAlign w:val="bottom"/>
          </w:tcPr>
          <w:p>
            <w:pPr>
              <w:pStyle w:val="TableContents"/>
              <w:spacing w:before="0" w:after="0"/>
              <w:ind w:left="450" w:right="0" w:hanging="225"/>
              <w:rPr/>
            </w:pPr>
            <w:r>
              <w:rPr/>
              <w:t>Total comprehensive income</w:t>
            </w:r>
          </w:p>
        </w:tc>
        <w:tc>
          <w:tcPr>
            <w:tcW w:w="6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39,251</w:t>
            </w:r>
          </w:p>
        </w:tc>
        <w:tc>
          <w:tcPr>
            <w:tcW w:w="95" w:type="dxa"/>
            <w:tcBorders/>
            <w:shd w:fill="CCEEFF" w:val="clear"/>
            <w:vAlign w:val="bottom"/>
          </w:tcPr>
          <w:p>
            <w:pPr>
              <w:pStyle w:val="TableContents"/>
              <w:spacing w:before="0" w:after="283"/>
              <w:rPr/>
            </w:pPr>
            <w:r>
              <w:rPr/>
              <w:t> </w:t>
            </w:r>
          </w:p>
        </w:tc>
      </w:tr>
      <w:tr>
        <w:trPr/>
        <w:tc>
          <w:tcPr>
            <w:tcW w:w="12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8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220" w:type="dxa"/>
            <w:tcBorders/>
            <w:shd w:fill="auto" w:val="clear"/>
            <w:vAlign w:val="bottom"/>
          </w:tcPr>
          <w:p>
            <w:pPr>
              <w:pStyle w:val="TableContents"/>
              <w:spacing w:before="0" w:after="0"/>
              <w:ind w:left="225" w:right="0" w:hanging="225"/>
              <w:rPr/>
            </w:pPr>
            <w:r>
              <w:rPr/>
              <w:t>Balances at Sept. 30, 2007</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41,333</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433" w:type="dxa"/>
            <w:tcBorders/>
            <w:shd w:fill="auto" w:val="clear"/>
            <w:vAlign w:val="bottom"/>
          </w:tcPr>
          <w:p>
            <w:pPr>
              <w:pStyle w:val="TableContents"/>
              <w:spacing w:before="0" w:after="283"/>
              <w:jc w:val="right"/>
              <w:rPr/>
            </w:pPr>
            <w:r>
              <w:rPr/>
              <w:t>413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131,098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81,847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06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w:t>
            </w:r>
          </w:p>
        </w:tc>
        <w:tc>
          <w:tcPr>
            <w:tcW w:w="607" w:type="dxa"/>
            <w:tcBorders/>
            <w:shd w:fill="auto" w:val="clear"/>
            <w:vAlign w:val="bottom"/>
          </w:tcPr>
          <w:p>
            <w:pPr>
              <w:pStyle w:val="TableContents"/>
              <w:spacing w:before="0" w:after="283"/>
              <w:jc w:val="right"/>
              <w:rPr/>
            </w:pPr>
            <w:r>
              <w:rPr/>
              <w:t>(35</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jc w:val="left"/>
              <w:rPr/>
            </w:pPr>
            <w:r>
              <w:rPr/>
              <w:t>$</w:t>
            </w:r>
          </w:p>
        </w:tc>
        <w:tc>
          <w:tcPr>
            <w:tcW w:w="1204" w:type="dxa"/>
            <w:tcBorders/>
            <w:shd w:fill="auto" w:val="clear"/>
            <w:vAlign w:val="bottom"/>
          </w:tcPr>
          <w:p>
            <w:pPr>
              <w:pStyle w:val="TableContents"/>
              <w:spacing w:before="0" w:after="283"/>
              <w:jc w:val="right"/>
              <w:rPr/>
            </w:pPr>
            <w:r>
              <w:rPr/>
              <w:t>2,602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215,925</w:t>
            </w:r>
          </w:p>
        </w:tc>
        <w:tc>
          <w:tcPr>
            <w:tcW w:w="95" w:type="dxa"/>
            <w:tcBorders/>
            <w:shd w:fill="auto" w:val="clear"/>
            <w:vAlign w:val="bottom"/>
          </w:tcPr>
          <w:p>
            <w:pPr>
              <w:pStyle w:val="TableContents"/>
              <w:spacing w:before="0" w:after="283"/>
              <w:rPr/>
            </w:pPr>
            <w:r>
              <w:rPr/>
              <w:t> </w:t>
            </w:r>
          </w:p>
        </w:tc>
      </w:tr>
      <w:tr>
        <w:trPr/>
        <w:tc>
          <w:tcPr>
            <w:tcW w:w="12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8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5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i/>
          <w:sz w:val="17"/>
        </w:rPr>
        <w:t>See accompanying notes to consolidated financial statements.</w:t>
      </w:r>
      <w:r>
        <w:rPr>
          <w:rFonts w:ascii="Helvetica;Arial;sans-serif" w:hAnsi="Helvetica;Arial;sans-serif"/>
          <w:sz w:val="17"/>
        </w:rPr>
        <w:t xml:space="preserve"> </w:t>
      </w:r>
    </w:p>
    <w:p>
      <w:pPr>
        <w:pStyle w:val="TextBody"/>
        <w:jc w:val="center"/>
        <w:rPr>
          <w:rFonts w:ascii="Helvetica;Arial;sans-serif" w:hAnsi="Helvetica;Arial;sans-serif"/>
          <w:sz w:val="17"/>
        </w:rPr>
      </w:pPr>
      <w:r>
        <w:rPr>
          <w:rFonts w:ascii="Helvetica;Arial;sans-serif" w:hAnsi="Helvetica;Arial;sans-serif"/>
          <w:sz w:val="17"/>
        </w:rPr>
        <w:t xml:space="preserve">50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r>
        <w:rPr>
          <w:rFonts w:ascii="Helvetica;Arial;sans-serif" w:hAnsi="Helvetica;Arial;sans-serif"/>
          <w:b/>
          <w:smallCaps/>
          <w:sz w:val="17"/>
        </w:rPr>
        <w:t>EZCORP, Inc.</w:t>
      </w:r>
      <w:r>
        <w:rPr>
          <w:rFonts w:ascii="Helvetica;Arial;sans-serif" w:hAnsi="Helvetica;Arial;sans-serif"/>
          <w:sz w:val="17"/>
        </w:rPr>
        <w:t xml:space="preserve"> </w:t>
      </w:r>
    </w:p>
    <w:p>
      <w:pPr>
        <w:pStyle w:val="TextBody"/>
        <w:spacing w:before="0" w:after="0"/>
        <w:jc w:val="center"/>
        <w:rPr>
          <w:rFonts w:ascii="Helvetica;Arial;sans-serif" w:hAnsi="Helvetica;Arial;sans-serif"/>
          <w:b/>
          <w:smallCaps/>
          <w:sz w:val="17"/>
        </w:rPr>
      </w:pPr>
      <w:bookmarkStart w:id="21" w:name="305"/>
      <w:bookmarkEnd w:id="21"/>
      <w:r>
        <w:rPr>
          <w:rFonts w:ascii="Helvetica;Arial;sans-serif" w:hAnsi="Helvetica;Arial;sans-serif"/>
          <w:b/>
          <w:smallCaps/>
          <w:sz w:val="17"/>
        </w:rPr>
        <w:t>Notes to Consolidated Financial Statements</w:t>
      </w:r>
    </w:p>
    <w:p>
      <w:pPr>
        <w:pStyle w:val="TextBody"/>
        <w:spacing w:before="240" w:after="283"/>
        <w:jc w:val="left"/>
        <w:rPr>
          <w:rFonts w:ascii="Helvetica;Arial;sans-serif" w:hAnsi="Helvetica;Arial;sans-serif"/>
          <w:sz w:val="17"/>
        </w:rPr>
      </w:pPr>
      <w:r>
        <w:rPr>
          <w:rFonts w:ascii="Helvetica;Arial;sans-serif" w:hAnsi="Helvetica;Arial;sans-serif"/>
          <w:b/>
          <w:sz w:val="17"/>
        </w:rPr>
        <w:t>Note A: Organization and Summary of Significant Accounting Policies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i/>
          <w:sz w:val="17"/>
        </w:rPr>
        <w:t>Organization</w:t>
      </w:r>
      <w:r>
        <w:rPr>
          <w:rFonts w:ascii="Helvetica;Arial;sans-serif" w:hAnsi="Helvetica;Arial;sans-serif"/>
          <w:sz w:val="17"/>
        </w:rPr>
        <w:t xml:space="preserve">: We lend or provide credit services to individuals who do not have cash resources or access to credit to meet their short-term cash needs. We offer pawn loans in 294 domestic pawn stores and four Mexico pawn stores open at September 30, 2007. Pawn loans are non-recourse loans collateralized by tangible personal property. At these stores, we also sell merchandise, primarily collateral forfeited from our pawn lending operations, to customers looking for good value. In 433 EZMONEY stores and 75 of our domestic pawn stores open September 30, 2007, we offer short-term non-collateralized loans, often called payday loans, or fee-based credit services to customers seeking loans (collectively, signature loans). We commenced our fee-based credit services July 15, 2005.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Consolidation: </w:t>
      </w:r>
      <w:r>
        <w:rPr>
          <w:rFonts w:ascii="Helvetica;Arial;sans-serif" w:hAnsi="Helvetica;Arial;sans-serif"/>
          <w:sz w:val="17"/>
        </w:rPr>
        <w:t xml:space="preserve">The consolidated financial statements include the accounts of EZCORP, Inc. and its wholly owned subsidiaries. All significant inter-company accounts and transactions have been eliminated in consolidation. We account for our interest in Albemarle &amp; Bond Holdings, plc (A&amp;B) using the equity method.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Stock Split: </w:t>
      </w:r>
      <w:r>
        <w:rPr>
          <w:rFonts w:ascii="Helvetica;Arial;sans-serif" w:hAnsi="Helvetica;Arial;sans-serif"/>
          <w:sz w:val="17"/>
        </w:rPr>
        <w:t xml:space="preserve">In November 2006, our Board of Directors approved a three-for-one stock split of our two classes of common stock to shareholders of record as of November 27, 2006. The additional shares were distributed on December 11, 2006. All shares and amounts per share in this report have been adjusted to reflect the split.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Pawn Loan and Sales Revenue Recognition: </w:t>
      </w:r>
      <w:r>
        <w:rPr>
          <w:rFonts w:ascii="Helvetica;Arial;sans-serif" w:hAnsi="Helvetica;Arial;sans-serif"/>
          <w:sz w:val="17"/>
        </w:rPr>
        <w:t xml:space="preserve">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to three months. Unexpected variations in any of these factors could change our estimate of collectible loans, affecting our earnings and financial condition. If a pawn loan is not repaid, we value the forfeited collateral (inventory) at the lower of cost (pawn loan principal) or market (net realizable value) of the property. We record sales revenue and the related cost when this inventory is sold.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Credit Service Revenue Recognition: </w:t>
      </w:r>
      <w:r>
        <w:rPr>
          <w:rFonts w:ascii="Helvetica;Arial;sans-serif" w:hAnsi="Helvetica;Arial;sans-serif"/>
          <w:sz w:val="17"/>
        </w:rPr>
        <w:t xml:space="preserve">We earn credit service fees when we assist customers in obtaining loans from unaffiliated lenders. We accrue the percentage of credit service fees we expect to collect. Accrued fees related to defaulted loans reduce credit service fee revenue upon loan default, and increase credit service fee revenue upon collection. Credit service revenue is included in Signature loan fees on our statements of operations.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Credit Service Bad Debt: </w:t>
      </w:r>
      <w:r>
        <w:rPr>
          <w:rFonts w:ascii="Helvetica;Arial;sans-serif" w:hAnsi="Helvetica;Arial;sans-serif"/>
          <w:sz w:val="17"/>
        </w:rPr>
        <w:t xml:space="preserve">We issue letters of credit to enhance the creditworthiness of our credit service customers seeking loans from unaffiliated lenders. The letters of credit assure the lenders that if borrowers default on the loans, we will pay the lenders, upon demand, the principal and accrued interest owed it by the borrowers plus any insufficient funds fee.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for 60 days, we generally sell them to an unaffiliated company on a weekly basis as another method of recovery. We account for the sale of defaulted accounts in the same manner as internal collections of defaulted accounts.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majority of our credit service customers obtain short-term loans with a single maturity date. These short-term loans, with maturity dates averaging about 18 days, are considered defaulted if they have not been repaid or renewed by the maturity date. Other credit service customers obtain installment loans with a series of payments due over as much as a five-month period. If one payment of an installment loan is delinquent, that one payment is considered defaulted. If more than one installment payment is delinquent at any time, the entire loan is considered defaulted. </w:t>
      </w:r>
    </w:p>
    <w:p>
      <w:pPr>
        <w:pStyle w:val="TextBody"/>
        <w:jc w:val="center"/>
        <w:rPr>
          <w:rFonts w:ascii="Helvetica;Arial;sans-serif" w:hAnsi="Helvetica;Arial;sans-serif"/>
          <w:sz w:val="17"/>
        </w:rPr>
      </w:pPr>
      <w:r>
        <w:rPr>
          <w:rFonts w:ascii="Helvetica;Arial;sans-serif" w:hAnsi="Helvetica;Arial;sans-serif"/>
          <w:sz w:val="17"/>
        </w:rPr>
        <w:t xml:space="preserve">51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Credit Service Allowance for Losses: </w:t>
      </w:r>
      <w:r>
        <w:rPr>
          <w:rFonts w:ascii="Helvetica;Arial;sans-serif" w:hAnsi="Helvetica;Arial;sans-serif"/>
          <w:sz w:val="17"/>
        </w:rPr>
        <w:t xml:space="preserve">We also provide an allowance for losses we expect to incur under letters of credit for loans that have not yet matured. The allowance is based on recent loan default experience adjusted for seasonal variations. It includes all amounts we expect to pay to the unaffiliated lenders upon loan default, including loan principal, accrued interest and insufficient funds fees, net of the amounts we expect to collect from borrowers (Expected LOC Losses). Changes in the allowance are charged to signature loan bad debt expense. We include the balance of Expected LOC Losses in Accounts payable and other accrued expenses on our balance sheet. At September 30, 2007, the allowance for Expected LOC Losses was $1.2 million. At that date, our maximum exposure for losses on letters of credit, if all brokered loans defaulted and none was collected, was $24.7 million. This amount includes principal, interest and insufficient funds fees. Based on the expected loss and collection percentages, we also provide an allowance for the credit service fees we expect not to collect, and charge changes in this allowance to signature loan fee revenue.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Payday Loan Revenue Recognition: </w:t>
      </w:r>
      <w:r>
        <w:rPr>
          <w:rFonts w:ascii="Helvetica;Arial;sans-serif" w:hAnsi="Helvetica;Arial;sans-serif"/>
          <w:sz w:val="17"/>
        </w:rPr>
        <w:t xml:space="preserve">We accrue fees on the percentage of payday loans we believe to be collectible using the interest method. Accrued fees related to defaulted loans reduce fee revenue upon loan default, and increase fee revenue upon collection. Payday loan fee revenue is included in Signature loan fees on our statements of operations.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Payday Loan Bad Debt: </w:t>
      </w:r>
      <w:r>
        <w:rPr>
          <w:rFonts w:ascii="Helvetica;Arial;sans-serif" w:hAnsi="Helvetica;Arial;sans-serif"/>
          <w:sz w:val="17"/>
        </w:rPr>
        <w:t xml:space="preserve">We consider a loan defaulted if it has not been repaid or renewed by the maturity date. Although defaulted loans may 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for 60 days, we generally sell them to an unaffiliated company on a weekly basis as another method of recovery. We account for the sale of defaulted loans in the same manner as internal collections of defaulted loans.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Payday Loan Allowance for Losses: </w:t>
      </w:r>
      <w:r>
        <w:rPr>
          <w:rFonts w:ascii="Helvetica;Arial;sans-serif" w:hAnsi="Helvetica;Arial;sans-serif"/>
          <w:sz w:val="17"/>
        </w:rPr>
        <w:t xml:space="preserve">We also provide an allowance for losses on payday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Cash and Cash Equivalents: </w:t>
      </w:r>
      <w:r>
        <w:rPr>
          <w:rFonts w:ascii="Helvetica;Arial;sans-serif" w:hAnsi="Helvetica;Arial;sans-serif"/>
          <w:sz w:val="17"/>
        </w:rPr>
        <w:t xml:space="preserve">We consider investments with maturities of 90 days or less when purchased to be cash equivalents.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Inventory: </w:t>
      </w:r>
      <w:r>
        <w:rPr>
          <w:rFonts w:ascii="Helvetica;Arial;sans-serif" w:hAnsi="Helvetica;Arial;sans-serif"/>
          <w:sz w:val="17"/>
        </w:rPr>
        <w:t xml:space="preserve">If a pawn loan is not redeemed, we record the forfeited collateral at cost. We do not record loan loss allowances or charge-offs on the principal portion of pawn loans, as they are fully collateralized. In order to state inventory at the lower of cost (specific identification) or market (net realizable value), we record an allowance for shrinkage and excess, obsolete or slow moving inventory. The allowance is based on the type and age of merchandise and recent sales trends and margins. At September 30, 2007, the inventory valuation allowance was $3.8 million, or 9% of gross inventory. We record changes in the inventory valuation allowance as cost of goods sold.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Software Development Costs: </w:t>
      </w:r>
      <w:r>
        <w:rPr>
          <w:rFonts w:ascii="Helvetica;Arial;sans-serif" w:hAnsi="Helvetica;Arial;sans-serif"/>
          <w:sz w:val="17"/>
        </w:rPr>
        <w:t xml:space="preserve">We account for internal software development costs in accordance with the American Institute of Certified Public Accountants (AICPA) Statement of Position (SOP) No. 98-1, Accounting for the Costs of Computer Software Developed for or Obtained for Internal Use, which requires the capitalization of certain costs incurred in connection with developing or obtaining software for internal use. During 2005, 2006 and 2007 approximately $196,000, $288,000 and $874,000 was capitalized in connection with the development and acquisition of internal software systems. No interest was capitalized in 2005, 2006 or 2007. Capitalized costs are amortized by the straight-line method over the estimated useful lives of each system, ranging from five to eight years.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Customer Layaway Deposits: </w:t>
      </w:r>
      <w:r>
        <w:rPr>
          <w:rFonts w:ascii="Helvetica;Arial;sans-serif" w:hAnsi="Helvetica;Arial;sans-serif"/>
          <w:sz w:val="17"/>
        </w:rPr>
        <w:t xml:space="preserve">Customer layaway deposits are recorded as deferred revenue until we collect the entire related sales price and deliver the related merchandise to the customer. </w:t>
      </w:r>
    </w:p>
    <w:p>
      <w:pPr>
        <w:pStyle w:val="TextBody"/>
        <w:jc w:val="center"/>
        <w:rPr>
          <w:rFonts w:ascii="Helvetica;Arial;sans-serif" w:hAnsi="Helvetica;Arial;sans-serif"/>
          <w:sz w:val="17"/>
        </w:rPr>
      </w:pPr>
      <w:r>
        <w:rPr>
          <w:rFonts w:ascii="Helvetica;Arial;sans-serif" w:hAnsi="Helvetica;Arial;sans-serif"/>
          <w:sz w:val="17"/>
        </w:rPr>
        <w:t xml:space="preserve">52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Property and Equipment: </w:t>
      </w:r>
      <w:r>
        <w:rPr>
          <w:rFonts w:ascii="Helvetica;Arial;sans-serif" w:hAnsi="Helvetica;Arial;sans-serif"/>
          <w:sz w:val="17"/>
        </w:rPr>
        <w:t xml:space="preserve">We record property and equipment at cost. We depreciate these assets on a straight-line basis using estimated useful lives of 30 years for buildings and 2 to 8 years for furniture, equipment, and software development costs. We depreciate leasehold improvements over the shorter of their estimated useful life  typically 10 years  or the reasonably assured lease term at the inception of the lease. Property and equipment is shown net of accumulated depreciation of $75.5 million and $84.7 million at September 30, 2006 and 2007.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Intangible Assets: </w:t>
      </w:r>
      <w:r>
        <w:rPr>
          <w:rFonts w:ascii="Helvetica;Arial;sans-serif" w:hAnsi="Helvetica;Arial;sans-serif"/>
          <w:sz w:val="17"/>
        </w:rPr>
        <w:t xml:space="preserve">Goodwill and other intangible assets having indefinite lives are not subject to amortization. They are tested for impairment each July 1st, or more frequently if events or changes in circumstances indicate that they might be impaired. We recognized no impairment of our intangible assets in fiscal 2005, 2006, or 2007. We amortize intangible assets with definite lives over their estimated useful lives.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Valuation of Tangible Long-Lived Assets: </w:t>
      </w:r>
      <w:r>
        <w:rPr>
          <w:rFonts w:ascii="Helvetica;Arial;sans-serif" w:hAnsi="Helvetica;Arial;sans-serif"/>
          <w:sz w:val="17"/>
        </w:rPr>
        <w:t xml:space="preserve">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or significant negative industry trends. When we determine that the net recorded amount of tangible long-lived assets may not be recoverable, we measure impairment based on the excess of the assets net recorded amount over the estimated fair value. No impairment of tangible long-lived assets was recognized in fiscal 2005, 2006 or 2007.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Fair Value of Financial Instruments: </w:t>
      </w:r>
      <w:r>
        <w:rPr>
          <w:rFonts w:ascii="Helvetica;Arial;sans-serif" w:hAnsi="Helvetica;Arial;sans-serif"/>
          <w:sz w:val="17"/>
        </w:rPr>
        <w:t xml:space="preserve">We determine the fair value of financial instruments by reference to various market data and other valuation techniques, as appropriate. Unless otherwise disclosed, the fair values of financial instruments approximate their recorded values, due primarily to their short-term nature. We consider investments with maturities of 90 days or less when purchased to be cash equivalents.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Foreign Currency Translation: </w:t>
      </w:r>
      <w:r>
        <w:rPr>
          <w:rFonts w:ascii="Helvetica;Arial;sans-serif" w:hAnsi="Helvetica;Arial;sans-serif"/>
          <w:sz w:val="17"/>
        </w:rPr>
        <w:t xml:space="preserve">Our equity investment in A&amp;B is translated into U.S. dollars at the exchange rate as of A&amp;Bs balance sheet date of June 30. The related interest in A&amp;Bs net income is translated at the average exchange rate for each six-month period reported by A&amp;B. We present resulting translation adjustments as a separate component of stockholders equity.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Cost of Goods Sold: </w:t>
      </w:r>
      <w:r>
        <w:rPr>
          <w:rFonts w:ascii="Helvetica;Arial;sans-serif" w:hAnsi="Helvetica;Arial;sans-serif"/>
          <w:sz w:val="17"/>
        </w:rPr>
        <w:t xml:space="preserve">We include in cost of goods sold the historical cost of inventory sold, inventory shrinkage and any change in the allowance for inventory shrinkage and valuation. We also include the cost of operating our central jewelry processing unit, as it relates directly to sales of precious metals to refiners.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Operations Expense: </w:t>
      </w:r>
      <w:r>
        <w:rPr>
          <w:rFonts w:ascii="Helvetica;Arial;sans-serif" w:hAnsi="Helvetica;Arial;sans-serif"/>
          <w:sz w:val="17"/>
        </w:rPr>
        <w:t xml:space="preserve">Included in operations expense are costs related to operating our stores. These costs include labor, other direct expenses such as utilities, supplies and banking fees, and indirect expenses such as store rent, building repairs and maintenance, advertising and store property taxes and insurance.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Administrative Expense: </w:t>
      </w:r>
      <w:r>
        <w:rPr>
          <w:rFonts w:ascii="Helvetica;Arial;sans-serif" w:hAnsi="Helvetica;Arial;sans-serif"/>
          <w:sz w:val="17"/>
        </w:rPr>
        <w:t xml:space="preserve">Included in administrative expense are costs related to our executive and administrative offices. This includes executive, administrative and regional salaries, wages and incentive compensation, professional fees, license fees and costs related to the operation of our administrative offices such as rent, property taxes, insurance, and information technology. Also included in administrative expense are costs of our bad debt collection center. </w:t>
      </w:r>
    </w:p>
    <w:p>
      <w:pPr>
        <w:pStyle w:val="TextBody"/>
        <w:spacing w:before="120" w:after="283"/>
        <w:jc w:val="left"/>
        <w:rPr>
          <w:rFonts w:ascii="Helvetica;Arial;sans-serif" w:hAnsi="Helvetica;Arial;sans-serif"/>
          <w:sz w:val="17"/>
        </w:rPr>
      </w:pPr>
      <w:r>
        <w:rPr>
          <w:rFonts w:ascii="Helvetica;Arial;sans-serif" w:hAnsi="Helvetica;Arial;sans-serif"/>
          <w:b/>
          <w:i/>
          <w:sz w:val="17"/>
        </w:rPr>
        <w:t>Advertising</w:t>
      </w:r>
      <w:r>
        <w:rPr>
          <w:rFonts w:ascii="Helvetica;Arial;sans-serif" w:hAnsi="Helvetica;Arial;sans-serif"/>
          <w:b/>
          <w:sz w:val="17"/>
        </w:rPr>
        <w:t xml:space="preserve">: </w:t>
      </w:r>
      <w:r>
        <w:rPr>
          <w:rFonts w:ascii="Helvetica;Arial;sans-serif" w:hAnsi="Helvetica;Arial;sans-serif"/>
          <w:sz w:val="17"/>
        </w:rPr>
        <w:t xml:space="preserve">We expense advertising costs as incurred. Advertising expense was approximately $1,440,000, $1,041,000 and $1,968,000 for fiscal 2005, 2006 and 2007.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Income Taxes: </w:t>
      </w:r>
      <w:r>
        <w:rPr>
          <w:rFonts w:ascii="Helvetica;Arial;sans-serif" w:hAnsi="Helvetica;Arial;sans-serif"/>
          <w:sz w:val="17"/>
        </w:rPr>
        <w:t xml:space="preserve">We calculate the provision for federal income taxes based on our estimate of the effective tax rate for the full fiscal year. As part of the process of preparing the financial statements, we estimate income taxes in each jurisdiction in which we operate. This involves estimating the actual current tax liability and assessing temporary differences in recognition of income for tax and accounting purposes. These differences result in deferred tax assets and liabilities that we include in our balance sheet. Quarterly, we then assess the likelihood that the deferred tax assets will be recovered from future </w:t>
      </w:r>
    </w:p>
    <w:p>
      <w:pPr>
        <w:pStyle w:val="TextBody"/>
        <w:jc w:val="center"/>
        <w:rPr>
          <w:rFonts w:ascii="Helvetica;Arial;sans-serif" w:hAnsi="Helvetica;Arial;sans-serif"/>
          <w:sz w:val="17"/>
        </w:rPr>
      </w:pPr>
      <w:r>
        <w:rPr>
          <w:rFonts w:ascii="Helvetica;Arial;sans-serif" w:hAnsi="Helvetica;Arial;sans-serif"/>
          <w:sz w:val="17"/>
        </w:rPr>
        <w:t xml:space="preserve">53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taxable income. If we determined we would not be able to realize all or part of our net deferred tax assets in the future, an increase to the valuation allowance would be charged to the income tax provision in that period. Likewise, if we determined we would be able to realize our deferred tax assets in the future in excess of the net recorded amount, a decrease to the valuation allowance would decrease the tax provision in that period. Our valuation allowance was $0.4 million at September 30, 2006 and 2007. </w:t>
      </w:r>
    </w:p>
    <w:p>
      <w:pPr>
        <w:pStyle w:val="TextBody"/>
        <w:spacing w:before="120" w:after="283"/>
        <w:jc w:val="left"/>
        <w:rPr>
          <w:rFonts w:ascii="Helvetica;Arial;sans-serif" w:hAnsi="Helvetica;Arial;sans-serif"/>
          <w:sz w:val="17"/>
        </w:rPr>
      </w:pPr>
      <w:r>
        <w:rPr>
          <w:rFonts w:ascii="Helvetica;Arial;sans-serif" w:hAnsi="Helvetica;Arial;sans-serif"/>
          <w:b/>
          <w:i/>
          <w:sz w:val="17"/>
        </w:rPr>
        <w:t>Share-Based Compensation</w:t>
      </w:r>
      <w:r>
        <w:rPr>
          <w:rFonts w:ascii="Helvetica;Arial;sans-serif" w:hAnsi="Helvetica;Arial;sans-serif"/>
          <w:b/>
          <w:sz w:val="17"/>
        </w:rPr>
        <w:t xml:space="preserve">: </w:t>
      </w:r>
      <w:r>
        <w:rPr>
          <w:rFonts w:ascii="Helvetica;Arial;sans-serif" w:hAnsi="Helvetica;Arial;sans-serif"/>
          <w:sz w:val="17"/>
        </w:rPr>
        <w:t xml:space="preserve">We account for share-based compensation in accordance with the fair value recognition provisions of SFAS No. 123(R), Share-based Payment. We estimate the grant-date fair value of options using the Black-Scholes-Merton option-pricing model and amortize that fair value to compensation expense on a straight-line basis over the options vesting periods.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Prior to October 1, 2005, we accounted for share-based compensation according to Accounting Principles Board Opinion No. 25, Accounting for Stock Issued to Employees and related interpretations (APB 25). For periods prior to October 1, 2005, we recognized share-based employee compensation cost in the Statement of Operations only for restricted stock grants and options granted at prices below market price on the date of grant.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Segments: </w:t>
      </w:r>
      <w:r>
        <w:rPr>
          <w:rFonts w:ascii="Helvetica;Arial;sans-serif" w:hAnsi="Helvetica;Arial;sans-serif"/>
          <w:sz w:val="17"/>
        </w:rPr>
        <w:t xml:space="preserve">We account for our operations in accordance with SFAS No. 131, Disclosures about Segments of an Enterprise and Related Information. Prior to fiscal 2007, we had a single reportable segment. Effective October 1, 2006, we reorganized our operations and internal reporting to manage it as two separate segments. See Note R for further discussion and separate data for each segment. </w:t>
      </w:r>
    </w:p>
    <w:p>
      <w:pPr>
        <w:pStyle w:val="TextBody"/>
        <w:spacing w:before="120" w:after="283"/>
        <w:jc w:val="left"/>
        <w:rPr>
          <w:rFonts w:ascii="Helvetica;Arial;sans-serif" w:hAnsi="Helvetica;Arial;sans-serif"/>
          <w:sz w:val="17"/>
        </w:rPr>
      </w:pPr>
      <w:r>
        <w:rPr>
          <w:rFonts w:ascii="Helvetica;Arial;sans-serif" w:hAnsi="Helvetica;Arial;sans-serif"/>
          <w:b/>
          <w:i/>
          <w:sz w:val="17"/>
        </w:rPr>
        <w:t>Use of Estimates</w:t>
      </w:r>
      <w:r>
        <w:rPr>
          <w:rFonts w:ascii="Helvetica;Arial;sans-serif" w:hAnsi="Helvetica;Arial;sans-serif"/>
          <w:b/>
          <w:sz w:val="17"/>
        </w:rPr>
        <w:t xml:space="preserve">: </w:t>
      </w:r>
      <w:r>
        <w:rPr>
          <w:rFonts w:ascii="Helvetica;Arial;sans-serif" w:hAnsi="Helvetica;Arial;sans-serif"/>
          <w:sz w:val="17"/>
        </w:rPr>
        <w:t xml:space="preserve">Generally accepted accounting principles require us to make estimates and assumptions that affect the amounts reported in the financial statements and accompanying notes. Actual results could differ materially from those estimates. </w:t>
      </w:r>
    </w:p>
    <w:p>
      <w:pPr>
        <w:pStyle w:val="TextBody"/>
        <w:spacing w:before="120" w:after="283"/>
        <w:jc w:val="left"/>
        <w:rPr>
          <w:rFonts w:ascii="Helvetica;Arial;sans-serif" w:hAnsi="Helvetica;Arial;sans-serif"/>
          <w:sz w:val="17"/>
        </w:rPr>
      </w:pPr>
      <w:r>
        <w:rPr>
          <w:rFonts w:ascii="Helvetica;Arial;sans-serif" w:hAnsi="Helvetica;Arial;sans-serif"/>
          <w:b/>
          <w:i/>
          <w:sz w:val="17"/>
        </w:rPr>
        <w:t xml:space="preserve">Reclassifications: </w:t>
      </w:r>
      <w:r>
        <w:rPr>
          <w:rFonts w:ascii="Helvetica;Arial;sans-serif" w:hAnsi="Helvetica;Arial;sans-serif"/>
          <w:sz w:val="17"/>
        </w:rPr>
        <w:t xml:space="preserve">We reclassified certain prior year financial statement balances to conform to the current year presentation. </w:t>
      </w:r>
    </w:p>
    <w:p>
      <w:pPr>
        <w:pStyle w:val="TextBody"/>
        <w:spacing w:before="120" w:after="283"/>
        <w:jc w:val="left"/>
        <w:rPr>
          <w:rFonts w:ascii="Helvetica;Arial;sans-serif" w:hAnsi="Helvetica;Arial;sans-serif"/>
          <w:sz w:val="17"/>
        </w:rPr>
      </w:pPr>
      <w:r>
        <w:rPr>
          <w:rFonts w:ascii="Helvetica;Arial;sans-serif" w:hAnsi="Helvetica;Arial;sans-serif"/>
          <w:b/>
          <w:i/>
          <w:sz w:val="17"/>
        </w:rPr>
        <w:t>Recently Issued Accounting Pronouncements:</w:t>
      </w:r>
      <w:r>
        <w:rPr>
          <w:rFonts w:ascii="Helvetica;Arial;sans-serif" w:hAnsi="Helvetica;Arial;sans-serif"/>
          <w:sz w:val="17"/>
        </w:rPr>
        <w:t xml:space="preserve"> In June 2006, the Financial Accounting Standards Board (FASB) issued Interpretation No. 48, Accounting for Uncertainty in Income Taxes (FIN 48). To be recognized in the financial statements, FIN 48 requires that a tax position is more-likely-than-not to be sustained in an audit, based on the technical merits of the position. In making the determination of sustainability, we must presume the appropriate taxing authority with full knowledge of all relevant information will audit our tax positions. FIN 48 also prescribes how the benefit should be measured, including the consideration of any penalties and interest. It requires that the new standard be applied to the balances of tax assets and liabilities as of the beginning of the period of adoption and that a corresponding adjustment be made to the opening balance of retained earnings. We must adopt FIN 48 in the fiscal year ending September 30, 2008. Upon adoption on October 1, 2007, we anticipate recording a FIN 48 liability for uncertain tax positions of approximately $0.1 million with an offsetting reduction to our beginning retained earnings at that date. It will not impact our income or cash flows.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September 2006, the FASB issued SFAS No. 157, Fair Value Measurements. Among other requirements, SFAS No. 157 defines fair value, establishes a framework for measuring fair value and expands disclosure about the use of fair value to measure assets and liabilities. We must adopt SFAS No. 157 in our fiscal year ending September 30, 2009. We are currently evaluating the impact, if any, of SFAS No. 157 on our financial position and results of operations. It will not impact our cash flows. </w:t>
      </w:r>
    </w:p>
    <w:p>
      <w:pPr>
        <w:pStyle w:val="TextBody"/>
        <w:jc w:val="center"/>
        <w:rPr>
          <w:rFonts w:ascii="Helvetica;Arial;sans-serif" w:hAnsi="Helvetica;Arial;sans-serif"/>
          <w:sz w:val="17"/>
        </w:rPr>
      </w:pPr>
      <w:r>
        <w:rPr>
          <w:rFonts w:ascii="Helvetica;Arial;sans-serif" w:hAnsi="Helvetica;Arial;sans-serif"/>
          <w:sz w:val="17"/>
        </w:rPr>
        <w:t xml:space="preserve">54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b/>
          <w:sz w:val="17"/>
        </w:rPr>
      </w:pPr>
      <w:r>
        <w:rPr>
          <w:rFonts w:ascii="Helvetica;Arial;sans-serif" w:hAnsi="Helvetica;Arial;sans-serif"/>
          <w:b/>
          <w:sz w:val="17"/>
        </w:rPr>
        <w:t>Note B: Acquisitions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June 18, 2007, we completed the acquisition of fifteen pawnshops and one signature loan store from Jumping Jack Cash in Colorado for $23.2 million of cash and direct transaction costs. The purchase price was allocated as follows </w:t>
      </w:r>
      <w:r>
        <w:rPr>
          <w:rFonts w:ascii="Helvetica;Arial;sans-serif" w:hAnsi="Helvetica;Arial;sans-serif"/>
          <w:i/>
          <w:sz w:val="17"/>
        </w:rPr>
        <w:t>(in thousands)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8721"/>
        <w:gridCol w:w="494"/>
        <w:gridCol w:w="144"/>
        <w:gridCol w:w="715"/>
        <w:gridCol w:w="131"/>
      </w:tblGrid>
      <w:tr>
        <w:trPr/>
        <w:tc>
          <w:tcPr>
            <w:tcW w:w="8721"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225" w:right="0" w:hanging="225"/>
              <w:rPr/>
            </w:pPr>
            <w:r>
              <w:rPr/>
              <w:t>Current assets:</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Pawn loans</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4,144</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450" w:right="0" w:hanging="225"/>
              <w:rPr/>
            </w:pPr>
            <w:r>
              <w:rPr/>
              <w:t>Payday loans, net</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106</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Pawn service charges receivable, net</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529</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450" w:right="0" w:hanging="225"/>
              <w:rPr/>
            </w:pPr>
            <w:r>
              <w:rPr/>
              <w:t>Signature loan fees receivable, net</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14</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Inventory, net</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1,735</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450" w:right="0" w:hanging="225"/>
              <w:rPr/>
            </w:pPr>
            <w:r>
              <w:rPr/>
              <w:t>Deferred tax asset</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194</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Prepaid expenses and other assets</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217</w:t>
            </w:r>
          </w:p>
        </w:tc>
        <w:tc>
          <w:tcPr>
            <w:tcW w:w="131" w:type="dxa"/>
            <w:tcBorders/>
            <w:shd w:fill="auto" w:val="clear"/>
            <w:vAlign w:val="bottom"/>
          </w:tcPr>
          <w:p>
            <w:pPr>
              <w:pStyle w:val="TableContents"/>
              <w:spacing w:before="0" w:after="283"/>
              <w:rPr/>
            </w:pPr>
            <w:r>
              <w:rPr/>
              <w:t> </w:t>
            </w:r>
          </w:p>
        </w:tc>
      </w:tr>
      <w:tr>
        <w:trPr/>
        <w:tc>
          <w:tcPr>
            <w:tcW w:w="8721"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8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225" w:right="0" w:hanging="225"/>
              <w:rPr/>
            </w:pPr>
            <w:r>
              <w:rPr/>
              <w:t>Total current assets</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6,939</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225" w:right="0" w:hanging="225"/>
              <w:rPr/>
            </w:pPr>
            <w:r>
              <w:rPr/>
              <w:t> </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Property and equipment</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423</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450" w:right="0" w:hanging="225"/>
              <w:rPr/>
            </w:pPr>
            <w:r>
              <w:rPr/>
              <w:t>Non-compete agreement</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500</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Goodwill</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15,443</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450" w:right="0" w:hanging="225"/>
              <w:rPr/>
            </w:pPr>
            <w:r>
              <w:rPr/>
              <w:t>Other assets, net</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20</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8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21" w:type="dxa"/>
            <w:tcBorders/>
            <w:shd w:fill="auto" w:val="clear"/>
            <w:vAlign w:val="bottom"/>
          </w:tcPr>
          <w:p>
            <w:pPr>
              <w:pStyle w:val="TableContents"/>
              <w:spacing w:before="0" w:after="0"/>
              <w:ind w:left="225" w:right="0" w:hanging="225"/>
              <w:rPr/>
            </w:pPr>
            <w:r>
              <w:rPr/>
              <w:t>Total assets</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23,325</w:t>
            </w:r>
          </w:p>
        </w:tc>
        <w:tc>
          <w:tcPr>
            <w:tcW w:w="131" w:type="dxa"/>
            <w:tcBorders/>
            <w:shd w:fill="auto"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225" w:right="0" w:hanging="225"/>
              <w:rPr/>
            </w:pPr>
            <w:r>
              <w:rPr/>
              <w:t> </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225" w:right="0" w:hanging="225"/>
              <w:rPr/>
            </w:pPr>
            <w:r>
              <w:rPr/>
              <w:t>Liabilities:</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Accrued liabilities</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(47</w:t>
            </w:r>
          </w:p>
        </w:tc>
        <w:tc>
          <w:tcPr>
            <w:tcW w:w="131" w:type="dxa"/>
            <w:tcBorders/>
            <w:shd w:fill="auto" w:val="clear"/>
            <w:vAlign w:val="bottom"/>
          </w:tcPr>
          <w:p>
            <w:pPr>
              <w:pStyle w:val="TableContents"/>
              <w:spacing w:before="0" w:after="283"/>
              <w:rPr/>
            </w:pPr>
            <w:r>
              <w:rPr/>
              <w:t>)</w:t>
            </w:r>
          </w:p>
        </w:tc>
      </w:tr>
      <w:tr>
        <w:trPr/>
        <w:tc>
          <w:tcPr>
            <w:tcW w:w="8721" w:type="dxa"/>
            <w:tcBorders/>
            <w:shd w:fill="CCEEFF" w:val="clear"/>
            <w:vAlign w:val="bottom"/>
          </w:tcPr>
          <w:p>
            <w:pPr>
              <w:pStyle w:val="TableContents"/>
              <w:spacing w:before="0" w:after="0"/>
              <w:ind w:left="450" w:right="0" w:hanging="225"/>
              <w:rPr/>
            </w:pPr>
            <w:r>
              <w:rPr/>
              <w:t>Customer deposits</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715" w:type="dxa"/>
            <w:tcBorders/>
            <w:shd w:fill="CCEEFF" w:val="clear"/>
            <w:vAlign w:val="bottom"/>
          </w:tcPr>
          <w:p>
            <w:pPr>
              <w:pStyle w:val="TableContents"/>
              <w:spacing w:before="0" w:after="283"/>
              <w:jc w:val="right"/>
              <w:rPr/>
            </w:pPr>
            <w:r>
              <w:rPr/>
              <w:t>(77</w:t>
            </w:r>
          </w:p>
        </w:tc>
        <w:tc>
          <w:tcPr>
            <w:tcW w:w="131" w:type="dxa"/>
            <w:tcBorders/>
            <w:shd w:fill="CCEEFF" w:val="clear"/>
            <w:vAlign w:val="bottom"/>
          </w:tcPr>
          <w:p>
            <w:pPr>
              <w:pStyle w:val="TableContents"/>
              <w:spacing w:before="0" w:after="283"/>
              <w:rPr/>
            </w:pPr>
            <w:r>
              <w:rPr/>
              <w:t>)</w:t>
            </w:r>
          </w:p>
        </w:tc>
      </w:tr>
      <w:tr>
        <w:trPr/>
        <w:tc>
          <w:tcPr>
            <w:tcW w:w="8721"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8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21" w:type="dxa"/>
            <w:tcBorders/>
            <w:shd w:fill="auto" w:val="clear"/>
            <w:vAlign w:val="bottom"/>
          </w:tcPr>
          <w:p>
            <w:pPr>
              <w:pStyle w:val="TableContents"/>
              <w:spacing w:before="0" w:after="0"/>
              <w:ind w:left="225" w:right="0" w:hanging="225"/>
              <w:rPr/>
            </w:pPr>
            <w:r>
              <w:rPr/>
              <w:t>Total liabilities</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715" w:type="dxa"/>
            <w:tcBorders/>
            <w:shd w:fill="auto" w:val="clear"/>
            <w:vAlign w:val="bottom"/>
          </w:tcPr>
          <w:p>
            <w:pPr>
              <w:pStyle w:val="TableContents"/>
              <w:spacing w:before="0" w:after="283"/>
              <w:jc w:val="right"/>
              <w:rPr/>
            </w:pPr>
            <w:r>
              <w:rPr/>
              <w:t>(124</w:t>
            </w:r>
          </w:p>
        </w:tc>
        <w:tc>
          <w:tcPr>
            <w:tcW w:w="131" w:type="dxa"/>
            <w:tcBorders/>
            <w:shd w:fill="auto" w:val="clear"/>
            <w:vAlign w:val="bottom"/>
          </w:tcPr>
          <w:p>
            <w:pPr>
              <w:pStyle w:val="TableContents"/>
              <w:spacing w:before="0" w:after="283"/>
              <w:rPr/>
            </w:pPr>
            <w:r>
              <w:rPr/>
              <w:t>)</w:t>
            </w:r>
          </w:p>
        </w:tc>
      </w:tr>
      <w:tr>
        <w:trPr/>
        <w:tc>
          <w:tcPr>
            <w:tcW w:w="8721"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8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225" w:right="0" w:hanging="225"/>
              <w:rPr/>
            </w:pPr>
            <w:r>
              <w:rPr/>
              <w:t>Net assets acquired</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715" w:type="dxa"/>
            <w:tcBorders/>
            <w:shd w:fill="CCEEFF" w:val="clear"/>
            <w:vAlign w:val="bottom"/>
          </w:tcPr>
          <w:p>
            <w:pPr>
              <w:pStyle w:val="TableContents"/>
              <w:spacing w:before="0" w:after="283"/>
              <w:jc w:val="right"/>
              <w:rPr/>
            </w:pPr>
            <w:r>
              <w:rPr/>
              <w:t>23,201</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8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fiscal 2006, we acquired three pawnshops for total consideration of $2.2 million. Of the total purchase price, $0.9 million was allocated to inventory, $0.4 million was allocated to pawn loans, $0.1 million was allocated to other identified assets and liabilities, and the remaining $0.8 million was allocated to goodwill.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results of the all acquired stores have been consolidated with our results since their acquisition dates. Pro forma results of operations have not been presented because the effects of the acquisitions were not material to our results. All goodwill acquired was allocated to our EZPAWN Operations segment, and we expect all goodwill to be deductible for income tax purposes over the 15-year amortizable life prescribed by the tax code.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October 22, 2007, we completed the acquisition of twenty Mexico pawnshops from MMFS Intl., S.A. de C.V, a subsidiary of Mister Money Holdings, Inc. for $15.3 million cash and direct transaction costs. The results of operations from these stores are excluded from our financial statements as the acquisition occurred after the end of the fiscal year. </w:t>
      </w:r>
    </w:p>
    <w:p>
      <w:pPr>
        <w:pStyle w:val="TextBody"/>
        <w:spacing w:before="120" w:after="283"/>
        <w:jc w:val="left"/>
        <w:rPr>
          <w:rFonts w:ascii="Helvetica;Arial;sans-serif" w:hAnsi="Helvetica;Arial;sans-serif"/>
          <w:sz w:val="17"/>
        </w:rPr>
      </w:pPr>
      <w:r>
        <w:rPr>
          <w:rFonts w:ascii="Helvetica;Arial;sans-serif" w:hAnsi="Helvetica;Arial;sans-serif"/>
          <w:b/>
          <w:sz w:val="17"/>
        </w:rPr>
        <w:t>Note C: Earnings Per Share</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warrants and restricted stock awards. </w:t>
      </w:r>
    </w:p>
    <w:p>
      <w:pPr>
        <w:pStyle w:val="TextBody"/>
        <w:jc w:val="center"/>
        <w:rPr>
          <w:rFonts w:ascii="Helvetica;Arial;sans-serif" w:hAnsi="Helvetica;Arial;sans-serif"/>
          <w:sz w:val="17"/>
        </w:rPr>
      </w:pPr>
      <w:r>
        <w:rPr>
          <w:rFonts w:ascii="Helvetica;Arial;sans-serif" w:hAnsi="Helvetica;Arial;sans-serif"/>
          <w:sz w:val="17"/>
        </w:rPr>
        <w:t xml:space="preserve">55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Components of basic and diluted earnings per share are as follows (</w:t>
      </w:r>
      <w:r>
        <w:rPr>
          <w:rFonts w:ascii="Helvetica;Arial;sans-serif" w:hAnsi="Helvetica;Arial;sans-serif"/>
          <w:i/>
          <w:sz w:val="17"/>
        </w:rPr>
        <w:t>in thousands, except per share amounts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5962"/>
        <w:gridCol w:w="461"/>
        <w:gridCol w:w="141"/>
        <w:gridCol w:w="700"/>
        <w:gridCol w:w="110"/>
        <w:gridCol w:w="461"/>
        <w:gridCol w:w="141"/>
        <w:gridCol w:w="700"/>
        <w:gridCol w:w="110"/>
        <w:gridCol w:w="461"/>
        <w:gridCol w:w="141"/>
        <w:gridCol w:w="700"/>
        <w:gridCol w:w="117"/>
      </w:tblGrid>
      <w:tr>
        <w:trPr/>
        <w:tc>
          <w:tcPr>
            <w:tcW w:w="5962"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3665"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17"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17"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225" w:right="0" w:hanging="225"/>
              <w:rPr/>
            </w:pPr>
            <w:r>
              <w:rPr/>
              <w:t>Net income (A)</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14,752</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29,259</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37,874</w:t>
            </w:r>
          </w:p>
        </w:tc>
        <w:tc>
          <w:tcPr>
            <w:tcW w:w="117" w:type="dxa"/>
            <w:tcBorders/>
            <w:shd w:fill="CCEEFF"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Weighted average outstanding shares of common stock (B)</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37,302</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39,432</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41,034</w:t>
            </w:r>
          </w:p>
        </w:tc>
        <w:tc>
          <w:tcPr>
            <w:tcW w:w="117" w:type="dxa"/>
            <w:tcBorders/>
            <w:shd w:fill="auto" w:val="clear"/>
            <w:vAlign w:val="bottom"/>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225" w:right="0" w:hanging="225"/>
              <w:rPr/>
            </w:pPr>
            <w:r>
              <w:rPr/>
              <w:t>Dilutive effect of stock options, warrants, and restricted stock</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3,420</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2,832</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2,196</w:t>
            </w:r>
          </w:p>
        </w:tc>
        <w:tc>
          <w:tcPr>
            <w:tcW w:w="117" w:type="dxa"/>
            <w:tcBorders/>
            <w:shd w:fill="CCEEFF"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Weighted average common stock and common stock equivalents (C)</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40,722</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42,264</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43,230</w:t>
            </w:r>
          </w:p>
        </w:tc>
        <w:tc>
          <w:tcPr>
            <w:tcW w:w="117" w:type="dxa"/>
            <w:tcBorders/>
            <w:shd w:fill="auto"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962" w:type="dxa"/>
            <w:tcBorders/>
            <w:shd w:fill="CCEEFF" w:val="clear"/>
            <w:vAlign w:val="bottom"/>
          </w:tcPr>
          <w:p>
            <w:pPr>
              <w:pStyle w:val="TableContents"/>
              <w:spacing w:before="0" w:after="0"/>
              <w:ind w:left="225" w:right="0" w:hanging="225"/>
              <w:rPr/>
            </w:pPr>
            <w:r>
              <w:rPr/>
              <w:t>Basic earnings per share (A/B)</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0.40</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0.74</w:t>
            </w:r>
          </w:p>
        </w:tc>
        <w:tc>
          <w:tcPr>
            <w:tcW w:w="11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0.92</w:t>
            </w:r>
          </w:p>
        </w:tc>
        <w:tc>
          <w:tcPr>
            <w:tcW w:w="117" w:type="dxa"/>
            <w:tcBorders/>
            <w:shd w:fill="CCEEFF"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962" w:type="dxa"/>
            <w:tcBorders/>
            <w:shd w:fill="auto" w:val="clear"/>
            <w:vAlign w:val="bottom"/>
          </w:tcPr>
          <w:p>
            <w:pPr>
              <w:pStyle w:val="TableContents"/>
              <w:spacing w:before="0" w:after="0"/>
              <w:ind w:left="225" w:right="0" w:hanging="225"/>
              <w:rPr/>
            </w:pPr>
            <w:r>
              <w:rPr/>
              <w:t>Diluted earnings per share (A/C)</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0.36</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0.69</w:t>
            </w:r>
          </w:p>
        </w:tc>
        <w:tc>
          <w:tcPr>
            <w:tcW w:w="11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0.88</w:t>
            </w:r>
          </w:p>
        </w:tc>
        <w:tc>
          <w:tcPr>
            <w:tcW w:w="117" w:type="dxa"/>
            <w:tcBorders/>
            <w:shd w:fill="auto" w:val="clear"/>
            <w:vAlign w:val="bottom"/>
          </w:tcPr>
          <w:p>
            <w:pPr>
              <w:pStyle w:val="TableContents"/>
              <w:spacing w:before="0" w:after="283"/>
              <w:rPr/>
            </w:pPr>
            <w:r>
              <w:rPr/>
              <w:t> </w:t>
            </w:r>
          </w:p>
        </w:tc>
      </w:tr>
      <w:tr>
        <w:trPr/>
        <w:tc>
          <w:tcPr>
            <w:tcW w:w="5962" w:type="dxa"/>
            <w:tcBorders/>
            <w:shd w:fill="auto" w:val="clear"/>
            <w:vAlign w:val="center"/>
          </w:tcPr>
          <w:p>
            <w:pPr>
              <w:pStyle w:val="TableContents"/>
              <w:spacing w:before="0" w:after="0"/>
              <w:ind w:left="225" w:right="0" w:hanging="225"/>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excluded anti-dilutive options, warrants and restricted stock grants from the computation of diluted earnings per share because the assumed proceeds upon exercise, as defined by SFAS No. 123(R), were greater than the cost to re-acquire the same number of shares at the average market price, and therefore the effect would be anti-dilutive. During fiscal 2005, 2006 and 2007 there were 179,038, 1,233 and 557 weighted average options outstanding that were anti-dilutive. There were no anti-dilutive restrictive stocks during fiscal 2005, 2006 and 2007. </w:t>
      </w:r>
    </w:p>
    <w:p>
      <w:pPr>
        <w:pStyle w:val="TextBody"/>
        <w:spacing w:before="240" w:after="283"/>
        <w:jc w:val="left"/>
        <w:rPr>
          <w:rFonts w:ascii="Helvetica;Arial;sans-serif" w:hAnsi="Helvetica;Arial;sans-serif"/>
          <w:sz w:val="17"/>
        </w:rPr>
      </w:pPr>
      <w:r>
        <w:rPr>
          <w:rFonts w:ascii="Helvetica;Arial;sans-serif" w:hAnsi="Helvetica;Arial;sans-serif"/>
          <w:b/>
          <w:sz w:val="17"/>
        </w:rPr>
        <w:t>Note D: Investment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own 16,298,875 common shares of Albemarle &amp; Bond Holdings, plc (A&amp;B), or approximately 29.95% of A&amp;Bs total outstanding shares at September 30, 2007. The shares were acquired in 1998 and 2007 at a total cost of $26.2 million. A&amp;B is primarily engaged in pawnbroking, retail jewelry sales, check cashing and lending in the United Kingdom. The investment is accounted for using the equity method. Since A&amp;Bs fiscal year ends three months prior to ours, we report the income from this investment on a three-month lag. The income reported for our fiscal year end of September 30 represents our percentage interest in the results of A&amp;Bs operations from July 1 to June 30. In fiscal 2005, 2006 and 2007, we received dividends from A&amp;B of $861,000, $969,000 and $1,274,000. The undistributed earnings included in our consolidated retained earnings were $7.0 million at September 30, 2007. A&amp;Bs shares are listed on the Alternative Investment Market of the London Stock Exchange and at October 31, 2007, the market value of this investment was approximately $86.3 million, based on the closing market price and currency exchange rate on that date.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1998, we acquired 13,276,666 shares of A&amp;Bs common stock for approximately $12.8 million. At June 30, 2007, this represented approximately 28.2% of A&amp;Bs total outstanding shares. On July 12, 2007, we acquired 3,022,209 additional shares of A&amp;Bs common stock for approximately $13.4 million as part of a private placement of stock by A&amp;B. Because we include A&amp;Bs earnings in our financial statements on a three-month lag as described above, our incremental share of A&amp;Bs results of operations will first be reflected in our results in the quarter ending December 31,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Conversion of A&amp;Bs financial statements into US Generally Accepted Accounting Principles (GAAP) resulted in no material differences from those reported by A&amp;B following United Kingdom GAAP. </w:t>
      </w:r>
    </w:p>
    <w:p>
      <w:pPr>
        <w:pStyle w:val="TextBody"/>
        <w:jc w:val="center"/>
        <w:rPr>
          <w:rFonts w:ascii="Helvetica;Arial;sans-serif" w:hAnsi="Helvetica;Arial;sans-serif"/>
          <w:sz w:val="17"/>
        </w:rPr>
      </w:pPr>
      <w:r>
        <w:rPr>
          <w:rFonts w:ascii="Helvetica;Arial;sans-serif" w:hAnsi="Helvetica;Arial;sans-serif"/>
          <w:sz w:val="17"/>
        </w:rPr>
        <w:t xml:space="preserve">56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Below is summarized financial information for A&amp;Bs most recently reported results (using the exchange rate as of June 30 of each year for balance sheet items and average exchange rates for income statement items for the periods indicated): </w:t>
      </w:r>
    </w:p>
    <w:tbl>
      <w:tblPr>
        <w:tblW w:w="5000" w:type="pct"/>
        <w:jc w:val="center"/>
        <w:tblInd w:w="0" w:type="dxa"/>
        <w:tblCellMar>
          <w:top w:w="0" w:type="dxa"/>
          <w:left w:w="0" w:type="dxa"/>
          <w:bottom w:w="0" w:type="dxa"/>
          <w:right w:w="0" w:type="dxa"/>
        </w:tblCellMar>
      </w:tblPr>
      <w:tblGrid>
        <w:gridCol w:w="7164"/>
        <w:gridCol w:w="463"/>
        <w:gridCol w:w="153"/>
        <w:gridCol w:w="758"/>
        <w:gridCol w:w="115"/>
        <w:gridCol w:w="463"/>
        <w:gridCol w:w="153"/>
        <w:gridCol w:w="816"/>
        <w:gridCol w:w="120"/>
      </w:tblGrid>
      <w:tr>
        <w:trPr/>
        <w:tc>
          <w:tcPr>
            <w:tcW w:w="7164"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64"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2458" w:type="dxa"/>
            <w:gridSpan w:val="6"/>
            <w:tcBorders>
              <w:bottom w:val="single" w:sz="2" w:space="0" w:color="000000"/>
            </w:tcBorders>
            <w:shd w:fill="auto" w:val="clear"/>
            <w:tcMar>
              <w:bottom w:w="28" w:type="dxa"/>
            </w:tcMar>
            <w:vAlign w:val="bottom"/>
          </w:tcPr>
          <w:p>
            <w:pPr>
              <w:pStyle w:val="TableContents"/>
              <w:spacing w:before="0" w:after="283"/>
              <w:jc w:val="center"/>
              <w:rPr/>
            </w:pPr>
            <w:r>
              <w:rPr/>
              <w:t>As of June 30,</w:t>
            </w:r>
          </w:p>
        </w:tc>
        <w:tc>
          <w:tcPr>
            <w:tcW w:w="120" w:type="dxa"/>
            <w:tcBorders/>
            <w:shd w:fill="auto" w:val="clear"/>
            <w:vAlign w:val="bottom"/>
          </w:tcPr>
          <w:p>
            <w:pPr>
              <w:pStyle w:val="TableContents"/>
              <w:spacing w:before="0" w:after="283"/>
              <w:rPr/>
            </w:pPr>
            <w:r>
              <w:rPr/>
              <w:t> </w:t>
            </w:r>
          </w:p>
        </w:tc>
      </w:tr>
      <w:tr>
        <w:trPr/>
        <w:tc>
          <w:tcPr>
            <w:tcW w:w="7164"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91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20" w:type="dxa"/>
            <w:tcBorders/>
            <w:shd w:fill="auto" w:val="clear"/>
            <w:vAlign w:val="bottom"/>
          </w:tcPr>
          <w:p>
            <w:pPr>
              <w:pStyle w:val="TableContents"/>
              <w:spacing w:before="0" w:after="283"/>
              <w:rPr/>
            </w:pPr>
            <w:r>
              <w:rPr/>
              <w:t> </w:t>
            </w:r>
          </w:p>
        </w:tc>
      </w:tr>
      <w:tr>
        <w:trPr/>
        <w:tc>
          <w:tcPr>
            <w:tcW w:w="7164"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2458" w:type="dxa"/>
            <w:gridSpan w:val="6"/>
            <w:tcBorders/>
            <w:shd w:fill="auto" w:val="clear"/>
            <w:vAlign w:val="bottom"/>
          </w:tcPr>
          <w:p>
            <w:pPr>
              <w:pStyle w:val="TableContents"/>
              <w:spacing w:before="0" w:after="283"/>
              <w:jc w:val="center"/>
              <w:rPr>
                <w:i/>
              </w:rPr>
            </w:pPr>
            <w:r>
              <w:rPr>
                <w:i/>
              </w:rPr>
              <w:t>(In thousands)</w:t>
            </w:r>
          </w:p>
        </w:tc>
        <w:tc>
          <w:tcPr>
            <w:tcW w:w="120" w:type="dxa"/>
            <w:tcBorders/>
            <w:shd w:fill="auto" w:val="clear"/>
            <w:vAlign w:val="bottom"/>
          </w:tcPr>
          <w:p>
            <w:pPr>
              <w:pStyle w:val="TableContents"/>
              <w:spacing w:before="0" w:after="283"/>
              <w:rPr/>
            </w:pPr>
            <w:r>
              <w:rPr/>
              <w:t> </w:t>
            </w:r>
          </w:p>
        </w:tc>
      </w:tr>
      <w:tr>
        <w:trPr/>
        <w:tc>
          <w:tcPr>
            <w:tcW w:w="7164" w:type="dxa"/>
            <w:tcBorders/>
            <w:shd w:fill="CCEEFF" w:val="clear"/>
            <w:vAlign w:val="bottom"/>
          </w:tcPr>
          <w:p>
            <w:pPr>
              <w:pStyle w:val="TableContents"/>
              <w:spacing w:before="0" w:after="0"/>
              <w:ind w:left="225" w:right="0" w:hanging="225"/>
              <w:rPr/>
            </w:pPr>
            <w:r>
              <w:rPr/>
              <w:t>Current assets</w:t>
            </w:r>
          </w:p>
        </w:tc>
        <w:tc>
          <w:tcPr>
            <w:tcW w:w="4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758" w:type="dxa"/>
            <w:tcBorders/>
            <w:shd w:fill="CCEEFF" w:val="clear"/>
            <w:vAlign w:val="bottom"/>
          </w:tcPr>
          <w:p>
            <w:pPr>
              <w:pStyle w:val="TableContents"/>
              <w:spacing w:before="0" w:after="283"/>
              <w:jc w:val="right"/>
              <w:rPr/>
            </w:pPr>
            <w:r>
              <w:rPr/>
              <w:t>62,564</w:t>
            </w:r>
          </w:p>
        </w:tc>
        <w:tc>
          <w:tcPr>
            <w:tcW w:w="11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84,995</w:t>
            </w:r>
          </w:p>
        </w:tc>
        <w:tc>
          <w:tcPr>
            <w:tcW w:w="120" w:type="dxa"/>
            <w:tcBorders/>
            <w:shd w:fill="CCEEFF" w:val="clear"/>
            <w:vAlign w:val="bottom"/>
          </w:tcPr>
          <w:p>
            <w:pPr>
              <w:pStyle w:val="TableContents"/>
              <w:spacing w:before="0" w:after="283"/>
              <w:rPr/>
            </w:pPr>
            <w:r>
              <w:rPr/>
              <w:t> </w:t>
            </w:r>
          </w:p>
        </w:tc>
      </w:tr>
      <w:tr>
        <w:trPr/>
        <w:tc>
          <w:tcPr>
            <w:tcW w:w="7164" w:type="dxa"/>
            <w:tcBorders/>
            <w:shd w:fill="auto" w:val="clear"/>
            <w:vAlign w:val="bottom"/>
          </w:tcPr>
          <w:p>
            <w:pPr>
              <w:pStyle w:val="TableContents"/>
              <w:spacing w:before="0" w:after="0"/>
              <w:ind w:left="225" w:right="0" w:hanging="225"/>
              <w:rPr/>
            </w:pPr>
            <w:r>
              <w:rPr/>
              <w:t>Non-current assets</w:t>
            </w:r>
          </w:p>
        </w:tc>
        <w:tc>
          <w:tcPr>
            <w:tcW w:w="4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14,058</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23,851</w:t>
            </w:r>
          </w:p>
        </w:tc>
        <w:tc>
          <w:tcPr>
            <w:tcW w:w="120" w:type="dxa"/>
            <w:tcBorders/>
            <w:shd w:fill="auto" w:val="clear"/>
            <w:vAlign w:val="bottom"/>
          </w:tcPr>
          <w:p>
            <w:pPr>
              <w:pStyle w:val="TableContents"/>
              <w:spacing w:before="0" w:after="283"/>
              <w:rPr/>
            </w:pPr>
            <w:r>
              <w:rPr/>
              <w:t> </w:t>
            </w:r>
          </w:p>
        </w:tc>
      </w:tr>
      <w:tr>
        <w:trPr/>
        <w:tc>
          <w:tcPr>
            <w:tcW w:w="7164" w:type="dxa"/>
            <w:tcBorders/>
            <w:shd w:fill="auto" w:val="clear"/>
            <w:vAlign w:val="center"/>
          </w:tcPr>
          <w:p>
            <w:pPr>
              <w:pStyle w:val="TableContents"/>
              <w:spacing w:before="0" w:after="0"/>
              <w:ind w:left="225" w:right="0" w:hanging="225"/>
              <w:rPr/>
            </w:pPr>
            <w:r>
              <w:rPr/>
              <w:t> </w:t>
            </w:r>
          </w:p>
        </w:tc>
        <w:tc>
          <w:tcPr>
            <w:tcW w:w="463" w:type="dxa"/>
            <w:tcBorders/>
            <w:shd w:fill="auto" w:val="clear"/>
            <w:vAlign w:val="center"/>
          </w:tcPr>
          <w:p>
            <w:pPr>
              <w:pStyle w:val="TableContents"/>
              <w:spacing w:before="0" w:after="283"/>
              <w:rPr/>
            </w:pPr>
            <w:r>
              <w:rPr/>
              <w:t> </w:t>
            </w:r>
          </w:p>
        </w:tc>
        <w:tc>
          <w:tcPr>
            <w:tcW w:w="9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64" w:type="dxa"/>
            <w:tcBorders/>
            <w:shd w:fill="CCEEFF" w:val="clear"/>
            <w:vAlign w:val="bottom"/>
          </w:tcPr>
          <w:p>
            <w:pPr>
              <w:pStyle w:val="TableContents"/>
              <w:spacing w:before="0" w:after="0"/>
              <w:ind w:left="450" w:right="0" w:hanging="225"/>
              <w:rPr/>
            </w:pPr>
            <w:r>
              <w:rPr/>
              <w:t>Total assets</w:t>
            </w:r>
          </w:p>
        </w:tc>
        <w:tc>
          <w:tcPr>
            <w:tcW w:w="4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758" w:type="dxa"/>
            <w:tcBorders/>
            <w:shd w:fill="CCEEFF" w:val="clear"/>
            <w:vAlign w:val="bottom"/>
          </w:tcPr>
          <w:p>
            <w:pPr>
              <w:pStyle w:val="TableContents"/>
              <w:spacing w:before="0" w:after="283"/>
              <w:jc w:val="right"/>
              <w:rPr/>
            </w:pPr>
            <w:r>
              <w:rPr/>
              <w:t>76,622</w:t>
            </w:r>
          </w:p>
        </w:tc>
        <w:tc>
          <w:tcPr>
            <w:tcW w:w="11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108,846</w:t>
            </w:r>
          </w:p>
        </w:tc>
        <w:tc>
          <w:tcPr>
            <w:tcW w:w="120" w:type="dxa"/>
            <w:tcBorders/>
            <w:shd w:fill="CCEEFF" w:val="clear"/>
            <w:vAlign w:val="bottom"/>
          </w:tcPr>
          <w:p>
            <w:pPr>
              <w:pStyle w:val="TableContents"/>
              <w:spacing w:before="0" w:after="283"/>
              <w:rPr/>
            </w:pPr>
            <w:r>
              <w:rPr/>
              <w:t> </w:t>
            </w:r>
          </w:p>
        </w:tc>
      </w:tr>
      <w:tr>
        <w:trPr/>
        <w:tc>
          <w:tcPr>
            <w:tcW w:w="7164" w:type="dxa"/>
            <w:tcBorders/>
            <w:shd w:fill="auto" w:val="clear"/>
            <w:vAlign w:val="center"/>
          </w:tcPr>
          <w:p>
            <w:pPr>
              <w:pStyle w:val="TableContents"/>
              <w:spacing w:before="0" w:after="0"/>
              <w:ind w:left="225" w:right="0" w:hanging="225"/>
              <w:rPr/>
            </w:pPr>
            <w:r>
              <w:rPr/>
              <w:t> </w:t>
            </w:r>
          </w:p>
        </w:tc>
        <w:tc>
          <w:tcPr>
            <w:tcW w:w="463" w:type="dxa"/>
            <w:tcBorders/>
            <w:shd w:fill="auto" w:val="clear"/>
            <w:vAlign w:val="center"/>
          </w:tcPr>
          <w:p>
            <w:pPr>
              <w:pStyle w:val="TableContents"/>
              <w:spacing w:before="0" w:after="283"/>
              <w:rPr/>
            </w:pPr>
            <w:r>
              <w:rPr/>
              <w:t> </w:t>
            </w:r>
          </w:p>
        </w:tc>
        <w:tc>
          <w:tcPr>
            <w:tcW w:w="9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64"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64" w:type="dxa"/>
            <w:tcBorders/>
            <w:shd w:fill="auto" w:val="clear"/>
            <w:vAlign w:val="bottom"/>
          </w:tcPr>
          <w:p>
            <w:pPr>
              <w:pStyle w:val="TableContents"/>
              <w:spacing w:before="0" w:after="0"/>
              <w:ind w:left="225" w:right="0" w:hanging="225"/>
              <w:rPr/>
            </w:pPr>
            <w:r>
              <w:rPr/>
              <w:t>Current liabilities</w:t>
            </w:r>
          </w:p>
        </w:tc>
        <w:tc>
          <w:tcPr>
            <w:tcW w:w="4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5,094</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6,332</w:t>
            </w:r>
          </w:p>
        </w:tc>
        <w:tc>
          <w:tcPr>
            <w:tcW w:w="120" w:type="dxa"/>
            <w:tcBorders/>
            <w:shd w:fill="auto" w:val="clear"/>
            <w:vAlign w:val="bottom"/>
          </w:tcPr>
          <w:p>
            <w:pPr>
              <w:pStyle w:val="TableContents"/>
              <w:spacing w:before="0" w:after="283"/>
              <w:rPr/>
            </w:pPr>
            <w:r>
              <w:rPr/>
              <w:t> </w:t>
            </w:r>
          </w:p>
        </w:tc>
      </w:tr>
      <w:tr>
        <w:trPr/>
        <w:tc>
          <w:tcPr>
            <w:tcW w:w="7164" w:type="dxa"/>
            <w:tcBorders/>
            <w:shd w:fill="CCEEFF" w:val="clear"/>
            <w:vAlign w:val="bottom"/>
          </w:tcPr>
          <w:p>
            <w:pPr>
              <w:pStyle w:val="TableContents"/>
              <w:spacing w:before="0" w:after="0"/>
              <w:ind w:left="225" w:right="0" w:hanging="225"/>
              <w:rPr/>
            </w:pPr>
            <w:r>
              <w:rPr/>
              <w:t>Non-current liabilities</w:t>
            </w:r>
          </w:p>
        </w:tc>
        <w:tc>
          <w:tcPr>
            <w:tcW w:w="4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28,843</w:t>
            </w:r>
          </w:p>
        </w:tc>
        <w:tc>
          <w:tcPr>
            <w:tcW w:w="11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49,246</w:t>
            </w:r>
          </w:p>
        </w:tc>
        <w:tc>
          <w:tcPr>
            <w:tcW w:w="120" w:type="dxa"/>
            <w:tcBorders/>
            <w:shd w:fill="CCEEFF" w:val="clear"/>
            <w:vAlign w:val="bottom"/>
          </w:tcPr>
          <w:p>
            <w:pPr>
              <w:pStyle w:val="TableContents"/>
              <w:spacing w:before="0" w:after="283"/>
              <w:rPr/>
            </w:pPr>
            <w:r>
              <w:rPr/>
              <w:t> </w:t>
            </w:r>
          </w:p>
        </w:tc>
      </w:tr>
      <w:tr>
        <w:trPr/>
        <w:tc>
          <w:tcPr>
            <w:tcW w:w="7164" w:type="dxa"/>
            <w:tcBorders/>
            <w:shd w:fill="auto" w:val="clear"/>
            <w:vAlign w:val="bottom"/>
          </w:tcPr>
          <w:p>
            <w:pPr>
              <w:pStyle w:val="TableContents"/>
              <w:spacing w:before="0" w:after="0"/>
              <w:ind w:left="225" w:right="0" w:hanging="225"/>
              <w:rPr/>
            </w:pPr>
            <w:r>
              <w:rPr/>
              <w:t>Equity shareholders funds</w:t>
            </w:r>
          </w:p>
        </w:tc>
        <w:tc>
          <w:tcPr>
            <w:tcW w:w="4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42,685</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53,268</w:t>
            </w:r>
          </w:p>
        </w:tc>
        <w:tc>
          <w:tcPr>
            <w:tcW w:w="120" w:type="dxa"/>
            <w:tcBorders/>
            <w:shd w:fill="auto" w:val="clear"/>
            <w:vAlign w:val="bottom"/>
          </w:tcPr>
          <w:p>
            <w:pPr>
              <w:pStyle w:val="TableContents"/>
              <w:spacing w:before="0" w:after="283"/>
              <w:rPr/>
            </w:pPr>
            <w:r>
              <w:rPr/>
              <w:t> </w:t>
            </w:r>
          </w:p>
        </w:tc>
      </w:tr>
      <w:tr>
        <w:trPr/>
        <w:tc>
          <w:tcPr>
            <w:tcW w:w="7164" w:type="dxa"/>
            <w:tcBorders/>
            <w:shd w:fill="auto" w:val="clear"/>
            <w:vAlign w:val="center"/>
          </w:tcPr>
          <w:p>
            <w:pPr>
              <w:pStyle w:val="TableContents"/>
              <w:spacing w:before="0" w:after="0"/>
              <w:ind w:left="225" w:right="0" w:hanging="225"/>
              <w:rPr/>
            </w:pPr>
            <w:r>
              <w:rPr/>
              <w:t> </w:t>
            </w:r>
          </w:p>
        </w:tc>
        <w:tc>
          <w:tcPr>
            <w:tcW w:w="463" w:type="dxa"/>
            <w:tcBorders/>
            <w:shd w:fill="auto" w:val="clear"/>
            <w:vAlign w:val="center"/>
          </w:tcPr>
          <w:p>
            <w:pPr>
              <w:pStyle w:val="TableContents"/>
              <w:spacing w:before="0" w:after="283"/>
              <w:rPr/>
            </w:pPr>
            <w:r>
              <w:rPr/>
              <w:t> </w:t>
            </w:r>
          </w:p>
        </w:tc>
        <w:tc>
          <w:tcPr>
            <w:tcW w:w="9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7164" w:type="dxa"/>
            <w:tcBorders/>
            <w:shd w:fill="CCEEFF" w:val="clear"/>
            <w:vAlign w:val="bottom"/>
          </w:tcPr>
          <w:p>
            <w:pPr>
              <w:pStyle w:val="TableContents"/>
              <w:spacing w:before="0" w:after="0"/>
              <w:ind w:left="450" w:right="0" w:hanging="225"/>
              <w:rPr/>
            </w:pPr>
            <w:r>
              <w:rPr/>
              <w:t>Total liabilities and equity shareholders funds</w:t>
            </w:r>
          </w:p>
        </w:tc>
        <w:tc>
          <w:tcPr>
            <w:tcW w:w="4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758" w:type="dxa"/>
            <w:tcBorders/>
            <w:shd w:fill="CCEEFF" w:val="clear"/>
            <w:vAlign w:val="bottom"/>
          </w:tcPr>
          <w:p>
            <w:pPr>
              <w:pStyle w:val="TableContents"/>
              <w:spacing w:before="0" w:after="283"/>
              <w:jc w:val="right"/>
              <w:rPr/>
            </w:pPr>
            <w:r>
              <w:rPr/>
              <w:t>76,622</w:t>
            </w:r>
          </w:p>
        </w:tc>
        <w:tc>
          <w:tcPr>
            <w:tcW w:w="11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108,846</w:t>
            </w:r>
          </w:p>
        </w:tc>
        <w:tc>
          <w:tcPr>
            <w:tcW w:w="120" w:type="dxa"/>
            <w:tcBorders/>
            <w:shd w:fill="CCEEFF" w:val="clear"/>
            <w:vAlign w:val="bottom"/>
          </w:tcPr>
          <w:p>
            <w:pPr>
              <w:pStyle w:val="TableContents"/>
              <w:spacing w:before="0" w:after="283"/>
              <w:rPr/>
            </w:pPr>
            <w:r>
              <w:rPr/>
              <w:t> </w:t>
            </w:r>
          </w:p>
        </w:tc>
      </w:tr>
      <w:tr>
        <w:trPr/>
        <w:tc>
          <w:tcPr>
            <w:tcW w:w="7164" w:type="dxa"/>
            <w:tcBorders/>
            <w:shd w:fill="auto" w:val="clear"/>
            <w:vAlign w:val="center"/>
          </w:tcPr>
          <w:p>
            <w:pPr>
              <w:pStyle w:val="TableContents"/>
              <w:spacing w:before="0" w:after="0"/>
              <w:ind w:left="225" w:right="0" w:hanging="225"/>
              <w:rPr/>
            </w:pPr>
            <w:r>
              <w:rPr/>
              <w:t> </w:t>
            </w:r>
          </w:p>
        </w:tc>
        <w:tc>
          <w:tcPr>
            <w:tcW w:w="463" w:type="dxa"/>
            <w:tcBorders/>
            <w:shd w:fill="auto" w:val="clear"/>
            <w:vAlign w:val="center"/>
          </w:tcPr>
          <w:p>
            <w:pPr>
              <w:pStyle w:val="TableContents"/>
              <w:spacing w:before="0" w:after="283"/>
              <w:rPr/>
            </w:pPr>
            <w:r>
              <w:rPr/>
              <w:t> </w:t>
            </w:r>
          </w:p>
        </w:tc>
        <w:tc>
          <w:tcPr>
            <w:tcW w:w="9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900"/>
        <w:gridCol w:w="402"/>
        <w:gridCol w:w="334"/>
        <w:gridCol w:w="681"/>
        <w:gridCol w:w="262"/>
        <w:gridCol w:w="402"/>
        <w:gridCol w:w="334"/>
        <w:gridCol w:w="681"/>
        <w:gridCol w:w="262"/>
        <w:gridCol w:w="60"/>
        <w:gridCol w:w="140"/>
        <w:gridCol w:w="680"/>
        <w:gridCol w:w="67"/>
      </w:tblGrid>
      <w:tr>
        <w:trPr/>
        <w:tc>
          <w:tcPr>
            <w:tcW w:w="590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r>
      <w:tr>
        <w:trPr/>
        <w:tc>
          <w:tcPr>
            <w:tcW w:w="590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3903" w:type="dxa"/>
            <w:gridSpan w:val="11"/>
            <w:tcBorders>
              <w:bottom w:val="single" w:sz="2" w:space="0" w:color="000000"/>
            </w:tcBorders>
            <w:shd w:fill="auto" w:val="clear"/>
            <w:tcMar>
              <w:bottom w:w="28" w:type="dxa"/>
            </w:tcMar>
            <w:vAlign w:val="bottom"/>
          </w:tcPr>
          <w:p>
            <w:pPr>
              <w:pStyle w:val="TableContents"/>
              <w:spacing w:before="0" w:after="283"/>
              <w:jc w:val="center"/>
              <w:rPr/>
            </w:pPr>
            <w:r>
              <w:rPr/>
              <w:t>Years ended June 30,</w:t>
            </w:r>
          </w:p>
        </w:tc>
      </w:tr>
      <w:tr>
        <w:trPr/>
        <w:tc>
          <w:tcPr>
            <w:tcW w:w="590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27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402" w:type="dxa"/>
            <w:tcBorders/>
            <w:shd w:fill="auto" w:val="clear"/>
            <w:vAlign w:val="bottom"/>
          </w:tcPr>
          <w:p>
            <w:pPr>
              <w:pStyle w:val="TableContents"/>
              <w:spacing w:before="0" w:after="283"/>
              <w:rPr/>
            </w:pPr>
            <w:r>
              <w:rPr/>
              <w:t> </w:t>
            </w:r>
          </w:p>
        </w:tc>
        <w:tc>
          <w:tcPr>
            <w:tcW w:w="127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60" w:type="dxa"/>
            <w:tcBorders/>
            <w:shd w:fill="auto" w:val="clear"/>
            <w:vAlign w:val="bottom"/>
          </w:tcPr>
          <w:p>
            <w:pPr>
              <w:pStyle w:val="TableContents"/>
              <w:spacing w:before="0" w:after="283"/>
              <w:rPr/>
            </w:pPr>
            <w:r>
              <w:rPr/>
              <w:t> </w:t>
            </w:r>
          </w:p>
        </w:tc>
        <w:tc>
          <w:tcPr>
            <w:tcW w:w="88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2007</w:t>
            </w:r>
          </w:p>
        </w:tc>
      </w:tr>
      <w:tr>
        <w:trPr/>
        <w:tc>
          <w:tcPr>
            <w:tcW w:w="590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3903" w:type="dxa"/>
            <w:gridSpan w:val="11"/>
            <w:tcBorders/>
            <w:shd w:fill="auto" w:val="clear"/>
            <w:vAlign w:val="bottom"/>
          </w:tcPr>
          <w:p>
            <w:pPr>
              <w:pStyle w:val="TableContents"/>
              <w:spacing w:before="0" w:after="283"/>
              <w:jc w:val="center"/>
              <w:rPr>
                <w:i/>
              </w:rPr>
            </w:pPr>
            <w:r>
              <w:rPr>
                <w:i/>
              </w:rPr>
              <w:t>(In thousands)</w:t>
            </w:r>
          </w:p>
        </w:tc>
      </w:tr>
      <w:tr>
        <w:trPr/>
        <w:tc>
          <w:tcPr>
            <w:tcW w:w="5900" w:type="dxa"/>
            <w:tcBorders/>
            <w:shd w:fill="CCEEFF" w:val="clear"/>
            <w:vAlign w:val="bottom"/>
          </w:tcPr>
          <w:p>
            <w:pPr>
              <w:pStyle w:val="TableContents"/>
              <w:spacing w:before="0" w:after="0"/>
              <w:ind w:left="225" w:right="0" w:hanging="225"/>
              <w:rPr/>
            </w:pPr>
            <w:r>
              <w:rPr/>
              <w:t>Turnover (gross revenues)</w:t>
            </w:r>
          </w:p>
        </w:tc>
        <w:tc>
          <w:tcPr>
            <w:tcW w:w="40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jc w:val="right"/>
              <w:rPr/>
            </w:pPr>
            <w:r>
              <w:rPr/>
              <w:t>$</w:t>
            </w:r>
          </w:p>
        </w:tc>
        <w:tc>
          <w:tcPr>
            <w:tcW w:w="681" w:type="dxa"/>
            <w:tcBorders/>
            <w:shd w:fill="CCEEFF" w:val="clear"/>
            <w:vAlign w:val="bottom"/>
          </w:tcPr>
          <w:p>
            <w:pPr>
              <w:pStyle w:val="TableContents"/>
              <w:spacing w:before="0" w:after="283"/>
              <w:jc w:val="right"/>
              <w:rPr/>
            </w:pPr>
            <w:r>
              <w:rPr/>
              <w:t>44,620</w:t>
            </w:r>
          </w:p>
        </w:tc>
        <w:tc>
          <w:tcPr>
            <w:tcW w:w="262"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jc w:val="right"/>
              <w:rPr/>
            </w:pPr>
            <w:r>
              <w:rPr/>
              <w:t>$</w:t>
            </w:r>
          </w:p>
        </w:tc>
        <w:tc>
          <w:tcPr>
            <w:tcW w:w="681" w:type="dxa"/>
            <w:tcBorders/>
            <w:shd w:fill="CCEEFF" w:val="clear"/>
            <w:vAlign w:val="bottom"/>
          </w:tcPr>
          <w:p>
            <w:pPr>
              <w:pStyle w:val="TableContents"/>
              <w:spacing w:before="0" w:after="283"/>
              <w:jc w:val="right"/>
              <w:rPr/>
            </w:pPr>
            <w:r>
              <w:rPr/>
              <w:t>52,461</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right"/>
              <w:rPr/>
            </w:pPr>
            <w:r>
              <w:rPr/>
              <w:t>$</w:t>
            </w:r>
          </w:p>
        </w:tc>
        <w:tc>
          <w:tcPr>
            <w:tcW w:w="680" w:type="dxa"/>
            <w:tcBorders/>
            <w:shd w:fill="CCEEFF" w:val="clear"/>
            <w:vAlign w:val="bottom"/>
          </w:tcPr>
          <w:p>
            <w:pPr>
              <w:pStyle w:val="TableContents"/>
              <w:spacing w:before="0" w:after="283"/>
              <w:jc w:val="right"/>
              <w:rPr/>
            </w:pPr>
            <w:r>
              <w:rPr/>
              <w:t>64,064</w:t>
            </w:r>
          </w:p>
        </w:tc>
        <w:tc>
          <w:tcPr>
            <w:tcW w:w="67" w:type="dxa"/>
            <w:tcBorders/>
            <w:shd w:fill="CCEEFF" w:val="clear"/>
            <w:vAlign w:val="bottom"/>
          </w:tcPr>
          <w:p>
            <w:pPr>
              <w:pStyle w:val="TableContents"/>
              <w:spacing w:before="0" w:after="283"/>
              <w:rPr/>
            </w:pPr>
            <w:r>
              <w:rPr/>
              <w:t> </w:t>
            </w:r>
          </w:p>
        </w:tc>
      </w:tr>
      <w:tr>
        <w:trPr/>
        <w:tc>
          <w:tcPr>
            <w:tcW w:w="5900" w:type="dxa"/>
            <w:tcBorders/>
            <w:shd w:fill="auto" w:val="clear"/>
            <w:vAlign w:val="bottom"/>
          </w:tcPr>
          <w:p>
            <w:pPr>
              <w:pStyle w:val="TableContents"/>
              <w:spacing w:before="0" w:after="0"/>
              <w:ind w:left="225" w:right="0" w:hanging="225"/>
              <w:rPr/>
            </w:pPr>
            <w:r>
              <w:rPr/>
              <w:t>Gross profit</w:t>
            </w:r>
          </w:p>
        </w:tc>
        <w:tc>
          <w:tcPr>
            <w:tcW w:w="40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32,555</w:t>
            </w:r>
          </w:p>
        </w:tc>
        <w:tc>
          <w:tcPr>
            <w:tcW w:w="262"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38,574</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48,061</w:t>
            </w:r>
          </w:p>
        </w:tc>
        <w:tc>
          <w:tcPr>
            <w:tcW w:w="67" w:type="dxa"/>
            <w:tcBorders/>
            <w:shd w:fill="auto" w:val="clear"/>
            <w:vAlign w:val="bottom"/>
          </w:tcPr>
          <w:p>
            <w:pPr>
              <w:pStyle w:val="TableContents"/>
              <w:spacing w:before="0" w:after="283"/>
              <w:rPr/>
            </w:pPr>
            <w:r>
              <w:rPr/>
              <w:t> </w:t>
            </w:r>
          </w:p>
        </w:tc>
      </w:tr>
      <w:tr>
        <w:trPr/>
        <w:tc>
          <w:tcPr>
            <w:tcW w:w="5900" w:type="dxa"/>
            <w:tcBorders/>
            <w:shd w:fill="CCEEFF" w:val="clear"/>
            <w:vAlign w:val="bottom"/>
          </w:tcPr>
          <w:p>
            <w:pPr>
              <w:pStyle w:val="TableContents"/>
              <w:spacing w:before="0" w:after="0"/>
              <w:ind w:left="225" w:right="0" w:hanging="225"/>
              <w:rPr/>
            </w:pPr>
            <w:r>
              <w:rPr/>
              <w:t>Profit after tax (net income)</w:t>
            </w:r>
          </w:p>
        </w:tc>
        <w:tc>
          <w:tcPr>
            <w:tcW w:w="40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pPr>
            <w:r>
              <w:rPr/>
              <w:t>7,539</w:t>
            </w:r>
          </w:p>
        </w:tc>
        <w:tc>
          <w:tcPr>
            <w:tcW w:w="262"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pPr>
            <w:r>
              <w:rPr/>
              <w:t>8,484</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10,379</w:t>
            </w:r>
          </w:p>
        </w:tc>
        <w:tc>
          <w:tcPr>
            <w:tcW w:w="67" w:type="dxa"/>
            <w:tcBorders/>
            <w:shd w:fill="CCEEFF"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September 30, 2007, the recorded balance of our investment in A&amp;B, accounted for on the equity method, was $35.7 million. Because A&amp;B publicly reports its financial results only semi-annually as of June 30 and December 31, the latest A&amp;B figures available are as of June 30, 2007, which is prior to our July 11 additional investment of $13.4 million. Excluding our July 11, 2007 additional investment, our recorded investment in A&amp;B at September 30, 2007 was $22.3 million, and our equity in net assets of A&amp;B was $15.3 million. The difference between the recorded balance and our equity in A&amp;Bs net assets represents the $7.1 million of unamortized goodwill which resulted from the pre-2007 investments, plus the cumulative difference resulting from A&amp;Bs earnings, dividend payments and translation gain since the dates of investment. </w:t>
      </w:r>
    </w:p>
    <w:p>
      <w:pPr>
        <w:pStyle w:val="TextBody"/>
        <w:jc w:val="center"/>
        <w:rPr>
          <w:rFonts w:ascii="Helvetica;Arial;sans-serif" w:hAnsi="Helvetica;Arial;sans-serif"/>
          <w:sz w:val="17"/>
        </w:rPr>
      </w:pPr>
      <w:r>
        <w:rPr>
          <w:rFonts w:ascii="Helvetica;Arial;sans-serif" w:hAnsi="Helvetica;Arial;sans-serif"/>
          <w:sz w:val="17"/>
        </w:rPr>
        <w:t xml:space="preserve">57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Note E: Property and Equipment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Major classifications of property and equipment were as follows: </w:t>
      </w:r>
    </w:p>
    <w:tbl>
      <w:tblPr>
        <w:tblW w:w="5000" w:type="pct"/>
        <w:jc w:val="center"/>
        <w:tblInd w:w="0" w:type="dxa"/>
        <w:tblCellMar>
          <w:top w:w="0" w:type="dxa"/>
          <w:left w:w="0" w:type="dxa"/>
          <w:bottom w:w="0" w:type="dxa"/>
          <w:right w:w="0" w:type="dxa"/>
        </w:tblCellMar>
      </w:tblPr>
      <w:tblGrid>
        <w:gridCol w:w="7083"/>
        <w:gridCol w:w="459"/>
        <w:gridCol w:w="153"/>
        <w:gridCol w:w="815"/>
        <w:gridCol w:w="131"/>
        <w:gridCol w:w="459"/>
        <w:gridCol w:w="153"/>
        <w:gridCol w:w="815"/>
        <w:gridCol w:w="137"/>
      </w:tblGrid>
      <w:tr>
        <w:trPr/>
        <w:tc>
          <w:tcPr>
            <w:tcW w:w="7083"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526"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37" w:type="dxa"/>
            <w:tcBorders/>
            <w:shd w:fill="auto"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96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31"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96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7" w:type="dxa"/>
            <w:tcBorders/>
            <w:shd w:fill="auto"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2526" w:type="dxa"/>
            <w:gridSpan w:val="6"/>
            <w:tcBorders/>
            <w:shd w:fill="auto" w:val="clear"/>
            <w:vAlign w:val="bottom"/>
          </w:tcPr>
          <w:p>
            <w:pPr>
              <w:pStyle w:val="TableContents"/>
              <w:spacing w:before="0" w:after="283"/>
              <w:jc w:val="center"/>
              <w:rPr>
                <w:i/>
              </w:rPr>
            </w:pPr>
            <w:r>
              <w:rPr>
                <w:i/>
              </w:rPr>
              <w:t>(In thousands)</w:t>
            </w:r>
          </w:p>
        </w:tc>
        <w:tc>
          <w:tcPr>
            <w:tcW w:w="137" w:type="dxa"/>
            <w:tcBorders/>
            <w:shd w:fill="auto" w:val="clear"/>
            <w:vAlign w:val="bottom"/>
          </w:tcPr>
          <w:p>
            <w:pPr>
              <w:pStyle w:val="TableContents"/>
              <w:spacing w:before="0" w:after="283"/>
              <w:rPr/>
            </w:pPr>
            <w:r>
              <w:rPr/>
              <w:t> </w:t>
            </w:r>
          </w:p>
        </w:tc>
      </w:tr>
      <w:tr>
        <w:trPr/>
        <w:tc>
          <w:tcPr>
            <w:tcW w:w="7083" w:type="dxa"/>
            <w:tcBorders/>
            <w:shd w:fill="CCEEFF" w:val="clear"/>
            <w:vAlign w:val="bottom"/>
          </w:tcPr>
          <w:p>
            <w:pPr>
              <w:pStyle w:val="TableContents"/>
              <w:spacing w:before="0" w:after="0"/>
              <w:ind w:left="225" w:right="0" w:hanging="225"/>
              <w:rPr/>
            </w:pPr>
            <w:r>
              <w:rPr/>
              <w:t>Land</w:t>
            </w:r>
          </w:p>
        </w:tc>
        <w:tc>
          <w:tcPr>
            <w:tcW w:w="45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5" w:type="dxa"/>
            <w:tcBorders/>
            <w:shd w:fill="CCEEFF" w:val="clear"/>
            <w:vAlign w:val="bottom"/>
          </w:tcPr>
          <w:p>
            <w:pPr>
              <w:pStyle w:val="TableContents"/>
              <w:spacing w:before="0" w:after="283"/>
              <w:jc w:val="right"/>
              <w:rPr/>
            </w:pPr>
            <w:r>
              <w:rPr/>
              <w:t>44</w:t>
            </w:r>
          </w:p>
        </w:tc>
        <w:tc>
          <w:tcPr>
            <w:tcW w:w="131"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5" w:type="dxa"/>
            <w:tcBorders/>
            <w:shd w:fill="CCEEFF" w:val="clear"/>
            <w:vAlign w:val="bottom"/>
          </w:tcPr>
          <w:p>
            <w:pPr>
              <w:pStyle w:val="TableContents"/>
              <w:spacing w:before="0" w:after="283"/>
              <w:jc w:val="right"/>
              <w:rPr/>
            </w:pPr>
            <w:r>
              <w:rPr/>
              <w:t>44</w:t>
            </w:r>
          </w:p>
        </w:tc>
        <w:tc>
          <w:tcPr>
            <w:tcW w:w="137" w:type="dxa"/>
            <w:tcBorders/>
            <w:shd w:fill="CCEEFF"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0"/>
              <w:ind w:left="225" w:right="0" w:hanging="225"/>
              <w:rPr/>
            </w:pPr>
            <w:r>
              <w:rPr/>
              <w:t>Buildings and improvements</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43,143</w:t>
            </w:r>
          </w:p>
        </w:tc>
        <w:tc>
          <w:tcPr>
            <w:tcW w:w="131"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49,545</w:t>
            </w:r>
          </w:p>
        </w:tc>
        <w:tc>
          <w:tcPr>
            <w:tcW w:w="137" w:type="dxa"/>
            <w:tcBorders/>
            <w:shd w:fill="auto" w:val="clear"/>
            <w:vAlign w:val="bottom"/>
          </w:tcPr>
          <w:p>
            <w:pPr>
              <w:pStyle w:val="TableContents"/>
              <w:spacing w:before="0" w:after="283"/>
              <w:rPr/>
            </w:pPr>
            <w:r>
              <w:rPr/>
              <w:t> </w:t>
            </w:r>
          </w:p>
        </w:tc>
      </w:tr>
      <w:tr>
        <w:trPr/>
        <w:tc>
          <w:tcPr>
            <w:tcW w:w="7083" w:type="dxa"/>
            <w:tcBorders/>
            <w:shd w:fill="CCEEFF" w:val="clear"/>
            <w:vAlign w:val="bottom"/>
          </w:tcPr>
          <w:p>
            <w:pPr>
              <w:pStyle w:val="TableContents"/>
              <w:spacing w:before="0" w:after="0"/>
              <w:ind w:left="225" w:right="0" w:hanging="225"/>
              <w:rPr/>
            </w:pPr>
            <w:r>
              <w:rPr/>
              <w:t>Furniture and equipment</w:t>
            </w:r>
          </w:p>
        </w:tc>
        <w:tc>
          <w:tcPr>
            <w:tcW w:w="45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38,839</w:t>
            </w:r>
          </w:p>
        </w:tc>
        <w:tc>
          <w:tcPr>
            <w:tcW w:w="131"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44,833</w:t>
            </w:r>
          </w:p>
        </w:tc>
        <w:tc>
          <w:tcPr>
            <w:tcW w:w="137" w:type="dxa"/>
            <w:tcBorders/>
            <w:shd w:fill="CCEEFF"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0"/>
              <w:ind w:left="225" w:right="0" w:hanging="225"/>
              <w:rPr/>
            </w:pPr>
            <w:r>
              <w:rPr/>
              <w:t>Software</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21,696</w:t>
            </w:r>
          </w:p>
        </w:tc>
        <w:tc>
          <w:tcPr>
            <w:tcW w:w="131"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22,569</w:t>
            </w:r>
          </w:p>
        </w:tc>
        <w:tc>
          <w:tcPr>
            <w:tcW w:w="137" w:type="dxa"/>
            <w:tcBorders/>
            <w:shd w:fill="auto" w:val="clear"/>
            <w:vAlign w:val="bottom"/>
          </w:tcPr>
          <w:p>
            <w:pPr>
              <w:pStyle w:val="TableContents"/>
              <w:spacing w:before="0" w:after="283"/>
              <w:rPr/>
            </w:pPr>
            <w:r>
              <w:rPr/>
              <w:t> </w:t>
            </w:r>
          </w:p>
        </w:tc>
      </w:tr>
      <w:tr>
        <w:trPr/>
        <w:tc>
          <w:tcPr>
            <w:tcW w:w="7083" w:type="dxa"/>
            <w:tcBorders/>
            <w:shd w:fill="CCEEFF" w:val="clear"/>
            <w:vAlign w:val="bottom"/>
          </w:tcPr>
          <w:p>
            <w:pPr>
              <w:pStyle w:val="TableContents"/>
              <w:spacing w:before="0" w:after="0"/>
              <w:ind w:left="225" w:right="0" w:hanging="225"/>
              <w:rPr/>
            </w:pPr>
            <w:r>
              <w:rPr/>
              <w:t>Construction in progress</w:t>
            </w:r>
          </w:p>
        </w:tc>
        <w:tc>
          <w:tcPr>
            <w:tcW w:w="45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1,185</w:t>
            </w:r>
          </w:p>
        </w:tc>
        <w:tc>
          <w:tcPr>
            <w:tcW w:w="131"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1,529</w:t>
            </w:r>
          </w:p>
        </w:tc>
        <w:tc>
          <w:tcPr>
            <w:tcW w:w="137" w:type="dxa"/>
            <w:tcBorders/>
            <w:shd w:fill="CCEEFF" w:val="clear"/>
            <w:vAlign w:val="bottom"/>
          </w:tcPr>
          <w:p>
            <w:pPr>
              <w:pStyle w:val="TableContents"/>
              <w:spacing w:before="0" w:after="283"/>
              <w:rPr/>
            </w:pPr>
            <w:r>
              <w:rPr/>
              <w:t> </w:t>
            </w:r>
          </w:p>
        </w:tc>
      </w:tr>
      <w:tr>
        <w:trPr/>
        <w:tc>
          <w:tcPr>
            <w:tcW w:w="7083" w:type="dxa"/>
            <w:tcBorders/>
            <w:shd w:fill="auto" w:val="clear"/>
            <w:vAlign w:val="center"/>
          </w:tcPr>
          <w:p>
            <w:pPr>
              <w:pStyle w:val="TableContents"/>
              <w:spacing w:before="0" w:after="0"/>
              <w:ind w:left="225" w:right="0" w:hanging="225"/>
              <w:rPr/>
            </w:pPr>
            <w:r>
              <w:rPr/>
              <w:t> </w:t>
            </w:r>
          </w:p>
        </w:tc>
        <w:tc>
          <w:tcPr>
            <w:tcW w:w="459" w:type="dxa"/>
            <w:tcBorders/>
            <w:shd w:fill="auto" w:val="clear"/>
            <w:vAlign w:val="center"/>
          </w:tcPr>
          <w:p>
            <w:pPr>
              <w:pStyle w:val="TableContents"/>
              <w:spacing w:before="0" w:after="283"/>
              <w:rPr/>
            </w:pPr>
            <w:r>
              <w:rPr/>
              <w:t> </w:t>
            </w:r>
          </w:p>
        </w:tc>
        <w:tc>
          <w:tcPr>
            <w:tcW w:w="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083" w:type="dxa"/>
            <w:tcBorders/>
            <w:shd w:fill="auto" w:val="clear"/>
            <w:vAlign w:val="bottom"/>
          </w:tcPr>
          <w:p>
            <w:pPr>
              <w:pStyle w:val="TableContents"/>
              <w:spacing w:before="0" w:after="0"/>
              <w:ind w:left="225" w:right="0" w:hanging="225"/>
              <w:rPr/>
            </w:pPr>
            <w:r>
              <w:rPr/>
              <w:t>Total</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104,907</w:t>
            </w:r>
          </w:p>
        </w:tc>
        <w:tc>
          <w:tcPr>
            <w:tcW w:w="131"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118,520</w:t>
            </w:r>
          </w:p>
        </w:tc>
        <w:tc>
          <w:tcPr>
            <w:tcW w:w="137" w:type="dxa"/>
            <w:tcBorders/>
            <w:shd w:fill="auto"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0"/>
              <w:ind w:left="225" w:right="0" w:hanging="225"/>
              <w:rPr/>
            </w:pPr>
            <w:r>
              <w:rPr/>
              <w:t> </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083" w:type="dxa"/>
            <w:tcBorders/>
            <w:shd w:fill="CCEEFF" w:val="clear"/>
            <w:vAlign w:val="bottom"/>
          </w:tcPr>
          <w:p>
            <w:pPr>
              <w:pStyle w:val="TableContents"/>
              <w:spacing w:before="0" w:after="0"/>
              <w:ind w:left="225" w:right="0" w:hanging="225"/>
              <w:rPr/>
            </w:pPr>
            <w:r>
              <w:rPr/>
              <w:t>Less accumulated depreciation</w:t>
            </w:r>
          </w:p>
        </w:tc>
        <w:tc>
          <w:tcPr>
            <w:tcW w:w="45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15" w:type="dxa"/>
            <w:tcBorders/>
            <w:shd w:fill="CCEEFF" w:val="clear"/>
            <w:vAlign w:val="bottom"/>
          </w:tcPr>
          <w:p>
            <w:pPr>
              <w:pStyle w:val="TableContents"/>
              <w:spacing w:before="0" w:after="283"/>
              <w:jc w:val="right"/>
              <w:rPr/>
            </w:pPr>
            <w:r>
              <w:rPr/>
              <w:t>(75,460</w:t>
            </w:r>
          </w:p>
        </w:tc>
        <w:tc>
          <w:tcPr>
            <w:tcW w:w="131" w:type="dxa"/>
            <w:tcBorders/>
            <w:shd w:fill="CCEEFF" w:val="clear"/>
            <w:vAlign w:val="bottom"/>
          </w:tcPr>
          <w:p>
            <w:pPr>
              <w:pStyle w:val="TableContents"/>
              <w:spacing w:before="0" w:after="283"/>
              <w:rPr/>
            </w:pPr>
            <w:r>
              <w:rPr/>
              <w:t>)</w:t>
            </w:r>
          </w:p>
        </w:tc>
        <w:tc>
          <w:tcPr>
            <w:tcW w:w="45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15" w:type="dxa"/>
            <w:tcBorders/>
            <w:shd w:fill="CCEEFF" w:val="clear"/>
            <w:vAlign w:val="bottom"/>
          </w:tcPr>
          <w:p>
            <w:pPr>
              <w:pStyle w:val="TableContents"/>
              <w:spacing w:before="0" w:after="283"/>
              <w:jc w:val="right"/>
              <w:rPr/>
            </w:pPr>
            <w:r>
              <w:rPr/>
              <w:t>(84,714</w:t>
            </w:r>
          </w:p>
        </w:tc>
        <w:tc>
          <w:tcPr>
            <w:tcW w:w="137" w:type="dxa"/>
            <w:tcBorders/>
            <w:shd w:fill="CCEEFF" w:val="clear"/>
            <w:vAlign w:val="bottom"/>
          </w:tcPr>
          <w:p>
            <w:pPr>
              <w:pStyle w:val="TableContents"/>
              <w:spacing w:before="0" w:after="283"/>
              <w:rPr/>
            </w:pPr>
            <w:r>
              <w:rPr/>
              <w:t>)</w:t>
            </w:r>
          </w:p>
        </w:tc>
      </w:tr>
      <w:tr>
        <w:trPr/>
        <w:tc>
          <w:tcPr>
            <w:tcW w:w="7083" w:type="dxa"/>
            <w:tcBorders/>
            <w:shd w:fill="auto" w:val="clear"/>
            <w:vAlign w:val="center"/>
          </w:tcPr>
          <w:p>
            <w:pPr>
              <w:pStyle w:val="TableContents"/>
              <w:spacing w:before="0" w:after="0"/>
              <w:ind w:left="225" w:right="0" w:hanging="225"/>
              <w:rPr/>
            </w:pPr>
            <w:r>
              <w:rPr/>
              <w:t> </w:t>
            </w:r>
          </w:p>
        </w:tc>
        <w:tc>
          <w:tcPr>
            <w:tcW w:w="459" w:type="dxa"/>
            <w:tcBorders/>
            <w:shd w:fill="auto" w:val="clear"/>
            <w:vAlign w:val="center"/>
          </w:tcPr>
          <w:p>
            <w:pPr>
              <w:pStyle w:val="TableContents"/>
              <w:spacing w:before="0" w:after="283"/>
              <w:rPr/>
            </w:pPr>
            <w:r>
              <w:rPr/>
              <w:t> </w:t>
            </w:r>
          </w:p>
        </w:tc>
        <w:tc>
          <w:tcPr>
            <w:tcW w:w="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083" w:type="dxa"/>
            <w:tcBorders/>
            <w:shd w:fill="auto" w:val="clear"/>
            <w:vAlign w:val="bottom"/>
          </w:tcPr>
          <w:p>
            <w:pPr>
              <w:pStyle w:val="TableContents"/>
              <w:spacing w:before="0" w:after="0"/>
              <w:ind w:left="225" w:right="0" w:hanging="225"/>
              <w:rPr/>
            </w:pPr>
            <w:r>
              <w:rPr/>
              <w:t> </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0"/>
              <w:ind w:left="225" w:right="0" w:hanging="225"/>
              <w:rPr/>
            </w:pPr>
            <w:r>
              <w:rPr/>
              <w:t> </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5" w:type="dxa"/>
            <w:tcBorders/>
            <w:shd w:fill="auto" w:val="clear"/>
            <w:vAlign w:val="bottom"/>
          </w:tcPr>
          <w:p>
            <w:pPr>
              <w:pStyle w:val="TableContents"/>
              <w:spacing w:before="0" w:after="283"/>
              <w:jc w:val="right"/>
              <w:rPr/>
            </w:pPr>
            <w:r>
              <w:rPr/>
              <w:t>29,447</w:t>
            </w:r>
          </w:p>
        </w:tc>
        <w:tc>
          <w:tcPr>
            <w:tcW w:w="131"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5" w:type="dxa"/>
            <w:tcBorders/>
            <w:shd w:fill="auto" w:val="clear"/>
            <w:vAlign w:val="bottom"/>
          </w:tcPr>
          <w:p>
            <w:pPr>
              <w:pStyle w:val="TableContents"/>
              <w:spacing w:before="0" w:after="283"/>
              <w:jc w:val="right"/>
              <w:rPr/>
            </w:pPr>
            <w:r>
              <w:rPr/>
              <w:t>33,806</w:t>
            </w:r>
          </w:p>
        </w:tc>
        <w:tc>
          <w:tcPr>
            <w:tcW w:w="137" w:type="dxa"/>
            <w:tcBorders/>
            <w:shd w:fill="auto" w:val="clear"/>
            <w:vAlign w:val="bottom"/>
          </w:tcPr>
          <w:p>
            <w:pPr>
              <w:pStyle w:val="TableContents"/>
              <w:spacing w:before="0" w:after="283"/>
              <w:rPr/>
            </w:pPr>
            <w:r>
              <w:rPr/>
              <w:t> </w:t>
            </w:r>
          </w:p>
        </w:tc>
      </w:tr>
      <w:tr>
        <w:trPr/>
        <w:tc>
          <w:tcPr>
            <w:tcW w:w="7083" w:type="dxa"/>
            <w:tcBorders/>
            <w:shd w:fill="auto" w:val="clear"/>
            <w:vAlign w:val="center"/>
          </w:tcPr>
          <w:p>
            <w:pPr>
              <w:pStyle w:val="TableContents"/>
              <w:spacing w:before="0" w:after="0"/>
              <w:ind w:left="225" w:right="0" w:hanging="225"/>
              <w:rPr/>
            </w:pPr>
            <w:r>
              <w:rPr/>
              <w:t> </w:t>
            </w:r>
          </w:p>
        </w:tc>
        <w:tc>
          <w:tcPr>
            <w:tcW w:w="459" w:type="dxa"/>
            <w:tcBorders/>
            <w:shd w:fill="auto" w:val="clear"/>
            <w:vAlign w:val="center"/>
          </w:tcPr>
          <w:p>
            <w:pPr>
              <w:pStyle w:val="TableContents"/>
              <w:spacing w:before="0" w:after="283"/>
              <w:rPr/>
            </w:pPr>
            <w:r>
              <w:rPr/>
              <w:t> </w:t>
            </w:r>
          </w:p>
        </w:tc>
        <w:tc>
          <w:tcPr>
            <w:tcW w:w="9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459" w:type="dxa"/>
            <w:tcBorders/>
            <w:shd w:fill="auto" w:val="clear"/>
            <w:vAlign w:val="center"/>
          </w:tcPr>
          <w:p>
            <w:pPr>
              <w:pStyle w:val="TableContents"/>
              <w:spacing w:before="0" w:after="283"/>
              <w:rPr/>
            </w:pPr>
            <w:r>
              <w:rPr/>
              <w:t> </w:t>
            </w:r>
          </w:p>
        </w:tc>
        <w:tc>
          <w:tcPr>
            <w:tcW w:w="9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240" w:after="283"/>
        <w:jc w:val="left"/>
        <w:rPr>
          <w:rFonts w:ascii="Helvetica;Arial;sans-serif" w:hAnsi="Helvetica;Arial;sans-serif"/>
          <w:sz w:val="17"/>
        </w:rPr>
      </w:pPr>
      <w:r>
        <w:rPr>
          <w:rFonts w:ascii="Helvetica;Arial;sans-serif" w:hAnsi="Helvetica;Arial;sans-serif"/>
          <w:b/>
          <w:sz w:val="17"/>
        </w:rPr>
        <w:t>Note F: Goodwill and Other Intangible Assets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the balance of each major class of indefinite-lived intangible asset at the specified dates: </w:t>
      </w:r>
    </w:p>
    <w:tbl>
      <w:tblPr>
        <w:tblW w:w="5000" w:type="pct"/>
        <w:jc w:val="center"/>
        <w:tblInd w:w="0" w:type="dxa"/>
        <w:tblCellMar>
          <w:top w:w="0" w:type="dxa"/>
          <w:left w:w="0" w:type="dxa"/>
          <w:bottom w:w="0" w:type="dxa"/>
          <w:right w:w="0" w:type="dxa"/>
        </w:tblCellMar>
      </w:tblPr>
      <w:tblGrid>
        <w:gridCol w:w="7342"/>
        <w:gridCol w:w="488"/>
        <w:gridCol w:w="142"/>
        <w:gridCol w:w="664"/>
        <w:gridCol w:w="114"/>
        <w:gridCol w:w="488"/>
        <w:gridCol w:w="142"/>
        <w:gridCol w:w="707"/>
        <w:gridCol w:w="118"/>
      </w:tblGrid>
      <w:tr>
        <w:trPr/>
        <w:tc>
          <w:tcPr>
            <w:tcW w:w="7342"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342"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2257"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18" w:type="dxa"/>
            <w:tcBorders/>
            <w:shd w:fill="auto" w:val="clear"/>
            <w:vAlign w:val="bottom"/>
          </w:tcPr>
          <w:p>
            <w:pPr>
              <w:pStyle w:val="TableContents"/>
              <w:spacing w:before="0" w:after="283"/>
              <w:rPr/>
            </w:pPr>
            <w:r>
              <w:rPr/>
              <w:t> </w:t>
            </w:r>
          </w:p>
        </w:tc>
      </w:tr>
      <w:tr>
        <w:trPr/>
        <w:tc>
          <w:tcPr>
            <w:tcW w:w="7342"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80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1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84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18" w:type="dxa"/>
            <w:tcBorders/>
            <w:shd w:fill="auto" w:val="clear"/>
            <w:vAlign w:val="bottom"/>
          </w:tcPr>
          <w:p>
            <w:pPr>
              <w:pStyle w:val="TableContents"/>
              <w:spacing w:before="0" w:after="283"/>
              <w:rPr/>
            </w:pPr>
            <w:r>
              <w:rPr/>
              <w:t> </w:t>
            </w:r>
          </w:p>
        </w:tc>
      </w:tr>
      <w:tr>
        <w:trPr/>
        <w:tc>
          <w:tcPr>
            <w:tcW w:w="7342"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2257" w:type="dxa"/>
            <w:gridSpan w:val="6"/>
            <w:tcBorders/>
            <w:shd w:fill="auto" w:val="clear"/>
            <w:vAlign w:val="bottom"/>
          </w:tcPr>
          <w:p>
            <w:pPr>
              <w:pStyle w:val="TableContents"/>
              <w:spacing w:before="0" w:after="283"/>
              <w:jc w:val="center"/>
              <w:rPr>
                <w:i/>
              </w:rPr>
            </w:pPr>
            <w:r>
              <w:rPr>
                <w:i/>
              </w:rPr>
              <w:t>(In thousands)</w:t>
            </w:r>
          </w:p>
        </w:tc>
        <w:tc>
          <w:tcPr>
            <w:tcW w:w="118" w:type="dxa"/>
            <w:tcBorders/>
            <w:shd w:fill="auto" w:val="clear"/>
            <w:vAlign w:val="bottom"/>
          </w:tcPr>
          <w:p>
            <w:pPr>
              <w:pStyle w:val="TableContents"/>
              <w:spacing w:before="0" w:after="283"/>
              <w:rPr/>
            </w:pPr>
            <w:r>
              <w:rPr/>
              <w:t> </w:t>
            </w:r>
          </w:p>
        </w:tc>
      </w:tr>
      <w:tr>
        <w:trPr/>
        <w:tc>
          <w:tcPr>
            <w:tcW w:w="7342" w:type="dxa"/>
            <w:tcBorders/>
            <w:shd w:fill="CCEEFF" w:val="clear"/>
            <w:vAlign w:val="bottom"/>
          </w:tcPr>
          <w:p>
            <w:pPr>
              <w:pStyle w:val="TableContents"/>
              <w:spacing w:before="0" w:after="0"/>
              <w:ind w:left="225" w:right="0" w:hanging="225"/>
              <w:rPr/>
            </w:pPr>
            <w:r>
              <w:rPr/>
              <w:t>Pawn licenses</w:t>
            </w:r>
          </w:p>
        </w:tc>
        <w:tc>
          <w:tcPr>
            <w:tcW w:w="48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664" w:type="dxa"/>
            <w:tcBorders/>
            <w:shd w:fill="CCEEFF" w:val="clear"/>
            <w:vAlign w:val="bottom"/>
          </w:tcPr>
          <w:p>
            <w:pPr>
              <w:pStyle w:val="TableContents"/>
              <w:spacing w:before="0" w:after="283"/>
              <w:jc w:val="right"/>
              <w:rPr/>
            </w:pPr>
            <w:r>
              <w:rPr/>
              <w:t>1,549</w:t>
            </w:r>
          </w:p>
        </w:tc>
        <w:tc>
          <w:tcPr>
            <w:tcW w:w="11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707" w:type="dxa"/>
            <w:tcBorders/>
            <w:shd w:fill="CCEEFF" w:val="clear"/>
            <w:vAlign w:val="bottom"/>
          </w:tcPr>
          <w:p>
            <w:pPr>
              <w:pStyle w:val="TableContents"/>
              <w:spacing w:before="0" w:after="283"/>
              <w:jc w:val="right"/>
              <w:rPr/>
            </w:pPr>
            <w:r>
              <w:rPr/>
              <w:t>1,549</w:t>
            </w:r>
          </w:p>
        </w:tc>
        <w:tc>
          <w:tcPr>
            <w:tcW w:w="118" w:type="dxa"/>
            <w:tcBorders/>
            <w:shd w:fill="CCEEFF" w:val="clear"/>
            <w:vAlign w:val="bottom"/>
          </w:tcPr>
          <w:p>
            <w:pPr>
              <w:pStyle w:val="TableContents"/>
              <w:spacing w:before="0" w:after="283"/>
              <w:rPr/>
            </w:pPr>
            <w:r>
              <w:rPr/>
              <w:t> </w:t>
            </w:r>
          </w:p>
        </w:tc>
      </w:tr>
      <w:tr>
        <w:trPr/>
        <w:tc>
          <w:tcPr>
            <w:tcW w:w="7342" w:type="dxa"/>
            <w:tcBorders/>
            <w:shd w:fill="auto" w:val="clear"/>
            <w:vAlign w:val="bottom"/>
          </w:tcPr>
          <w:p>
            <w:pPr>
              <w:pStyle w:val="TableContents"/>
              <w:spacing w:before="0" w:after="0"/>
              <w:ind w:left="225" w:right="0" w:hanging="225"/>
              <w:rPr/>
            </w:pPr>
            <w:r>
              <w:rPr/>
              <w:t>Goodwill</w:t>
            </w:r>
          </w:p>
        </w:tc>
        <w:tc>
          <w:tcPr>
            <w:tcW w:w="4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768</w:t>
            </w:r>
          </w:p>
        </w:tc>
        <w:tc>
          <w:tcPr>
            <w:tcW w:w="11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16,211</w:t>
            </w:r>
          </w:p>
        </w:tc>
        <w:tc>
          <w:tcPr>
            <w:tcW w:w="118" w:type="dxa"/>
            <w:tcBorders/>
            <w:shd w:fill="auto" w:val="clear"/>
            <w:vAlign w:val="bottom"/>
          </w:tcPr>
          <w:p>
            <w:pPr>
              <w:pStyle w:val="TableContents"/>
              <w:spacing w:before="0" w:after="283"/>
              <w:rPr/>
            </w:pPr>
            <w:r>
              <w:rPr/>
              <w:t> </w:t>
            </w:r>
          </w:p>
        </w:tc>
      </w:tr>
      <w:tr>
        <w:trPr/>
        <w:tc>
          <w:tcPr>
            <w:tcW w:w="7342" w:type="dxa"/>
            <w:tcBorders/>
            <w:shd w:fill="auto" w:val="clear"/>
            <w:vAlign w:val="center"/>
          </w:tcPr>
          <w:p>
            <w:pPr>
              <w:pStyle w:val="TableContents"/>
              <w:spacing w:before="0" w:after="0"/>
              <w:ind w:left="225" w:right="0" w:hanging="225"/>
              <w:rPr/>
            </w:pPr>
            <w:r>
              <w:rPr/>
              <w:t> </w:t>
            </w:r>
          </w:p>
        </w:tc>
        <w:tc>
          <w:tcPr>
            <w:tcW w:w="488" w:type="dxa"/>
            <w:tcBorders/>
            <w:shd w:fill="auto" w:val="clear"/>
            <w:vAlign w:val="center"/>
          </w:tcPr>
          <w:p>
            <w:pPr>
              <w:pStyle w:val="TableContents"/>
              <w:spacing w:before="0" w:after="283"/>
              <w:rPr/>
            </w:pPr>
            <w:r>
              <w:rPr/>
              <w:t> </w:t>
            </w:r>
          </w:p>
        </w:tc>
        <w:tc>
          <w:tcPr>
            <w:tcW w:w="8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8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7342" w:type="dxa"/>
            <w:tcBorders/>
            <w:shd w:fill="CCEEFF" w:val="clear"/>
            <w:vAlign w:val="bottom"/>
          </w:tcPr>
          <w:p>
            <w:pPr>
              <w:pStyle w:val="TableContents"/>
              <w:spacing w:before="0" w:after="0"/>
              <w:ind w:left="225" w:right="0" w:hanging="225"/>
              <w:rPr/>
            </w:pPr>
            <w:r>
              <w:rPr/>
              <w:t>Total</w:t>
            </w:r>
          </w:p>
        </w:tc>
        <w:tc>
          <w:tcPr>
            <w:tcW w:w="48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664" w:type="dxa"/>
            <w:tcBorders/>
            <w:shd w:fill="CCEEFF" w:val="clear"/>
            <w:vAlign w:val="bottom"/>
          </w:tcPr>
          <w:p>
            <w:pPr>
              <w:pStyle w:val="TableContents"/>
              <w:spacing w:before="0" w:after="283"/>
              <w:jc w:val="right"/>
              <w:rPr/>
            </w:pPr>
            <w:r>
              <w:rPr/>
              <w:t>2,317</w:t>
            </w:r>
          </w:p>
        </w:tc>
        <w:tc>
          <w:tcPr>
            <w:tcW w:w="11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707" w:type="dxa"/>
            <w:tcBorders/>
            <w:shd w:fill="CCEEFF" w:val="clear"/>
            <w:vAlign w:val="bottom"/>
          </w:tcPr>
          <w:p>
            <w:pPr>
              <w:pStyle w:val="TableContents"/>
              <w:spacing w:before="0" w:after="283"/>
              <w:jc w:val="right"/>
              <w:rPr/>
            </w:pPr>
            <w:r>
              <w:rPr/>
              <w:t>17,760</w:t>
            </w:r>
          </w:p>
        </w:tc>
        <w:tc>
          <w:tcPr>
            <w:tcW w:w="118" w:type="dxa"/>
            <w:tcBorders/>
            <w:shd w:fill="CCEEFF" w:val="clear"/>
            <w:vAlign w:val="bottom"/>
          </w:tcPr>
          <w:p>
            <w:pPr>
              <w:pStyle w:val="TableContents"/>
              <w:spacing w:before="0" w:after="283"/>
              <w:rPr/>
            </w:pPr>
            <w:r>
              <w:rPr/>
              <w:t> </w:t>
            </w:r>
          </w:p>
        </w:tc>
      </w:tr>
      <w:tr>
        <w:trPr/>
        <w:tc>
          <w:tcPr>
            <w:tcW w:w="7342" w:type="dxa"/>
            <w:tcBorders/>
            <w:shd w:fill="auto" w:val="clear"/>
            <w:vAlign w:val="center"/>
          </w:tcPr>
          <w:p>
            <w:pPr>
              <w:pStyle w:val="TableContents"/>
              <w:spacing w:before="0" w:after="0"/>
              <w:ind w:left="225" w:right="0" w:hanging="225"/>
              <w:rPr/>
            </w:pPr>
            <w:r>
              <w:rPr/>
              <w:t> </w:t>
            </w:r>
          </w:p>
        </w:tc>
        <w:tc>
          <w:tcPr>
            <w:tcW w:w="488" w:type="dxa"/>
            <w:tcBorders/>
            <w:shd w:fill="auto" w:val="clear"/>
            <w:vAlign w:val="center"/>
          </w:tcPr>
          <w:p>
            <w:pPr>
              <w:pStyle w:val="TableContents"/>
              <w:spacing w:before="0" w:after="283"/>
              <w:rPr/>
            </w:pPr>
            <w:r>
              <w:rPr/>
              <w:t> </w:t>
            </w:r>
          </w:p>
        </w:tc>
        <w:tc>
          <w:tcPr>
            <w:tcW w:w="8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8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the gross carrying amount and accumulated amortization for each major class of definite-lived intangible asset at the specified dates: </w:t>
      </w:r>
    </w:p>
    <w:tbl>
      <w:tblPr>
        <w:tblW w:w="5000" w:type="pct"/>
        <w:jc w:val="center"/>
        <w:tblInd w:w="0" w:type="dxa"/>
        <w:tblCellMar>
          <w:top w:w="0" w:type="dxa"/>
          <w:left w:w="0" w:type="dxa"/>
          <w:bottom w:w="0" w:type="dxa"/>
          <w:right w:w="0" w:type="dxa"/>
        </w:tblCellMar>
      </w:tblPr>
      <w:tblGrid>
        <w:gridCol w:w="3523"/>
        <w:gridCol w:w="301"/>
        <w:gridCol w:w="209"/>
        <w:gridCol w:w="888"/>
        <w:gridCol w:w="118"/>
        <w:gridCol w:w="319"/>
        <w:gridCol w:w="300"/>
        <w:gridCol w:w="1072"/>
        <w:gridCol w:w="129"/>
        <w:gridCol w:w="301"/>
        <w:gridCol w:w="209"/>
        <w:gridCol w:w="887"/>
        <w:gridCol w:w="118"/>
        <w:gridCol w:w="319"/>
        <w:gridCol w:w="300"/>
        <w:gridCol w:w="1072"/>
        <w:gridCol w:w="140"/>
      </w:tblGrid>
      <w:tr>
        <w:trPr/>
        <w:tc>
          <w:tcPr>
            <w:tcW w:w="3523"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3523"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906"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2006</w:t>
            </w:r>
          </w:p>
        </w:tc>
        <w:tc>
          <w:tcPr>
            <w:tcW w:w="129"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905"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2007</w:t>
            </w:r>
          </w:p>
        </w:tc>
        <w:tc>
          <w:tcPr>
            <w:tcW w:w="140" w:type="dxa"/>
            <w:tcBorders/>
            <w:shd w:fill="auto" w:val="clear"/>
            <w:vAlign w:val="bottom"/>
          </w:tcPr>
          <w:p>
            <w:pPr>
              <w:pStyle w:val="TableContents"/>
              <w:spacing w:before="0" w:after="283"/>
              <w:rPr/>
            </w:pPr>
            <w:r>
              <w:rPr/>
              <w:t> </w:t>
            </w:r>
          </w:p>
        </w:tc>
      </w:tr>
      <w:tr>
        <w:trPr/>
        <w:tc>
          <w:tcPr>
            <w:tcW w:w="3523"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97" w:type="dxa"/>
            <w:gridSpan w:val="2"/>
            <w:tcBorders/>
            <w:shd w:fill="auto" w:val="clear"/>
            <w:vAlign w:val="bottom"/>
          </w:tcPr>
          <w:p>
            <w:pPr>
              <w:pStyle w:val="TableContents"/>
              <w:spacing w:before="0" w:after="283"/>
              <w:jc w:val="center"/>
              <w:rPr/>
            </w:pPr>
            <w:r>
              <w:rPr/>
              <w:t>Carrying</w:t>
            </w:r>
          </w:p>
        </w:tc>
        <w:tc>
          <w:tcPr>
            <w:tcW w:w="11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jc w:val="center"/>
              <w:rPr/>
            </w:pPr>
            <w:r>
              <w:rPr/>
              <w:t>Accumulated</w:t>
            </w:r>
          </w:p>
        </w:tc>
        <w:tc>
          <w:tcPr>
            <w:tcW w:w="129"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96" w:type="dxa"/>
            <w:gridSpan w:val="2"/>
            <w:tcBorders/>
            <w:shd w:fill="auto" w:val="clear"/>
            <w:vAlign w:val="bottom"/>
          </w:tcPr>
          <w:p>
            <w:pPr>
              <w:pStyle w:val="TableContents"/>
              <w:spacing w:before="0" w:after="283"/>
              <w:jc w:val="center"/>
              <w:rPr/>
            </w:pPr>
            <w:r>
              <w:rPr/>
              <w:t>Carrying</w:t>
            </w:r>
          </w:p>
        </w:tc>
        <w:tc>
          <w:tcPr>
            <w:tcW w:w="11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jc w:val="center"/>
              <w:rPr/>
            </w:pPr>
            <w:r>
              <w:rPr/>
              <w:t>Accumulated</w:t>
            </w:r>
          </w:p>
        </w:tc>
        <w:tc>
          <w:tcPr>
            <w:tcW w:w="140" w:type="dxa"/>
            <w:tcBorders/>
            <w:shd w:fill="auto" w:val="clear"/>
            <w:vAlign w:val="bottom"/>
          </w:tcPr>
          <w:p>
            <w:pPr>
              <w:pStyle w:val="TableContents"/>
              <w:spacing w:before="0" w:after="283"/>
              <w:rPr/>
            </w:pPr>
            <w:r>
              <w:rPr/>
              <w:t> </w:t>
            </w:r>
          </w:p>
        </w:tc>
      </w:tr>
      <w:tr>
        <w:trPr/>
        <w:tc>
          <w:tcPr>
            <w:tcW w:w="3523"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97"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118" w:type="dxa"/>
            <w:tcBorders>
              <w:bottom w:val="single" w:sz="2" w:space="0" w:color="000000"/>
            </w:tcBorders>
            <w:shd w:fill="auto" w:val="clear"/>
            <w:tcMar>
              <w:bottom w:w="28" w:type="dxa"/>
            </w:tcMar>
            <w:vAlign w:val="bottom"/>
          </w:tcPr>
          <w:p>
            <w:pPr>
              <w:pStyle w:val="TableContents"/>
              <w:spacing w:before="0" w:after="283"/>
              <w:rPr/>
            </w:pPr>
            <w:r>
              <w:rPr/>
              <w:t> </w:t>
            </w:r>
          </w:p>
        </w:tc>
        <w:tc>
          <w:tcPr>
            <w:tcW w:w="319" w:type="dxa"/>
            <w:tcBorders>
              <w:bottom w:val="single" w:sz="2" w:space="0" w:color="000000"/>
            </w:tcBorders>
            <w:shd w:fill="auto" w:val="clear"/>
            <w:tcMar>
              <w:bottom w:w="28" w:type="dxa"/>
            </w:tcMar>
            <w:vAlign w:val="bottom"/>
          </w:tcPr>
          <w:p>
            <w:pPr>
              <w:pStyle w:val="TableContents"/>
              <w:spacing w:before="0" w:after="283"/>
              <w:rPr/>
            </w:pPr>
            <w:r>
              <w:rPr/>
              <w:t> </w:t>
            </w:r>
          </w:p>
        </w:tc>
        <w:tc>
          <w:tcPr>
            <w:tcW w:w="1372"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29" w:type="dxa"/>
            <w:tcBorders>
              <w:bottom w:val="single" w:sz="2" w:space="0" w:color="000000"/>
            </w:tcBorders>
            <w:shd w:fill="auto" w:val="clear"/>
            <w:tcMar>
              <w:bottom w:w="28" w:type="dxa"/>
            </w:tcMar>
            <w:vAlign w:val="bottom"/>
          </w:tcPr>
          <w:p>
            <w:pPr>
              <w:pStyle w:val="TableContents"/>
              <w:spacing w:before="0" w:after="283"/>
              <w:rPr/>
            </w:pPr>
            <w:r>
              <w:rPr/>
              <w:t> </w:t>
            </w:r>
          </w:p>
        </w:tc>
        <w:tc>
          <w:tcPr>
            <w:tcW w:w="301" w:type="dxa"/>
            <w:tcBorders>
              <w:bottom w:val="single" w:sz="2" w:space="0" w:color="000000"/>
            </w:tcBorders>
            <w:shd w:fill="auto" w:val="clear"/>
            <w:tcMar>
              <w:bottom w:w="28" w:type="dxa"/>
            </w:tcMar>
            <w:vAlign w:val="bottom"/>
          </w:tcPr>
          <w:p>
            <w:pPr>
              <w:pStyle w:val="TableContents"/>
              <w:spacing w:before="0" w:after="283"/>
              <w:rPr/>
            </w:pPr>
            <w:r>
              <w:rPr/>
              <w:t> </w:t>
            </w:r>
          </w:p>
        </w:tc>
        <w:tc>
          <w:tcPr>
            <w:tcW w:w="1096"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118" w:type="dxa"/>
            <w:tcBorders>
              <w:bottom w:val="single" w:sz="2" w:space="0" w:color="000000"/>
            </w:tcBorders>
            <w:shd w:fill="auto" w:val="clear"/>
            <w:tcMar>
              <w:bottom w:w="28" w:type="dxa"/>
            </w:tcMar>
            <w:vAlign w:val="bottom"/>
          </w:tcPr>
          <w:p>
            <w:pPr>
              <w:pStyle w:val="TableContents"/>
              <w:spacing w:before="0" w:after="283"/>
              <w:rPr/>
            </w:pPr>
            <w:r>
              <w:rPr/>
              <w:t> </w:t>
            </w:r>
          </w:p>
        </w:tc>
        <w:tc>
          <w:tcPr>
            <w:tcW w:w="319" w:type="dxa"/>
            <w:tcBorders>
              <w:bottom w:val="single" w:sz="2" w:space="0" w:color="000000"/>
            </w:tcBorders>
            <w:shd w:fill="auto" w:val="clear"/>
            <w:tcMar>
              <w:bottom w:w="28" w:type="dxa"/>
            </w:tcMar>
            <w:vAlign w:val="bottom"/>
          </w:tcPr>
          <w:p>
            <w:pPr>
              <w:pStyle w:val="TableContents"/>
              <w:spacing w:before="0" w:after="283"/>
              <w:rPr/>
            </w:pPr>
            <w:r>
              <w:rPr/>
              <w:t> </w:t>
            </w:r>
          </w:p>
        </w:tc>
        <w:tc>
          <w:tcPr>
            <w:tcW w:w="1372" w:type="dxa"/>
            <w:gridSpan w:val="2"/>
            <w:tcBorders>
              <w:bottom w:val="single" w:sz="2" w:space="0" w:color="000000"/>
            </w:tcBorders>
            <w:shd w:fill="auto" w:val="clear"/>
            <w:tcMar>
              <w:bottom w:w="28" w:type="dxa"/>
            </w:tcMar>
            <w:vAlign w:val="bottom"/>
          </w:tcPr>
          <w:p>
            <w:pPr>
              <w:pStyle w:val="TableContents"/>
              <w:spacing w:before="0" w:after="283"/>
              <w:jc w:val="center"/>
              <w:rPr/>
            </w:pPr>
            <w:r>
              <w:rPr/>
              <w:t>Amortization</w:t>
            </w:r>
          </w:p>
        </w:tc>
        <w:tc>
          <w:tcPr>
            <w:tcW w:w="140"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3523"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6241" w:type="dxa"/>
            <w:gridSpan w:val="14"/>
            <w:tcBorders/>
            <w:shd w:fill="auto" w:val="clear"/>
            <w:vAlign w:val="bottom"/>
          </w:tcPr>
          <w:p>
            <w:pPr>
              <w:pStyle w:val="TableContents"/>
              <w:spacing w:before="0" w:after="283"/>
              <w:jc w:val="center"/>
              <w:rPr>
                <w:i/>
              </w:rPr>
            </w:pPr>
            <w:r>
              <w:rPr>
                <w:i/>
              </w:rPr>
              <w:t>(In thousands)</w:t>
            </w:r>
          </w:p>
        </w:tc>
        <w:tc>
          <w:tcPr>
            <w:tcW w:w="140" w:type="dxa"/>
            <w:tcBorders/>
            <w:shd w:fill="auto" w:val="clear"/>
            <w:vAlign w:val="bottom"/>
          </w:tcPr>
          <w:p>
            <w:pPr>
              <w:pStyle w:val="TableContents"/>
              <w:spacing w:before="0" w:after="283"/>
              <w:rPr/>
            </w:pPr>
            <w:r>
              <w:rPr/>
              <w:t> </w:t>
            </w:r>
          </w:p>
        </w:tc>
      </w:tr>
      <w:tr>
        <w:trPr/>
        <w:tc>
          <w:tcPr>
            <w:tcW w:w="3523" w:type="dxa"/>
            <w:tcBorders/>
            <w:shd w:fill="CCEEFF" w:val="clear"/>
            <w:vAlign w:val="bottom"/>
          </w:tcPr>
          <w:p>
            <w:pPr>
              <w:pStyle w:val="TableContents"/>
              <w:spacing w:before="0" w:after="0"/>
              <w:ind w:left="225" w:right="0" w:hanging="225"/>
              <w:rPr/>
            </w:pPr>
            <w:r>
              <w:rPr/>
              <w:t>License application fees</w:t>
            </w:r>
          </w:p>
        </w:tc>
        <w:tc>
          <w:tcPr>
            <w:tcW w:w="30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888" w:type="dxa"/>
            <w:tcBorders/>
            <w:shd w:fill="CCEEFF" w:val="clear"/>
            <w:vAlign w:val="bottom"/>
          </w:tcPr>
          <w:p>
            <w:pPr>
              <w:pStyle w:val="TableContents"/>
              <w:spacing w:before="0" w:after="283"/>
              <w:jc w:val="right"/>
              <w:rPr/>
            </w:pPr>
            <w:r>
              <w:rPr/>
              <w:t>345</w:t>
            </w:r>
          </w:p>
        </w:tc>
        <w:tc>
          <w:tcPr>
            <w:tcW w:w="118"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left"/>
              <w:rPr/>
            </w:pPr>
            <w:r>
              <w:rPr/>
              <w:t>$</w:t>
            </w:r>
          </w:p>
        </w:tc>
        <w:tc>
          <w:tcPr>
            <w:tcW w:w="1072" w:type="dxa"/>
            <w:tcBorders/>
            <w:shd w:fill="CCEEFF" w:val="clear"/>
            <w:vAlign w:val="bottom"/>
          </w:tcPr>
          <w:p>
            <w:pPr>
              <w:pStyle w:val="TableContents"/>
              <w:spacing w:before="0" w:after="283"/>
              <w:jc w:val="right"/>
              <w:rPr/>
            </w:pPr>
            <w:r>
              <w:rPr/>
              <w:t>(257</w:t>
            </w:r>
          </w:p>
        </w:tc>
        <w:tc>
          <w:tcPr>
            <w:tcW w:w="129" w:type="dxa"/>
            <w:tcBorders/>
            <w:shd w:fill="CCEEFF" w:val="clear"/>
            <w:vAlign w:val="bottom"/>
          </w:tcPr>
          <w:p>
            <w:pPr>
              <w:pStyle w:val="TableContents"/>
              <w:spacing w:before="0" w:after="283"/>
              <w:rPr/>
            </w:pPr>
            <w:r>
              <w:rPr/>
              <w:t>)</w:t>
            </w:r>
          </w:p>
        </w:tc>
        <w:tc>
          <w:tcPr>
            <w:tcW w:w="30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887" w:type="dxa"/>
            <w:tcBorders/>
            <w:shd w:fill="CCEEFF" w:val="clear"/>
            <w:vAlign w:val="bottom"/>
          </w:tcPr>
          <w:p>
            <w:pPr>
              <w:pStyle w:val="TableContents"/>
              <w:spacing w:before="0" w:after="283"/>
              <w:jc w:val="right"/>
              <w:rPr/>
            </w:pPr>
            <w:r>
              <w:rPr/>
              <w:t>345</w:t>
            </w:r>
          </w:p>
        </w:tc>
        <w:tc>
          <w:tcPr>
            <w:tcW w:w="118"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left"/>
              <w:rPr/>
            </w:pPr>
            <w:r>
              <w:rPr/>
              <w:t>$</w:t>
            </w:r>
          </w:p>
        </w:tc>
        <w:tc>
          <w:tcPr>
            <w:tcW w:w="1072" w:type="dxa"/>
            <w:tcBorders/>
            <w:shd w:fill="CCEEFF" w:val="clear"/>
            <w:vAlign w:val="bottom"/>
          </w:tcPr>
          <w:p>
            <w:pPr>
              <w:pStyle w:val="TableContents"/>
              <w:spacing w:before="0" w:after="283"/>
              <w:jc w:val="right"/>
              <w:rPr/>
            </w:pPr>
            <w:r>
              <w:rPr/>
              <w:t>(288</w:t>
            </w:r>
          </w:p>
        </w:tc>
        <w:tc>
          <w:tcPr>
            <w:tcW w:w="140" w:type="dxa"/>
            <w:tcBorders/>
            <w:shd w:fill="CCEEFF" w:val="clear"/>
            <w:vAlign w:val="bottom"/>
          </w:tcPr>
          <w:p>
            <w:pPr>
              <w:pStyle w:val="TableContents"/>
              <w:spacing w:before="0" w:after="283"/>
              <w:rPr/>
            </w:pPr>
            <w:r>
              <w:rPr/>
              <w:t>)</w:t>
            </w:r>
          </w:p>
        </w:tc>
      </w:tr>
      <w:tr>
        <w:trPr/>
        <w:tc>
          <w:tcPr>
            <w:tcW w:w="3523" w:type="dxa"/>
            <w:tcBorders/>
            <w:shd w:fill="auto" w:val="clear"/>
            <w:vAlign w:val="bottom"/>
          </w:tcPr>
          <w:p>
            <w:pPr>
              <w:pStyle w:val="TableContents"/>
              <w:spacing w:before="0" w:after="0"/>
              <w:ind w:left="225" w:right="0" w:hanging="225"/>
              <w:rPr/>
            </w:pPr>
            <w:r>
              <w:rPr/>
              <w:t>Real estate finders fees</w:t>
            </w:r>
          </w:p>
        </w:tc>
        <w:tc>
          <w:tcPr>
            <w:tcW w:w="30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556</w:t>
            </w:r>
          </w:p>
        </w:tc>
        <w:tc>
          <w:tcPr>
            <w:tcW w:w="11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 </w:t>
            </w:r>
          </w:p>
        </w:tc>
        <w:tc>
          <w:tcPr>
            <w:tcW w:w="1072" w:type="dxa"/>
            <w:tcBorders/>
            <w:shd w:fill="auto" w:val="clear"/>
            <w:vAlign w:val="bottom"/>
          </w:tcPr>
          <w:p>
            <w:pPr>
              <w:pStyle w:val="TableContents"/>
              <w:spacing w:before="0" w:after="283"/>
              <w:jc w:val="right"/>
              <w:rPr/>
            </w:pPr>
            <w:r>
              <w:rPr/>
              <w:t>(311</w:t>
            </w:r>
          </w:p>
        </w:tc>
        <w:tc>
          <w:tcPr>
            <w:tcW w:w="129" w:type="dxa"/>
            <w:tcBorders/>
            <w:shd w:fill="auto" w:val="clear"/>
            <w:vAlign w:val="bottom"/>
          </w:tcPr>
          <w:p>
            <w:pPr>
              <w:pStyle w:val="TableContents"/>
              <w:spacing w:before="0" w:after="283"/>
              <w:rPr/>
            </w:pPr>
            <w:r>
              <w:rPr/>
              <w:t>)</w:t>
            </w:r>
          </w:p>
        </w:tc>
        <w:tc>
          <w:tcPr>
            <w:tcW w:w="30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556</w:t>
            </w:r>
          </w:p>
        </w:tc>
        <w:tc>
          <w:tcPr>
            <w:tcW w:w="11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 </w:t>
            </w:r>
          </w:p>
        </w:tc>
        <w:tc>
          <w:tcPr>
            <w:tcW w:w="1072" w:type="dxa"/>
            <w:tcBorders/>
            <w:shd w:fill="auto" w:val="clear"/>
            <w:vAlign w:val="bottom"/>
          </w:tcPr>
          <w:p>
            <w:pPr>
              <w:pStyle w:val="TableContents"/>
              <w:spacing w:before="0" w:after="283"/>
              <w:jc w:val="right"/>
              <w:rPr/>
            </w:pPr>
            <w:r>
              <w:rPr/>
              <w:t>(327</w:t>
            </w:r>
          </w:p>
        </w:tc>
        <w:tc>
          <w:tcPr>
            <w:tcW w:w="140" w:type="dxa"/>
            <w:tcBorders/>
            <w:shd w:fill="auto" w:val="clear"/>
            <w:vAlign w:val="bottom"/>
          </w:tcPr>
          <w:p>
            <w:pPr>
              <w:pStyle w:val="TableContents"/>
              <w:spacing w:before="0" w:after="283"/>
              <w:rPr/>
            </w:pPr>
            <w:r>
              <w:rPr/>
              <w:t>)</w:t>
            </w:r>
          </w:p>
        </w:tc>
      </w:tr>
      <w:tr>
        <w:trPr/>
        <w:tc>
          <w:tcPr>
            <w:tcW w:w="3523" w:type="dxa"/>
            <w:tcBorders/>
            <w:shd w:fill="CCEEFF" w:val="clear"/>
            <w:vAlign w:val="bottom"/>
          </w:tcPr>
          <w:p>
            <w:pPr>
              <w:pStyle w:val="TableContents"/>
              <w:spacing w:before="0" w:after="0"/>
              <w:ind w:left="225" w:right="0" w:hanging="225"/>
              <w:rPr/>
            </w:pPr>
            <w:r>
              <w:rPr/>
              <w:t>Non-compete agreements</w:t>
            </w:r>
          </w:p>
        </w:tc>
        <w:tc>
          <w:tcPr>
            <w:tcW w:w="30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398</w:t>
            </w:r>
          </w:p>
        </w:tc>
        <w:tc>
          <w:tcPr>
            <w:tcW w:w="118"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left"/>
              <w:rPr/>
            </w:pPr>
            <w:r>
              <w:rPr/>
              <w:t> </w:t>
            </w:r>
          </w:p>
        </w:tc>
        <w:tc>
          <w:tcPr>
            <w:tcW w:w="1072" w:type="dxa"/>
            <w:tcBorders/>
            <w:shd w:fill="CCEEFF" w:val="clear"/>
            <w:vAlign w:val="bottom"/>
          </w:tcPr>
          <w:p>
            <w:pPr>
              <w:pStyle w:val="TableContents"/>
              <w:spacing w:before="0" w:after="283"/>
              <w:jc w:val="right"/>
              <w:rPr/>
            </w:pPr>
            <w:r>
              <w:rPr/>
              <w:t>(277</w:t>
            </w:r>
          </w:p>
        </w:tc>
        <w:tc>
          <w:tcPr>
            <w:tcW w:w="129" w:type="dxa"/>
            <w:tcBorders/>
            <w:shd w:fill="CCEEFF" w:val="clear"/>
            <w:vAlign w:val="bottom"/>
          </w:tcPr>
          <w:p>
            <w:pPr>
              <w:pStyle w:val="TableContents"/>
              <w:spacing w:before="0" w:after="283"/>
              <w:rPr/>
            </w:pPr>
            <w:r>
              <w:rPr/>
              <w:t>)</w:t>
            </w:r>
          </w:p>
        </w:tc>
        <w:tc>
          <w:tcPr>
            <w:tcW w:w="301"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898</w:t>
            </w:r>
          </w:p>
        </w:tc>
        <w:tc>
          <w:tcPr>
            <w:tcW w:w="118"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jc w:val="left"/>
              <w:rPr/>
            </w:pPr>
            <w:r>
              <w:rPr/>
              <w:t> </w:t>
            </w:r>
          </w:p>
        </w:tc>
        <w:tc>
          <w:tcPr>
            <w:tcW w:w="1072" w:type="dxa"/>
            <w:tcBorders/>
            <w:shd w:fill="CCEEFF" w:val="clear"/>
            <w:vAlign w:val="bottom"/>
          </w:tcPr>
          <w:p>
            <w:pPr>
              <w:pStyle w:val="TableContents"/>
              <w:spacing w:before="0" w:after="283"/>
              <w:jc w:val="right"/>
              <w:rPr/>
            </w:pPr>
            <w:r>
              <w:rPr/>
              <w:t>(324</w:t>
            </w:r>
          </w:p>
        </w:tc>
        <w:tc>
          <w:tcPr>
            <w:tcW w:w="140" w:type="dxa"/>
            <w:tcBorders/>
            <w:shd w:fill="CCEEFF" w:val="clear"/>
            <w:vAlign w:val="bottom"/>
          </w:tcPr>
          <w:p>
            <w:pPr>
              <w:pStyle w:val="TableContents"/>
              <w:spacing w:before="0" w:after="283"/>
              <w:rPr/>
            </w:pPr>
            <w:r>
              <w:rPr/>
              <w:t>)</w:t>
            </w:r>
          </w:p>
        </w:tc>
      </w:tr>
      <w:tr>
        <w:trPr/>
        <w:tc>
          <w:tcPr>
            <w:tcW w:w="3523" w:type="dxa"/>
            <w:tcBorders/>
            <w:shd w:fill="auto" w:val="clear"/>
            <w:vAlign w:val="center"/>
          </w:tcPr>
          <w:p>
            <w:pPr>
              <w:pStyle w:val="TableContents"/>
              <w:spacing w:before="0" w:after="0"/>
              <w:ind w:left="225" w:right="0" w:hanging="225"/>
              <w:rPr/>
            </w:pPr>
            <w:r>
              <w:rPr/>
              <w:t> </w:t>
            </w:r>
          </w:p>
        </w:tc>
        <w:tc>
          <w:tcPr>
            <w:tcW w:w="301"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0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13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3523" w:type="dxa"/>
            <w:tcBorders/>
            <w:shd w:fill="auto" w:val="clear"/>
            <w:vAlign w:val="bottom"/>
          </w:tcPr>
          <w:p>
            <w:pPr>
              <w:pStyle w:val="TableContents"/>
              <w:spacing w:before="0" w:after="0"/>
              <w:ind w:left="225" w:right="0" w:hanging="225"/>
              <w:rPr/>
            </w:pPr>
            <w:r>
              <w:rPr/>
              <w:t>Total</w:t>
            </w:r>
          </w:p>
        </w:tc>
        <w:tc>
          <w:tcPr>
            <w:tcW w:w="30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w:t>
            </w:r>
          </w:p>
        </w:tc>
        <w:tc>
          <w:tcPr>
            <w:tcW w:w="888" w:type="dxa"/>
            <w:tcBorders/>
            <w:shd w:fill="auto" w:val="clear"/>
            <w:vAlign w:val="bottom"/>
          </w:tcPr>
          <w:p>
            <w:pPr>
              <w:pStyle w:val="TableContents"/>
              <w:spacing w:before="0" w:after="283"/>
              <w:jc w:val="right"/>
              <w:rPr/>
            </w:pPr>
            <w:r>
              <w:rPr/>
              <w:t>1,299</w:t>
            </w:r>
          </w:p>
        </w:tc>
        <w:tc>
          <w:tcPr>
            <w:tcW w:w="11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w:t>
            </w:r>
          </w:p>
        </w:tc>
        <w:tc>
          <w:tcPr>
            <w:tcW w:w="1072" w:type="dxa"/>
            <w:tcBorders/>
            <w:shd w:fill="auto" w:val="clear"/>
            <w:vAlign w:val="bottom"/>
          </w:tcPr>
          <w:p>
            <w:pPr>
              <w:pStyle w:val="TableContents"/>
              <w:spacing w:before="0" w:after="283"/>
              <w:jc w:val="right"/>
              <w:rPr/>
            </w:pPr>
            <w:r>
              <w:rPr/>
              <w:t>(845</w:t>
            </w:r>
          </w:p>
        </w:tc>
        <w:tc>
          <w:tcPr>
            <w:tcW w:w="129" w:type="dxa"/>
            <w:tcBorders/>
            <w:shd w:fill="auto" w:val="clear"/>
            <w:vAlign w:val="bottom"/>
          </w:tcPr>
          <w:p>
            <w:pPr>
              <w:pStyle w:val="TableContents"/>
              <w:spacing w:before="0" w:after="283"/>
              <w:rPr/>
            </w:pPr>
            <w:r>
              <w:rPr/>
              <w:t>)</w:t>
            </w:r>
          </w:p>
        </w:tc>
        <w:tc>
          <w:tcPr>
            <w:tcW w:w="30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1,799</w:t>
            </w:r>
          </w:p>
        </w:tc>
        <w:tc>
          <w:tcPr>
            <w:tcW w:w="11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left"/>
              <w:rPr/>
            </w:pPr>
            <w:r>
              <w:rPr/>
              <w:t>$</w:t>
            </w:r>
          </w:p>
        </w:tc>
        <w:tc>
          <w:tcPr>
            <w:tcW w:w="1072" w:type="dxa"/>
            <w:tcBorders/>
            <w:shd w:fill="auto" w:val="clear"/>
            <w:vAlign w:val="bottom"/>
          </w:tcPr>
          <w:p>
            <w:pPr>
              <w:pStyle w:val="TableContents"/>
              <w:spacing w:before="0" w:after="283"/>
              <w:jc w:val="right"/>
              <w:rPr/>
            </w:pPr>
            <w:r>
              <w:rPr/>
              <w:t>(939</w:t>
            </w:r>
          </w:p>
        </w:tc>
        <w:tc>
          <w:tcPr>
            <w:tcW w:w="140" w:type="dxa"/>
            <w:tcBorders/>
            <w:shd w:fill="auto" w:val="clear"/>
            <w:vAlign w:val="bottom"/>
          </w:tcPr>
          <w:p>
            <w:pPr>
              <w:pStyle w:val="TableContents"/>
              <w:spacing w:before="0" w:after="283"/>
              <w:rPr/>
            </w:pPr>
            <w:r>
              <w:rPr/>
              <w:t>)</w:t>
            </w:r>
          </w:p>
        </w:tc>
      </w:tr>
      <w:tr>
        <w:trPr/>
        <w:tc>
          <w:tcPr>
            <w:tcW w:w="3523" w:type="dxa"/>
            <w:tcBorders/>
            <w:shd w:fill="auto" w:val="clear"/>
            <w:vAlign w:val="center"/>
          </w:tcPr>
          <w:p>
            <w:pPr>
              <w:pStyle w:val="TableContents"/>
              <w:spacing w:before="0" w:after="0"/>
              <w:ind w:left="225" w:right="0" w:hanging="225"/>
              <w:rPr/>
            </w:pPr>
            <w:r>
              <w:rPr/>
              <w:t> </w:t>
            </w:r>
          </w:p>
        </w:tc>
        <w:tc>
          <w:tcPr>
            <w:tcW w:w="301" w:type="dxa"/>
            <w:tcBorders/>
            <w:shd w:fill="auto" w:val="clear"/>
            <w:vAlign w:val="center"/>
          </w:tcPr>
          <w:p>
            <w:pPr>
              <w:pStyle w:val="TableContents"/>
              <w:spacing w:before="0" w:after="283"/>
              <w:rPr/>
            </w:pPr>
            <w:r>
              <w:rPr/>
              <w:t> </w:t>
            </w:r>
          </w:p>
        </w:tc>
        <w:tc>
          <w:tcPr>
            <w:tcW w:w="10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13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0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319" w:type="dxa"/>
            <w:tcBorders/>
            <w:shd w:fill="auto" w:val="clear"/>
            <w:vAlign w:val="center"/>
          </w:tcPr>
          <w:p>
            <w:pPr>
              <w:pStyle w:val="TableContents"/>
              <w:spacing w:before="0" w:after="283"/>
              <w:rPr/>
            </w:pPr>
            <w:r>
              <w:rPr/>
              <w:t> </w:t>
            </w:r>
          </w:p>
        </w:tc>
        <w:tc>
          <w:tcPr>
            <w:tcW w:w="13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58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Total amortization expense from definite-lived intangible assets was approximately $68,000, $67,000 and $115,000 for fiscal 2005, 2006 and 2007. The following table presents our estimate of amortization expense for definite-lived intangible assets for each of the five succeeding fiscal years as of September 30, 2007 </w:t>
      </w:r>
      <w:r>
        <w:rPr>
          <w:rFonts w:ascii="Helvetica;Arial;sans-serif" w:hAnsi="Helvetica;Arial;sans-serif"/>
          <w:i/>
          <w:sz w:val="17"/>
        </w:rPr>
        <w:t>(in thousands):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8013"/>
        <w:gridCol w:w="452"/>
        <w:gridCol w:w="523"/>
        <w:gridCol w:w="853"/>
        <w:gridCol w:w="364"/>
      </w:tblGrid>
      <w:tr>
        <w:trPr/>
        <w:tc>
          <w:tcPr>
            <w:tcW w:w="80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r>
      <w:tr>
        <w:trPr/>
        <w:tc>
          <w:tcPr>
            <w:tcW w:w="8013"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740" w:type="dxa"/>
            <w:gridSpan w:val="3"/>
            <w:tcBorders>
              <w:bottom w:val="single" w:sz="2" w:space="0" w:color="000000"/>
            </w:tcBorders>
            <w:shd w:fill="auto" w:val="clear"/>
            <w:tcMar>
              <w:bottom w:w="28" w:type="dxa"/>
            </w:tcMar>
            <w:vAlign w:val="bottom"/>
          </w:tcPr>
          <w:p>
            <w:pPr>
              <w:pStyle w:val="TableContents"/>
              <w:spacing w:before="0" w:after="283"/>
              <w:jc w:val="center"/>
              <w:rPr/>
            </w:pPr>
            <w:r>
              <w:rPr/>
              <w:t>Amortization</w:t>
            </w:r>
          </w:p>
        </w:tc>
      </w:tr>
      <w:tr>
        <w:trPr/>
        <w:tc>
          <w:tcPr>
            <w:tcW w:w="8013" w:type="dxa"/>
            <w:tcBorders>
              <w:bottom w:val="single" w:sz="2" w:space="0" w:color="000000"/>
            </w:tcBorders>
            <w:shd w:fill="auto" w:val="clear"/>
            <w:tcMar>
              <w:bottom w:w="28" w:type="dxa"/>
            </w:tcMar>
            <w:vAlign w:val="bottom"/>
          </w:tcPr>
          <w:p>
            <w:pPr>
              <w:pStyle w:val="TableContents"/>
              <w:spacing w:before="0" w:after="283"/>
              <w:jc w:val="left"/>
              <w:rPr/>
            </w:pPr>
            <w:r>
              <w:rPr/>
              <w:t>Fiscal Year</w:t>
            </w:r>
          </w:p>
        </w:tc>
        <w:tc>
          <w:tcPr>
            <w:tcW w:w="452" w:type="dxa"/>
            <w:tcBorders/>
            <w:shd w:fill="auto" w:val="clear"/>
            <w:vAlign w:val="bottom"/>
          </w:tcPr>
          <w:p>
            <w:pPr>
              <w:pStyle w:val="TableContents"/>
              <w:spacing w:before="0" w:after="283"/>
              <w:rPr/>
            </w:pPr>
            <w:r>
              <w:rPr/>
              <w:t> </w:t>
            </w:r>
          </w:p>
        </w:tc>
        <w:tc>
          <w:tcPr>
            <w:tcW w:w="1740" w:type="dxa"/>
            <w:gridSpan w:val="3"/>
            <w:tcBorders>
              <w:bottom w:val="single" w:sz="2" w:space="0" w:color="000000"/>
            </w:tcBorders>
            <w:shd w:fill="auto" w:val="clear"/>
            <w:tcMar>
              <w:bottom w:w="28" w:type="dxa"/>
            </w:tcMar>
            <w:vAlign w:val="bottom"/>
          </w:tcPr>
          <w:p>
            <w:pPr>
              <w:pStyle w:val="TableContents"/>
              <w:spacing w:before="0" w:after="283"/>
              <w:jc w:val="center"/>
              <w:rPr/>
            </w:pPr>
            <w:r>
              <w:rPr/>
              <w:t>Expense</w:t>
            </w:r>
          </w:p>
        </w:tc>
      </w:tr>
      <w:tr>
        <w:trPr/>
        <w:tc>
          <w:tcPr>
            <w:tcW w:w="8013" w:type="dxa"/>
            <w:tcBorders/>
            <w:shd w:fill="CCEEFF" w:val="clear"/>
            <w:vAlign w:val="bottom"/>
          </w:tcPr>
          <w:p>
            <w:pPr>
              <w:pStyle w:val="TableContents"/>
              <w:spacing w:before="0" w:after="0"/>
              <w:ind w:left="225" w:right="0" w:hanging="225"/>
              <w:rPr/>
            </w:pPr>
            <w:r>
              <w:rPr/>
              <w:t>2008</w:t>
            </w:r>
          </w:p>
        </w:tc>
        <w:tc>
          <w:tcPr>
            <w:tcW w:w="452"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pPr>
            <w:r>
              <w:rPr/>
              <w:t>$</w:t>
            </w:r>
          </w:p>
        </w:tc>
        <w:tc>
          <w:tcPr>
            <w:tcW w:w="853" w:type="dxa"/>
            <w:tcBorders/>
            <w:shd w:fill="CCEEFF" w:val="clear"/>
            <w:vAlign w:val="bottom"/>
          </w:tcPr>
          <w:p>
            <w:pPr>
              <w:pStyle w:val="TableContents"/>
              <w:spacing w:before="0" w:after="283"/>
              <w:jc w:val="right"/>
              <w:rPr/>
            </w:pPr>
            <w:r>
              <w:rPr/>
              <w:t>488</w:t>
            </w:r>
          </w:p>
        </w:tc>
        <w:tc>
          <w:tcPr>
            <w:tcW w:w="364" w:type="dxa"/>
            <w:tcBorders/>
            <w:shd w:fill="CCEEFF" w:val="clear"/>
            <w:vAlign w:val="bottom"/>
          </w:tcPr>
          <w:p>
            <w:pPr>
              <w:pStyle w:val="TableContents"/>
              <w:spacing w:before="0" w:after="283"/>
              <w:rPr/>
            </w:pPr>
            <w:r>
              <w:rPr/>
              <w:t> </w:t>
            </w:r>
          </w:p>
        </w:tc>
      </w:tr>
      <w:tr>
        <w:trPr/>
        <w:tc>
          <w:tcPr>
            <w:tcW w:w="8013" w:type="dxa"/>
            <w:tcBorders/>
            <w:shd w:fill="auto" w:val="clear"/>
            <w:vAlign w:val="bottom"/>
          </w:tcPr>
          <w:p>
            <w:pPr>
              <w:pStyle w:val="TableContents"/>
              <w:spacing w:before="0" w:after="0"/>
              <w:ind w:left="225" w:right="0" w:hanging="225"/>
              <w:rPr/>
            </w:pPr>
            <w:r>
              <w:rPr/>
              <w:t>2009</w:t>
            </w:r>
          </w:p>
        </w:tc>
        <w:tc>
          <w:tcPr>
            <w:tcW w:w="452"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pPr>
            <w:r>
              <w:rPr/>
              <w:t>$</w:t>
            </w:r>
          </w:p>
        </w:tc>
        <w:tc>
          <w:tcPr>
            <w:tcW w:w="853" w:type="dxa"/>
            <w:tcBorders/>
            <w:shd w:fill="auto" w:val="clear"/>
            <w:vAlign w:val="bottom"/>
          </w:tcPr>
          <w:p>
            <w:pPr>
              <w:pStyle w:val="TableContents"/>
              <w:spacing w:before="0" w:after="283"/>
              <w:jc w:val="right"/>
              <w:rPr/>
            </w:pPr>
            <w:r>
              <w:rPr/>
              <w:t>479</w:t>
            </w:r>
          </w:p>
        </w:tc>
        <w:tc>
          <w:tcPr>
            <w:tcW w:w="364" w:type="dxa"/>
            <w:tcBorders/>
            <w:shd w:fill="auto" w:val="clear"/>
            <w:vAlign w:val="bottom"/>
          </w:tcPr>
          <w:p>
            <w:pPr>
              <w:pStyle w:val="TableContents"/>
              <w:spacing w:before="0" w:after="283"/>
              <w:rPr/>
            </w:pPr>
            <w:r>
              <w:rPr/>
              <w:t> </w:t>
            </w:r>
          </w:p>
        </w:tc>
      </w:tr>
      <w:tr>
        <w:trPr/>
        <w:tc>
          <w:tcPr>
            <w:tcW w:w="8013" w:type="dxa"/>
            <w:tcBorders/>
            <w:shd w:fill="CCEEFF" w:val="clear"/>
            <w:vAlign w:val="bottom"/>
          </w:tcPr>
          <w:p>
            <w:pPr>
              <w:pStyle w:val="TableContents"/>
              <w:spacing w:before="0" w:after="0"/>
              <w:ind w:left="225" w:right="0" w:hanging="225"/>
              <w:rPr/>
            </w:pPr>
            <w:r>
              <w:rPr/>
              <w:t>2010</w:t>
            </w:r>
          </w:p>
        </w:tc>
        <w:tc>
          <w:tcPr>
            <w:tcW w:w="452"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pPr>
            <w:r>
              <w:rPr/>
              <w:t>$</w:t>
            </w:r>
          </w:p>
        </w:tc>
        <w:tc>
          <w:tcPr>
            <w:tcW w:w="853" w:type="dxa"/>
            <w:tcBorders/>
            <w:shd w:fill="CCEEFF" w:val="clear"/>
            <w:vAlign w:val="bottom"/>
          </w:tcPr>
          <w:p>
            <w:pPr>
              <w:pStyle w:val="TableContents"/>
              <w:spacing w:before="0" w:after="283"/>
              <w:jc w:val="right"/>
              <w:rPr/>
            </w:pPr>
            <w:r>
              <w:rPr/>
              <w:t>465</w:t>
            </w:r>
          </w:p>
        </w:tc>
        <w:tc>
          <w:tcPr>
            <w:tcW w:w="364" w:type="dxa"/>
            <w:tcBorders/>
            <w:shd w:fill="CCEEFF" w:val="clear"/>
            <w:vAlign w:val="bottom"/>
          </w:tcPr>
          <w:p>
            <w:pPr>
              <w:pStyle w:val="TableContents"/>
              <w:spacing w:before="0" w:after="283"/>
              <w:rPr/>
            </w:pPr>
            <w:r>
              <w:rPr/>
              <w:t> </w:t>
            </w:r>
          </w:p>
        </w:tc>
      </w:tr>
      <w:tr>
        <w:trPr/>
        <w:tc>
          <w:tcPr>
            <w:tcW w:w="8013" w:type="dxa"/>
            <w:tcBorders/>
            <w:shd w:fill="auto" w:val="clear"/>
            <w:vAlign w:val="bottom"/>
          </w:tcPr>
          <w:p>
            <w:pPr>
              <w:pStyle w:val="TableContents"/>
              <w:spacing w:before="0" w:after="0"/>
              <w:ind w:left="225" w:right="0" w:hanging="225"/>
              <w:rPr/>
            </w:pPr>
            <w:r>
              <w:rPr/>
              <w:t>2011</w:t>
            </w:r>
          </w:p>
        </w:tc>
        <w:tc>
          <w:tcPr>
            <w:tcW w:w="452"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pPr>
            <w:r>
              <w:rPr/>
              <w:t>$</w:t>
            </w:r>
          </w:p>
        </w:tc>
        <w:tc>
          <w:tcPr>
            <w:tcW w:w="853" w:type="dxa"/>
            <w:tcBorders/>
            <w:shd w:fill="auto" w:val="clear"/>
            <w:vAlign w:val="bottom"/>
          </w:tcPr>
          <w:p>
            <w:pPr>
              <w:pStyle w:val="TableContents"/>
              <w:spacing w:before="0" w:after="283"/>
              <w:jc w:val="right"/>
              <w:rPr/>
            </w:pPr>
            <w:r>
              <w:rPr/>
              <w:t>458</w:t>
            </w:r>
          </w:p>
        </w:tc>
        <w:tc>
          <w:tcPr>
            <w:tcW w:w="364" w:type="dxa"/>
            <w:tcBorders/>
            <w:shd w:fill="auto" w:val="clear"/>
            <w:vAlign w:val="bottom"/>
          </w:tcPr>
          <w:p>
            <w:pPr>
              <w:pStyle w:val="TableContents"/>
              <w:spacing w:before="0" w:after="283"/>
              <w:rPr/>
            </w:pPr>
            <w:r>
              <w:rPr/>
              <w:t> </w:t>
            </w:r>
          </w:p>
        </w:tc>
      </w:tr>
      <w:tr>
        <w:trPr/>
        <w:tc>
          <w:tcPr>
            <w:tcW w:w="8013" w:type="dxa"/>
            <w:tcBorders/>
            <w:shd w:fill="CCEEFF" w:val="clear"/>
            <w:vAlign w:val="bottom"/>
          </w:tcPr>
          <w:p>
            <w:pPr>
              <w:pStyle w:val="TableContents"/>
              <w:spacing w:before="0" w:after="0"/>
              <w:ind w:left="225" w:right="0" w:hanging="225"/>
              <w:rPr/>
            </w:pPr>
            <w:r>
              <w:rPr/>
              <w:t>2012</w:t>
            </w:r>
          </w:p>
        </w:tc>
        <w:tc>
          <w:tcPr>
            <w:tcW w:w="452"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pPr>
            <w:r>
              <w:rPr/>
              <w:t>$</w:t>
            </w:r>
          </w:p>
        </w:tc>
        <w:tc>
          <w:tcPr>
            <w:tcW w:w="853" w:type="dxa"/>
            <w:tcBorders/>
            <w:shd w:fill="CCEEFF" w:val="clear"/>
            <w:vAlign w:val="bottom"/>
          </w:tcPr>
          <w:p>
            <w:pPr>
              <w:pStyle w:val="TableContents"/>
              <w:spacing w:before="0" w:after="283"/>
              <w:jc w:val="right"/>
              <w:rPr/>
            </w:pPr>
            <w:r>
              <w:rPr/>
              <w:t>425</w:t>
            </w:r>
          </w:p>
        </w:tc>
        <w:tc>
          <w:tcPr>
            <w:tcW w:w="364" w:type="dxa"/>
            <w:tcBorders/>
            <w:shd w:fill="CCEEFF"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increase from fiscal 2007 amortization to planned amortization in future years relates primarily to amortization of intangible assets acquired with the twenty Mexico pawn stores from MMFS Intl., S.A. de C.V. in October 2007, and full years amortization of intangible assets acquired with Jumping Jack Cash that was included in fiscal 2007 only since the acquisition date in June 2007. As acquisitions and dispositions occur in the future, amortization expense may vary from these estimates. </w:t>
      </w:r>
    </w:p>
    <w:p>
      <w:pPr>
        <w:pStyle w:val="TextBody"/>
        <w:spacing w:before="240" w:after="283"/>
        <w:jc w:val="left"/>
        <w:rPr>
          <w:rFonts w:ascii="Helvetica;Arial;sans-serif" w:hAnsi="Helvetica;Arial;sans-serif"/>
          <w:sz w:val="17"/>
        </w:rPr>
      </w:pPr>
      <w:r>
        <w:rPr>
          <w:rFonts w:ascii="Helvetica;Arial;sans-serif" w:hAnsi="Helvetica;Arial;sans-serif"/>
          <w:b/>
          <w:sz w:val="17"/>
        </w:rPr>
        <w:t>Note G: Accounts Payable and Other Accrued Expenses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Accounts payable and other accrued expenses consisted of the following: </w:t>
      </w:r>
    </w:p>
    <w:tbl>
      <w:tblPr>
        <w:tblW w:w="5000" w:type="pct"/>
        <w:jc w:val="center"/>
        <w:tblInd w:w="0" w:type="dxa"/>
        <w:tblCellMar>
          <w:top w:w="0" w:type="dxa"/>
          <w:left w:w="0" w:type="dxa"/>
          <w:bottom w:w="0" w:type="dxa"/>
          <w:right w:w="0" w:type="dxa"/>
        </w:tblCellMar>
      </w:tblPr>
      <w:tblGrid>
        <w:gridCol w:w="7314"/>
        <w:gridCol w:w="482"/>
        <w:gridCol w:w="142"/>
        <w:gridCol w:w="706"/>
        <w:gridCol w:w="113"/>
        <w:gridCol w:w="482"/>
        <w:gridCol w:w="142"/>
        <w:gridCol w:w="706"/>
        <w:gridCol w:w="118"/>
      </w:tblGrid>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91"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91" w:type="dxa"/>
            <w:gridSpan w:val="6"/>
            <w:tcBorders/>
            <w:shd w:fill="auto" w:val="clear"/>
            <w:vAlign w:val="bottom"/>
          </w:tcPr>
          <w:p>
            <w:pPr>
              <w:pStyle w:val="TableContents"/>
              <w:spacing w:before="0" w:after="283"/>
              <w:jc w:val="center"/>
              <w:rPr>
                <w:i/>
              </w:rPr>
            </w:pPr>
            <w:r>
              <w:rPr>
                <w:i/>
              </w:rPr>
              <w:t>(In thousands)</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Trade accounts payable</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706" w:type="dxa"/>
            <w:tcBorders/>
            <w:shd w:fill="CCEEFF" w:val="clear"/>
            <w:vAlign w:val="bottom"/>
          </w:tcPr>
          <w:p>
            <w:pPr>
              <w:pStyle w:val="TableContents"/>
              <w:spacing w:before="0" w:after="283"/>
              <w:jc w:val="right"/>
              <w:rPr/>
            </w:pPr>
            <w:r>
              <w:rPr/>
              <w:t>6,014</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706" w:type="dxa"/>
            <w:tcBorders/>
            <w:shd w:fill="CCEEFF" w:val="clear"/>
            <w:vAlign w:val="bottom"/>
          </w:tcPr>
          <w:p>
            <w:pPr>
              <w:pStyle w:val="TableContents"/>
              <w:spacing w:before="0" w:after="283"/>
              <w:jc w:val="right"/>
              <w:rPr/>
            </w:pPr>
            <w:r>
              <w:rPr/>
              <w:t>6,163</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Accrued payroll and related expenses</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8,123</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9,075</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Accrued interest</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37</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24</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Accrued rent and property taxes</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3,993</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5,277</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Accrual for expected losses on CSO letters of credit</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898</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1,197</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Collected funds payable to unaffiliated lenders under CSO program</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1,026</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pPr>
            <w:r>
              <w:rPr/>
              <w:t>1,154</w:t>
            </w:r>
          </w:p>
        </w:tc>
        <w:tc>
          <w:tcPr>
            <w:tcW w:w="118"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Other accrued expenses</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2,488</w:t>
            </w:r>
          </w:p>
        </w:tc>
        <w:tc>
          <w:tcPr>
            <w:tcW w:w="113"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pPr>
            <w:r>
              <w:rPr/>
              <w:t>2,702</w:t>
            </w:r>
          </w:p>
        </w:tc>
        <w:tc>
          <w:tcPr>
            <w:tcW w:w="118" w:type="dxa"/>
            <w:tcBorders/>
            <w:shd w:fill="CCEEFF" w:val="clear"/>
            <w:vAlign w:val="bottom"/>
          </w:tcPr>
          <w:p>
            <w:pPr>
              <w:pStyle w:val="TableContents"/>
              <w:spacing w:before="0" w:after="283"/>
              <w:rPr/>
            </w:pPr>
            <w:r>
              <w:rPr/>
              <w:t> </w:t>
            </w:r>
          </w:p>
        </w:tc>
      </w:tr>
      <w:tr>
        <w:trPr/>
        <w:tc>
          <w:tcPr>
            <w:tcW w:w="7314" w:type="dxa"/>
            <w:tcBorders/>
            <w:shd w:fill="auto" w:val="clear"/>
            <w:vAlign w:val="center"/>
          </w:tcPr>
          <w:p>
            <w:pPr>
              <w:pStyle w:val="TableContents"/>
              <w:spacing w:before="0" w:after="0"/>
              <w:ind w:left="225" w:right="0" w:hanging="225"/>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w:t>
            </w:r>
          </w:p>
        </w:tc>
        <w:tc>
          <w:tcPr>
            <w:tcW w:w="706" w:type="dxa"/>
            <w:tcBorders/>
            <w:shd w:fill="auto" w:val="clear"/>
            <w:vAlign w:val="bottom"/>
          </w:tcPr>
          <w:p>
            <w:pPr>
              <w:pStyle w:val="TableContents"/>
              <w:spacing w:before="0" w:after="283"/>
              <w:jc w:val="right"/>
              <w:rPr/>
            </w:pPr>
            <w:r>
              <w:rPr/>
              <w:t>22,579</w:t>
            </w:r>
          </w:p>
        </w:tc>
        <w:tc>
          <w:tcPr>
            <w:tcW w:w="113"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w:t>
            </w:r>
          </w:p>
        </w:tc>
        <w:tc>
          <w:tcPr>
            <w:tcW w:w="706" w:type="dxa"/>
            <w:tcBorders/>
            <w:shd w:fill="auto" w:val="clear"/>
            <w:vAlign w:val="bottom"/>
          </w:tcPr>
          <w:p>
            <w:pPr>
              <w:pStyle w:val="TableContents"/>
              <w:spacing w:before="0" w:after="283"/>
              <w:jc w:val="right"/>
              <w:rPr/>
            </w:pPr>
            <w:r>
              <w:rPr/>
              <w:t>25,592</w:t>
            </w:r>
          </w:p>
        </w:tc>
        <w:tc>
          <w:tcPr>
            <w:tcW w:w="118" w:type="dxa"/>
            <w:tcBorders/>
            <w:shd w:fill="auto" w:val="clear"/>
            <w:vAlign w:val="bottom"/>
          </w:tcPr>
          <w:p>
            <w:pPr>
              <w:pStyle w:val="TableContents"/>
              <w:spacing w:before="0" w:after="283"/>
              <w:rPr/>
            </w:pPr>
            <w:r>
              <w:rPr/>
              <w:t> </w:t>
            </w:r>
          </w:p>
        </w:tc>
      </w:tr>
      <w:tr>
        <w:trPr/>
        <w:tc>
          <w:tcPr>
            <w:tcW w:w="7314" w:type="dxa"/>
            <w:tcBorders/>
            <w:shd w:fill="auto" w:val="clear"/>
            <w:vAlign w:val="center"/>
          </w:tcPr>
          <w:p>
            <w:pPr>
              <w:pStyle w:val="TableContents"/>
              <w:spacing w:before="0" w:after="0"/>
              <w:ind w:left="225" w:right="0" w:hanging="225"/>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2" w:type="dxa"/>
            <w:tcBorders/>
            <w:shd w:fill="auto" w:val="clear"/>
            <w:vAlign w:val="center"/>
          </w:tcPr>
          <w:p>
            <w:pPr>
              <w:pStyle w:val="TableContents"/>
              <w:spacing w:before="0" w:after="283"/>
              <w:rPr/>
            </w:pPr>
            <w:r>
              <w:rPr/>
              <w:t> </w:t>
            </w:r>
          </w:p>
        </w:tc>
        <w:tc>
          <w:tcPr>
            <w:tcW w:w="8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spacing w:before="240" w:after="283"/>
        <w:jc w:val="left"/>
        <w:rPr>
          <w:rFonts w:ascii="Helvetica;Arial;sans-serif" w:hAnsi="Helvetica;Arial;sans-serif"/>
          <w:sz w:val="17"/>
        </w:rPr>
      </w:pPr>
      <w:r>
        <w:rPr>
          <w:rFonts w:ascii="Helvetica;Arial;sans-serif" w:hAnsi="Helvetica;Arial;sans-serif"/>
          <w:b/>
          <w:sz w:val="17"/>
        </w:rPr>
        <w:t>Note H: Long-Term Debt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While we had no debt at September 30, 2006 or 2007, we have a $40 million revolving credit facility secured by our assets, which matures October 1, 2009. For any borrowed funds, we may choose a Eurodollar rate plus 100 to 200 basis points (depending on the leverage ratio) or the agent banks base rate. On the unused amount of the revolving facility, we pay a commitment fee of 25 to 30 basis points depending on the leverage ratio calculated at the end of each quarter. Terms of the agreement require, among other things, that we meet certain financial covenants. We were in compliance with all covenants at September 30, 2007. Payment of dividends and additional debt are allowed but restricted. </w:t>
      </w:r>
    </w:p>
    <w:p>
      <w:pPr>
        <w:pStyle w:val="TextBody"/>
        <w:spacing w:before="240" w:after="283"/>
        <w:jc w:val="left"/>
        <w:rPr>
          <w:rFonts w:ascii="Helvetica;Arial;sans-serif" w:hAnsi="Helvetica;Arial;sans-serif"/>
          <w:sz w:val="17"/>
        </w:rPr>
      </w:pPr>
      <w:r>
        <w:rPr>
          <w:rFonts w:ascii="Helvetica;Arial;sans-serif" w:hAnsi="Helvetica;Arial;sans-serif"/>
          <w:b/>
          <w:sz w:val="17"/>
        </w:rPr>
        <w:t>Note I: Common Stock, Warrants, Options, and Share-based Compensation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All Class A Common Stock is publicly held. Holders of Class B Common Stock may, individually or as a class, convert some or all of their shares into Class A Common Stock. Class A Common Stock becomes voting common stock upon the conversion of all Class B Common Stock to Class A Common </w:t>
      </w:r>
    </w:p>
    <w:p>
      <w:pPr>
        <w:pStyle w:val="TextBody"/>
        <w:jc w:val="center"/>
        <w:rPr>
          <w:rFonts w:ascii="Helvetica;Arial;sans-serif" w:hAnsi="Helvetica;Arial;sans-serif"/>
          <w:sz w:val="17"/>
        </w:rPr>
      </w:pPr>
      <w:r>
        <w:rPr>
          <w:rFonts w:ascii="Helvetica;Arial;sans-serif" w:hAnsi="Helvetica;Arial;sans-serif"/>
          <w:sz w:val="17"/>
        </w:rPr>
        <w:t xml:space="preserve">59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Stock. We are required to reserve the number of authorized but unissued shares of Class A Common Stock that would be issuable upon conversion of all outstanding shares of Class B Common Stock.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Prior to October 1, 2005, we accounted for our share-based employee compensation plans under the recognition and measurement provisions of APB 25, as permitted by SFAS No. 123. For periods prior to October 1, 2005, share-based employee compensation cost was recognized in the Statement of Operations for only restricted stock grants and options granted at prices below market price on the date of grant. Effective October 1, 2005, we adopted the fair value recognition provisions of SFAS No. 123(R), Share-based Payment, using the modified prospective transition method. Under that transition method, compensation cost recognized in all periods after September 30, 2005 includes (a) compensation cost for all share-based payments granted prior to, but not yet vested as of October 1, 2005, based on the grant date fair value estimated under the original provisions of SFAS No. 123, and (b) compensation cost for all share-based payments granted on or after October 1, 2005, based on the grant-date fair value estimated under the provisions of SFAS No. 123(R). We amortize the fair value of grants to compensation expense on a ratable basis over the vesting period for both cliff vesting and graded vesting grants. We estimate the grant-date fair value of options using the Black-Scholes-Merton option-pricing model (Black-Scholes) and amortize it to expense over the options vesting periods. In accordance with the modified prospective transition provisions, we have not restated results for prior periods. Pro forma results are disclosed below for the pre-adoption period.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net income includes the following compensation costs related to our share-based compensation arrangements: </w:t>
      </w:r>
    </w:p>
    <w:tbl>
      <w:tblPr>
        <w:tblW w:w="5000" w:type="pct"/>
        <w:jc w:val="center"/>
        <w:tblInd w:w="0" w:type="dxa"/>
        <w:tblCellMar>
          <w:top w:w="0" w:type="dxa"/>
          <w:left w:w="0" w:type="dxa"/>
          <w:bottom w:w="0" w:type="dxa"/>
          <w:right w:w="0" w:type="dxa"/>
        </w:tblCellMar>
      </w:tblPr>
      <w:tblGrid>
        <w:gridCol w:w="5868"/>
        <w:gridCol w:w="446"/>
        <w:gridCol w:w="157"/>
        <w:gridCol w:w="657"/>
        <w:gridCol w:w="133"/>
        <w:gridCol w:w="449"/>
        <w:gridCol w:w="157"/>
        <w:gridCol w:w="712"/>
        <w:gridCol w:w="133"/>
        <w:gridCol w:w="449"/>
        <w:gridCol w:w="157"/>
        <w:gridCol w:w="754"/>
        <w:gridCol w:w="133"/>
      </w:tblGrid>
      <w:tr>
        <w:trPr/>
        <w:tc>
          <w:tcPr>
            <w:tcW w:w="586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758"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33" w:type="dxa"/>
            <w:tcBorders/>
            <w:shd w:fill="auto"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81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8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91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3" w:type="dxa"/>
            <w:tcBorders/>
            <w:shd w:fill="auto"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758" w:type="dxa"/>
            <w:gridSpan w:val="10"/>
            <w:tcBorders/>
            <w:shd w:fill="auto" w:val="clear"/>
            <w:vAlign w:val="bottom"/>
          </w:tcPr>
          <w:p>
            <w:pPr>
              <w:pStyle w:val="TableContents"/>
              <w:spacing w:before="0" w:after="283"/>
              <w:jc w:val="center"/>
              <w:rPr>
                <w:i/>
              </w:rPr>
            </w:pPr>
            <w:r>
              <w:rPr>
                <w:i/>
              </w:rPr>
              <w:t>(In thousands)</w:t>
            </w:r>
          </w:p>
        </w:tc>
        <w:tc>
          <w:tcPr>
            <w:tcW w:w="133" w:type="dxa"/>
            <w:tcBorders/>
            <w:shd w:fill="auto" w:val="clear"/>
            <w:vAlign w:val="bottom"/>
          </w:tcPr>
          <w:p>
            <w:pPr>
              <w:pStyle w:val="TableContents"/>
              <w:spacing w:before="0" w:after="283"/>
              <w:rPr/>
            </w:pPr>
            <w:r>
              <w:rPr/>
              <w:t> </w:t>
            </w:r>
          </w:p>
        </w:tc>
      </w:tr>
      <w:tr>
        <w:trPr/>
        <w:tc>
          <w:tcPr>
            <w:tcW w:w="5868" w:type="dxa"/>
            <w:tcBorders/>
            <w:shd w:fill="CCEEFF" w:val="clear"/>
            <w:vAlign w:val="bottom"/>
          </w:tcPr>
          <w:p>
            <w:pPr>
              <w:pStyle w:val="TableContents"/>
              <w:spacing w:before="0" w:after="0"/>
              <w:ind w:left="225" w:right="0" w:hanging="225"/>
              <w:rPr/>
            </w:pPr>
            <w:r>
              <w:rPr/>
              <w:t>Gross compensation costs</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0"/>
              <w:ind w:left="450" w:right="0" w:hanging="225"/>
              <w:rPr/>
            </w:pPr>
            <w:r>
              <w:rPr/>
              <w:t>Stock options</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657"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12" w:type="dxa"/>
            <w:tcBorders/>
            <w:shd w:fill="auto" w:val="clear"/>
            <w:vAlign w:val="bottom"/>
          </w:tcPr>
          <w:p>
            <w:pPr>
              <w:pStyle w:val="TableContents"/>
              <w:spacing w:before="0" w:after="283"/>
              <w:jc w:val="right"/>
              <w:rPr/>
            </w:pPr>
            <w:r>
              <w:rPr/>
              <w:t>1,321</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54" w:type="dxa"/>
            <w:tcBorders/>
            <w:shd w:fill="auto" w:val="clear"/>
            <w:vAlign w:val="bottom"/>
          </w:tcPr>
          <w:p>
            <w:pPr>
              <w:pStyle w:val="TableContents"/>
              <w:spacing w:before="0" w:after="283"/>
              <w:jc w:val="right"/>
              <w:rPr/>
            </w:pPr>
            <w:r>
              <w:rPr/>
              <w:t>1,164</w:t>
            </w:r>
          </w:p>
        </w:tc>
        <w:tc>
          <w:tcPr>
            <w:tcW w:w="133" w:type="dxa"/>
            <w:tcBorders/>
            <w:shd w:fill="auto" w:val="clear"/>
            <w:vAlign w:val="bottom"/>
          </w:tcPr>
          <w:p>
            <w:pPr>
              <w:pStyle w:val="TableContents"/>
              <w:spacing w:before="0" w:after="283"/>
              <w:rPr/>
            </w:pPr>
            <w:r>
              <w:rPr/>
              <w:t> </w:t>
            </w:r>
          </w:p>
        </w:tc>
      </w:tr>
      <w:tr>
        <w:trPr/>
        <w:tc>
          <w:tcPr>
            <w:tcW w:w="5868" w:type="dxa"/>
            <w:tcBorders/>
            <w:shd w:fill="CCEEFF" w:val="clear"/>
            <w:vAlign w:val="bottom"/>
          </w:tcPr>
          <w:p>
            <w:pPr>
              <w:pStyle w:val="TableContents"/>
              <w:spacing w:before="0" w:after="0"/>
              <w:ind w:left="450" w:right="0" w:hanging="225"/>
              <w:rPr/>
            </w:pPr>
            <w:r>
              <w:rPr/>
              <w:t>Restricted stock</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pPr>
            <w:r>
              <w:rPr/>
              <w:t>588</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76</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2,463</w:t>
            </w:r>
          </w:p>
        </w:tc>
        <w:tc>
          <w:tcPr>
            <w:tcW w:w="133" w:type="dxa"/>
            <w:tcBorders/>
            <w:shd w:fill="CCEEFF" w:val="clear"/>
            <w:vAlign w:val="bottom"/>
          </w:tcPr>
          <w:p>
            <w:pPr>
              <w:pStyle w:val="TableContents"/>
              <w:spacing w:before="0" w:after="283"/>
              <w:rPr/>
            </w:pPr>
            <w:r>
              <w:rPr/>
              <w:t> </w:t>
            </w:r>
          </w:p>
        </w:tc>
      </w:tr>
      <w:tr>
        <w:trPr/>
        <w:tc>
          <w:tcPr>
            <w:tcW w:w="5868" w:type="dxa"/>
            <w:tcBorders/>
            <w:shd w:fill="auto" w:val="clear"/>
            <w:vAlign w:val="center"/>
          </w:tcPr>
          <w:p>
            <w:pPr>
              <w:pStyle w:val="TableContents"/>
              <w:spacing w:before="0" w:after="0"/>
              <w:ind w:left="225" w:right="0" w:hanging="225"/>
              <w:rPr/>
            </w:pPr>
            <w:r>
              <w:rPr/>
              <w:t> </w:t>
            </w:r>
          </w:p>
        </w:tc>
        <w:tc>
          <w:tcPr>
            <w:tcW w:w="446" w:type="dxa"/>
            <w:tcBorders/>
            <w:shd w:fill="auto" w:val="clear"/>
            <w:vAlign w:val="center"/>
          </w:tcPr>
          <w:p>
            <w:pPr>
              <w:pStyle w:val="TableContents"/>
              <w:spacing w:before="0" w:after="283"/>
              <w:rPr/>
            </w:pPr>
            <w:r>
              <w:rPr/>
              <w:t> </w:t>
            </w:r>
          </w:p>
        </w:tc>
        <w:tc>
          <w:tcPr>
            <w:tcW w:w="8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8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9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5868" w:type="dxa"/>
            <w:tcBorders/>
            <w:shd w:fill="auto" w:val="clear"/>
            <w:vAlign w:val="bottom"/>
          </w:tcPr>
          <w:p>
            <w:pPr>
              <w:pStyle w:val="TableContents"/>
              <w:spacing w:before="0" w:after="0"/>
              <w:ind w:left="450" w:right="0" w:hanging="225"/>
              <w:rPr/>
            </w:pPr>
            <w:r>
              <w:rPr/>
              <w:t>Total gross compensation costs</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588</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1,397</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3,627</w:t>
            </w:r>
          </w:p>
        </w:tc>
        <w:tc>
          <w:tcPr>
            <w:tcW w:w="133" w:type="dxa"/>
            <w:tcBorders/>
            <w:shd w:fill="auto"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0"/>
              <w:ind w:left="225" w:right="0" w:hanging="225"/>
              <w:rPr/>
            </w:pPr>
            <w:r>
              <w:rPr/>
              <w:t> </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68" w:type="dxa"/>
            <w:tcBorders/>
            <w:shd w:fill="CCEEFF" w:val="clear"/>
            <w:vAlign w:val="bottom"/>
          </w:tcPr>
          <w:p>
            <w:pPr>
              <w:pStyle w:val="TableContents"/>
              <w:spacing w:before="0" w:after="0"/>
              <w:ind w:left="225" w:right="0" w:hanging="225"/>
              <w:rPr/>
            </w:pPr>
            <w:r>
              <w:rPr/>
              <w:t>Income tax benefits</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5868" w:type="dxa"/>
            <w:tcBorders/>
            <w:shd w:fill="auto" w:val="clear"/>
            <w:vAlign w:val="bottom"/>
          </w:tcPr>
          <w:p>
            <w:pPr>
              <w:pStyle w:val="TableContents"/>
              <w:spacing w:before="0" w:after="0"/>
              <w:ind w:left="450" w:right="0" w:hanging="225"/>
              <w:rPr/>
            </w:pPr>
            <w:r>
              <w:rPr/>
              <w:t>Stock options</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712" w:type="dxa"/>
            <w:tcBorders/>
            <w:shd w:fill="auto" w:val="clear"/>
            <w:vAlign w:val="bottom"/>
          </w:tcPr>
          <w:p>
            <w:pPr>
              <w:pStyle w:val="TableContents"/>
              <w:spacing w:before="0" w:after="283"/>
              <w:jc w:val="right"/>
              <w:rPr/>
            </w:pPr>
            <w:r>
              <w:rPr/>
              <w:t>(154</w:t>
            </w:r>
          </w:p>
        </w:tc>
        <w:tc>
          <w:tcPr>
            <w:tcW w:w="133" w:type="dxa"/>
            <w:tcBorders/>
            <w:shd w:fill="auto" w:val="clear"/>
            <w:vAlign w:val="bottom"/>
          </w:tcPr>
          <w:p>
            <w:pPr>
              <w:pStyle w:val="TableContents"/>
              <w:spacing w:before="0" w:after="283"/>
              <w:rPr/>
            </w:pPr>
            <w:r>
              <w:rPr/>
              <w:t>)</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(277</w:t>
            </w:r>
          </w:p>
        </w:tc>
        <w:tc>
          <w:tcPr>
            <w:tcW w:w="133" w:type="dxa"/>
            <w:tcBorders/>
            <w:shd w:fill="auto" w:val="clear"/>
            <w:vAlign w:val="bottom"/>
          </w:tcPr>
          <w:p>
            <w:pPr>
              <w:pStyle w:val="TableContents"/>
              <w:spacing w:before="0" w:after="283"/>
              <w:rPr/>
            </w:pPr>
            <w:r>
              <w:rPr/>
              <w:t>)</w:t>
            </w:r>
          </w:p>
        </w:tc>
      </w:tr>
      <w:tr>
        <w:trPr/>
        <w:tc>
          <w:tcPr>
            <w:tcW w:w="5868" w:type="dxa"/>
            <w:tcBorders/>
            <w:shd w:fill="CCEEFF" w:val="clear"/>
            <w:vAlign w:val="bottom"/>
          </w:tcPr>
          <w:p>
            <w:pPr>
              <w:pStyle w:val="TableContents"/>
              <w:spacing w:before="0" w:after="0"/>
              <w:ind w:left="450" w:right="0" w:hanging="225"/>
              <w:rPr/>
            </w:pPr>
            <w:r>
              <w:rPr/>
              <w:t xml:space="preserve">Restricted stock </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657" w:type="dxa"/>
            <w:tcBorders/>
            <w:shd w:fill="CCEEFF" w:val="clear"/>
            <w:vAlign w:val="bottom"/>
          </w:tcPr>
          <w:p>
            <w:pPr>
              <w:pStyle w:val="TableContents"/>
              <w:spacing w:before="0" w:after="283"/>
              <w:jc w:val="right"/>
              <w:rPr/>
            </w:pPr>
            <w:r>
              <w:rPr/>
              <w:t>(206</w:t>
            </w:r>
          </w:p>
        </w:tc>
        <w:tc>
          <w:tcPr>
            <w:tcW w:w="133" w:type="dxa"/>
            <w:tcBorders/>
            <w:shd w:fill="CCEEFF" w:val="clear"/>
            <w:vAlign w:val="bottom"/>
          </w:tcPr>
          <w:p>
            <w:pPr>
              <w:pStyle w:val="TableContents"/>
              <w:spacing w:before="0" w:after="283"/>
              <w:rPr/>
            </w:pPr>
            <w:r>
              <w:rPr/>
              <w:t>)</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712" w:type="dxa"/>
            <w:tcBorders/>
            <w:shd w:fill="CCEEFF" w:val="clear"/>
            <w:vAlign w:val="bottom"/>
          </w:tcPr>
          <w:p>
            <w:pPr>
              <w:pStyle w:val="TableContents"/>
              <w:spacing w:before="0" w:after="283"/>
              <w:jc w:val="right"/>
              <w:rPr/>
            </w:pPr>
            <w:r>
              <w:rPr/>
              <w:t>(26</w:t>
            </w:r>
          </w:p>
        </w:tc>
        <w:tc>
          <w:tcPr>
            <w:tcW w:w="133" w:type="dxa"/>
            <w:tcBorders/>
            <w:shd w:fill="CCEEFF" w:val="clear"/>
            <w:vAlign w:val="bottom"/>
          </w:tcPr>
          <w:p>
            <w:pPr>
              <w:pStyle w:val="TableContents"/>
              <w:spacing w:before="0" w:after="283"/>
              <w:rPr/>
            </w:pPr>
            <w:r>
              <w:rPr/>
              <w:t>)</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(836</w:t>
            </w:r>
          </w:p>
        </w:tc>
        <w:tc>
          <w:tcPr>
            <w:tcW w:w="133" w:type="dxa"/>
            <w:tcBorders/>
            <w:shd w:fill="CCEEFF" w:val="clear"/>
            <w:vAlign w:val="bottom"/>
          </w:tcPr>
          <w:p>
            <w:pPr>
              <w:pStyle w:val="TableContents"/>
              <w:spacing w:before="0" w:after="283"/>
              <w:rPr/>
            </w:pPr>
            <w:r>
              <w:rPr/>
              <w:t>)</w:t>
            </w:r>
          </w:p>
        </w:tc>
      </w:tr>
      <w:tr>
        <w:trPr/>
        <w:tc>
          <w:tcPr>
            <w:tcW w:w="5868" w:type="dxa"/>
            <w:tcBorders/>
            <w:shd w:fill="auto" w:val="clear"/>
            <w:vAlign w:val="center"/>
          </w:tcPr>
          <w:p>
            <w:pPr>
              <w:pStyle w:val="TableContents"/>
              <w:spacing w:before="0" w:after="0"/>
              <w:ind w:left="225" w:right="0" w:hanging="225"/>
              <w:rPr/>
            </w:pPr>
            <w:r>
              <w:rPr/>
              <w:t> </w:t>
            </w:r>
          </w:p>
        </w:tc>
        <w:tc>
          <w:tcPr>
            <w:tcW w:w="446" w:type="dxa"/>
            <w:tcBorders/>
            <w:shd w:fill="auto" w:val="clear"/>
            <w:vAlign w:val="center"/>
          </w:tcPr>
          <w:p>
            <w:pPr>
              <w:pStyle w:val="TableContents"/>
              <w:spacing w:before="0" w:after="283"/>
              <w:rPr/>
            </w:pPr>
            <w:r>
              <w:rPr/>
              <w:t> </w:t>
            </w:r>
          </w:p>
        </w:tc>
        <w:tc>
          <w:tcPr>
            <w:tcW w:w="8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8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9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5868" w:type="dxa"/>
            <w:tcBorders/>
            <w:shd w:fill="auto" w:val="clear"/>
            <w:vAlign w:val="bottom"/>
          </w:tcPr>
          <w:p>
            <w:pPr>
              <w:pStyle w:val="TableContents"/>
              <w:spacing w:before="0" w:after="0"/>
              <w:ind w:left="450" w:right="0" w:hanging="225"/>
              <w:rPr/>
            </w:pPr>
            <w:r>
              <w:rPr/>
              <w:t>Total income tax benefits</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657" w:type="dxa"/>
            <w:tcBorders/>
            <w:shd w:fill="auto" w:val="clear"/>
            <w:vAlign w:val="bottom"/>
          </w:tcPr>
          <w:p>
            <w:pPr>
              <w:pStyle w:val="TableContents"/>
              <w:spacing w:before="0" w:after="283"/>
              <w:jc w:val="right"/>
              <w:rPr/>
            </w:pPr>
            <w:r>
              <w:rPr/>
              <w:t>(206</w:t>
            </w:r>
          </w:p>
        </w:tc>
        <w:tc>
          <w:tcPr>
            <w:tcW w:w="133" w:type="dxa"/>
            <w:tcBorders/>
            <w:shd w:fill="auto" w:val="clear"/>
            <w:vAlign w:val="bottom"/>
          </w:tcPr>
          <w:p>
            <w:pPr>
              <w:pStyle w:val="TableContents"/>
              <w:spacing w:before="0" w:after="283"/>
              <w:rPr/>
            </w:pPr>
            <w:r>
              <w:rPr/>
              <w:t>)</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712" w:type="dxa"/>
            <w:tcBorders/>
            <w:shd w:fill="auto" w:val="clear"/>
            <w:vAlign w:val="bottom"/>
          </w:tcPr>
          <w:p>
            <w:pPr>
              <w:pStyle w:val="TableContents"/>
              <w:spacing w:before="0" w:after="283"/>
              <w:jc w:val="right"/>
              <w:rPr/>
            </w:pPr>
            <w:r>
              <w:rPr/>
              <w:t>(180</w:t>
            </w:r>
          </w:p>
        </w:tc>
        <w:tc>
          <w:tcPr>
            <w:tcW w:w="133" w:type="dxa"/>
            <w:tcBorders/>
            <w:shd w:fill="auto" w:val="clear"/>
            <w:vAlign w:val="bottom"/>
          </w:tcPr>
          <w:p>
            <w:pPr>
              <w:pStyle w:val="TableContents"/>
              <w:spacing w:before="0" w:after="283"/>
              <w:rPr/>
            </w:pPr>
            <w:r>
              <w:rPr/>
              <w:t>)</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(1,113</w:t>
            </w:r>
          </w:p>
        </w:tc>
        <w:tc>
          <w:tcPr>
            <w:tcW w:w="133" w:type="dxa"/>
            <w:tcBorders/>
            <w:shd w:fill="auto" w:val="clear"/>
            <w:vAlign w:val="bottom"/>
          </w:tcPr>
          <w:p>
            <w:pPr>
              <w:pStyle w:val="TableContents"/>
              <w:spacing w:before="0" w:after="283"/>
              <w:rPr/>
            </w:pPr>
            <w:r>
              <w:rPr/>
              <w:t>)</w:t>
            </w:r>
          </w:p>
        </w:tc>
      </w:tr>
      <w:tr>
        <w:trPr/>
        <w:tc>
          <w:tcPr>
            <w:tcW w:w="5868" w:type="dxa"/>
            <w:tcBorders/>
            <w:shd w:fill="auto" w:val="clear"/>
            <w:vAlign w:val="center"/>
          </w:tcPr>
          <w:p>
            <w:pPr>
              <w:pStyle w:val="TableContents"/>
              <w:spacing w:before="0" w:after="0"/>
              <w:ind w:left="225" w:right="0" w:hanging="225"/>
              <w:rPr/>
            </w:pPr>
            <w:r>
              <w:rPr/>
              <w:t> </w:t>
            </w:r>
          </w:p>
        </w:tc>
        <w:tc>
          <w:tcPr>
            <w:tcW w:w="446" w:type="dxa"/>
            <w:tcBorders/>
            <w:shd w:fill="auto" w:val="clear"/>
            <w:vAlign w:val="center"/>
          </w:tcPr>
          <w:p>
            <w:pPr>
              <w:pStyle w:val="TableContents"/>
              <w:spacing w:before="0" w:after="283"/>
              <w:rPr/>
            </w:pPr>
            <w:r>
              <w:rPr/>
              <w:t> </w:t>
            </w:r>
          </w:p>
        </w:tc>
        <w:tc>
          <w:tcPr>
            <w:tcW w:w="8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8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9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5868" w:type="dxa"/>
            <w:tcBorders/>
            <w:shd w:fill="auto" w:val="clear"/>
            <w:vAlign w:val="bottom"/>
          </w:tcPr>
          <w:p>
            <w:pPr>
              <w:pStyle w:val="TableContents"/>
              <w:spacing w:before="0" w:after="0"/>
              <w:ind w:left="225" w:right="0" w:hanging="225"/>
              <w:rPr/>
            </w:pPr>
            <w:r>
              <w:rPr/>
              <w:t> </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868" w:type="dxa"/>
            <w:tcBorders/>
            <w:shd w:fill="CCEEFF" w:val="clear"/>
            <w:vAlign w:val="bottom"/>
          </w:tcPr>
          <w:p>
            <w:pPr>
              <w:pStyle w:val="TableContents"/>
              <w:spacing w:before="0" w:after="0"/>
              <w:ind w:left="225" w:right="0" w:hanging="225"/>
              <w:rPr/>
            </w:pPr>
            <w:r>
              <w:rPr/>
              <w:t>Net compensation expense</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657" w:type="dxa"/>
            <w:tcBorders/>
            <w:shd w:fill="CCEEFF" w:val="clear"/>
            <w:vAlign w:val="bottom"/>
          </w:tcPr>
          <w:p>
            <w:pPr>
              <w:pStyle w:val="TableContents"/>
              <w:spacing w:before="0" w:after="283"/>
              <w:jc w:val="right"/>
              <w:rPr/>
            </w:pPr>
            <w:r>
              <w:rPr/>
              <w:t>382</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712" w:type="dxa"/>
            <w:tcBorders/>
            <w:shd w:fill="CCEEFF" w:val="clear"/>
            <w:vAlign w:val="bottom"/>
          </w:tcPr>
          <w:p>
            <w:pPr>
              <w:pStyle w:val="TableContents"/>
              <w:spacing w:before="0" w:after="283"/>
              <w:jc w:val="right"/>
              <w:rPr/>
            </w:pPr>
            <w:r>
              <w:rPr/>
              <w:t>1,217</w:t>
            </w:r>
          </w:p>
        </w:tc>
        <w:tc>
          <w:tcPr>
            <w:tcW w:w="13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754" w:type="dxa"/>
            <w:tcBorders/>
            <w:shd w:fill="CCEEFF" w:val="clear"/>
            <w:vAlign w:val="bottom"/>
          </w:tcPr>
          <w:p>
            <w:pPr>
              <w:pStyle w:val="TableContents"/>
              <w:spacing w:before="0" w:after="283"/>
              <w:jc w:val="right"/>
              <w:rPr/>
            </w:pPr>
            <w:r>
              <w:rPr/>
              <w:t>2,514</w:t>
            </w:r>
          </w:p>
        </w:tc>
        <w:tc>
          <w:tcPr>
            <w:tcW w:w="133" w:type="dxa"/>
            <w:tcBorders/>
            <w:shd w:fill="CCEEFF" w:val="clear"/>
            <w:vAlign w:val="bottom"/>
          </w:tcPr>
          <w:p>
            <w:pPr>
              <w:pStyle w:val="TableContents"/>
              <w:spacing w:before="0" w:after="283"/>
              <w:rPr/>
            </w:pPr>
            <w:r>
              <w:rPr/>
              <w:t> </w:t>
            </w:r>
          </w:p>
        </w:tc>
      </w:tr>
      <w:tr>
        <w:trPr/>
        <w:tc>
          <w:tcPr>
            <w:tcW w:w="5868" w:type="dxa"/>
            <w:tcBorders/>
            <w:shd w:fill="auto" w:val="clear"/>
            <w:vAlign w:val="center"/>
          </w:tcPr>
          <w:p>
            <w:pPr>
              <w:pStyle w:val="TableContents"/>
              <w:spacing w:before="0" w:after="0"/>
              <w:ind w:left="225" w:right="0" w:hanging="225"/>
              <w:rPr/>
            </w:pPr>
            <w:r>
              <w:rPr/>
              <w:t> </w:t>
            </w:r>
          </w:p>
        </w:tc>
        <w:tc>
          <w:tcPr>
            <w:tcW w:w="446" w:type="dxa"/>
            <w:tcBorders/>
            <w:shd w:fill="auto" w:val="clear"/>
            <w:vAlign w:val="center"/>
          </w:tcPr>
          <w:p>
            <w:pPr>
              <w:pStyle w:val="TableContents"/>
              <w:spacing w:before="0" w:after="283"/>
              <w:rPr/>
            </w:pPr>
            <w:r>
              <w:rPr/>
              <w:t> </w:t>
            </w:r>
          </w:p>
        </w:tc>
        <w:tc>
          <w:tcPr>
            <w:tcW w:w="8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8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9" w:type="dxa"/>
            <w:tcBorders/>
            <w:shd w:fill="auto" w:val="clear"/>
            <w:vAlign w:val="center"/>
          </w:tcPr>
          <w:p>
            <w:pPr>
              <w:pStyle w:val="TableContents"/>
              <w:spacing w:before="0" w:after="283"/>
              <w:rPr/>
            </w:pPr>
            <w:r>
              <w:rPr/>
              <w:t> </w:t>
            </w:r>
          </w:p>
        </w:tc>
        <w:tc>
          <w:tcPr>
            <w:tcW w:w="9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All options and restricted stock relate to our Class A Non-voting Common Stock.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independent directors have been granted non-qualified stock options that vest one year from grant and expire in ten years. Non-qualified, incentive stock options and restricted stock awards have been granted to our officers and employees under our 1991, 1998, 2003 and 2006 Incentive Plans. Most options have a contractual life of ten years and provide for graded vesting over five years, but some provide for cliff vesting. Certain options granted to officers also provide for accelerated vesting upon a change in control or upon the achievement of certain performance targets. Outstanding options have been granted with strike prices ranging from $0.67 per share to $15.05 per share. These were granted at or above the market price at the time of grant, and had no intrinsic value on the grant date.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September 21, 2006, our Board of Directors approved the adoption of the EZCORP, Inc. 2006 Incentive Plan (the 2006 Plan). The 2006 Plan permits grants of up to 2,250,000 options, restricted stock awards (RSAs) and stock appreciation rights (SARs) of our Class A Common Stock. In approving this plan, the Board of Directors resolved that no further options, RSAs or SARs would be granted under any previous plan. Awards that expire or are canceled without delivery of shares under the 2006 Incentive Plan generally become available for issuance in new grants. We issue new shares to </w:t>
      </w:r>
    </w:p>
    <w:p>
      <w:pPr>
        <w:pStyle w:val="TextBody"/>
        <w:jc w:val="center"/>
        <w:rPr>
          <w:rFonts w:ascii="Helvetica;Arial;sans-serif" w:hAnsi="Helvetica;Arial;sans-serif"/>
          <w:sz w:val="17"/>
        </w:rPr>
      </w:pPr>
      <w:r>
        <w:rPr>
          <w:rFonts w:ascii="Helvetica;Arial;sans-serif" w:hAnsi="Helvetica;Arial;sans-serif"/>
          <w:sz w:val="17"/>
        </w:rPr>
        <w:t xml:space="preserve">60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satisfy stock option exercises. At September 30, 2007, 426,584 shares were available for grant under the 2006 Plan.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Effective October 2, 2006, the Compensation Committee of the Board of Directors approved an award of 675,000 shares of restricted stock to the Chairman of the Board, and 945,000 shares of restricted stock to our Chief Executive Officer. The cumulative market value of the two grants on the award date was $21 million, and 20% of the shares will vest every two years for a ten-year period if certain company performance requirements are achieved. If the bi-annual performance requirements are not met, the unvested shares will be added to subsequent vesting dates. In the event that the performance requirements for vesting are not achieved for any applicable vesting date by the end of our fiscal year ending September 30, 2016, all unvested shares will be forfeited and cancelled. During fiscal 2007, $2.0 million of this cost was amortized to expense, partially offset by a related tax benefit of $0.7 million. No expense was recognized for this award in fiscal 2005 or 2006.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Effective October 2, 2006, the Compensation Committee of the Board of Directors approved an award of 137,250 shares of restricted stock to key individuals. The shares will vest October 2, 2010, and the market value of the restricted stock on the award date was $1.8 million. During fiscal 2007, $0.3 million of this cost was amortized to expense, partially offset by a related tax benefit of $0.1 million. No expense was recognized for this award in fiscal 2005 or 2006.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January 15, 2004, the Compensation Committee of the Board of Directors approved an award of 180,000 shares of restricted stock to our Chief Executive Officer. The shares will vest on January 1, 2009, provided he remains continuously employed through the vesting date. The shares were subject to earlier vesting based on the occurrence of certain objectives. The market value of the restricted stock on the award date was $0.6 million, which was being amortized over a three-year period based on our initial expectation that earlier vesting objectives would be met. One-third of the shares vested January 15, 2005 based on the attainment of the goals for accelerated vesting. Effective October 1, 2005, we determined we no longer believed the requirements would be met for accelerated vesting of the remaining unvested shares. Accordingly, the remaining unamortized compensation expense of $0.1 million is being amortized ratably over the vesting period ending January 1, 2009. During fiscal 2005, 2006 and 2007, $195,000, $75,000 and $75,000, was amortized to expense for this grant.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September 17, 2003, the Compensation Committee of the Board of Directors approved an award of 375,000 shares of restricted stock to the Chairman of the Board. The market value of the restricted stock on the award date was $0.8 million, which was amortized over the two-year restriction period that expired September 17, 2005. During fiscal 2005, $0.4 million of this cost was amortized to expense, and no expense was recognized for this grant in fiscal 2006 or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measure the fair value of RSAs based upon the market price of the underlying common stock as of the grant date. Throughout fiscal 2007, we had 1,895,250 shares of non-vested RSAs outstanding, with a weighted average grant-date fair value of $12.33 per share.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summary of the RSA activity for the most recently reported period follows: </w:t>
      </w:r>
    </w:p>
    <w:tbl>
      <w:tblPr>
        <w:tblW w:w="5000" w:type="pct"/>
        <w:jc w:val="center"/>
        <w:tblInd w:w="0" w:type="dxa"/>
        <w:tblCellMar>
          <w:top w:w="0" w:type="dxa"/>
          <w:left w:w="0" w:type="dxa"/>
          <w:bottom w:w="0" w:type="dxa"/>
          <w:right w:w="0" w:type="dxa"/>
        </w:tblCellMar>
      </w:tblPr>
      <w:tblGrid>
        <w:gridCol w:w="6747"/>
        <w:gridCol w:w="442"/>
        <w:gridCol w:w="118"/>
        <w:gridCol w:w="1027"/>
        <w:gridCol w:w="141"/>
        <w:gridCol w:w="442"/>
        <w:gridCol w:w="216"/>
        <w:gridCol w:w="948"/>
        <w:gridCol w:w="124"/>
      </w:tblGrid>
      <w:tr>
        <w:trPr/>
        <w:tc>
          <w:tcPr>
            <w:tcW w:w="6747"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64" w:type="dxa"/>
            <w:gridSpan w:val="2"/>
            <w:tcBorders/>
            <w:shd w:fill="auto" w:val="clear"/>
            <w:vAlign w:val="bottom"/>
          </w:tcPr>
          <w:p>
            <w:pPr>
              <w:pStyle w:val="TableContents"/>
              <w:spacing w:before="0" w:after="283"/>
              <w:jc w:val="center"/>
              <w:rPr/>
            </w:pPr>
            <w:r>
              <w:rPr/>
              <w:t>Weighted</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64" w:type="dxa"/>
            <w:gridSpan w:val="2"/>
            <w:tcBorders/>
            <w:shd w:fill="auto" w:val="clear"/>
            <w:vAlign w:val="bottom"/>
          </w:tcPr>
          <w:p>
            <w:pPr>
              <w:pStyle w:val="TableContents"/>
              <w:spacing w:before="0" w:after="283"/>
              <w:jc w:val="center"/>
              <w:rPr/>
            </w:pPr>
            <w:r>
              <w:rPr/>
              <w:t>Average</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64" w:type="dxa"/>
            <w:gridSpan w:val="2"/>
            <w:tcBorders/>
            <w:shd w:fill="auto" w:val="clear"/>
            <w:vAlign w:val="bottom"/>
          </w:tcPr>
          <w:p>
            <w:pPr>
              <w:pStyle w:val="TableContents"/>
              <w:spacing w:before="0" w:after="283"/>
              <w:jc w:val="center"/>
              <w:rPr/>
            </w:pPr>
            <w:r>
              <w:rPr/>
              <w:t>Grant Date</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45"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Shares</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164" w:type="dxa"/>
            <w:gridSpan w:val="2"/>
            <w:tcBorders/>
            <w:shd w:fill="auto" w:val="clear"/>
            <w:vAlign w:val="bottom"/>
          </w:tcPr>
          <w:p>
            <w:pPr>
              <w:pStyle w:val="TableContents"/>
              <w:spacing w:before="0" w:after="283"/>
              <w:jc w:val="center"/>
              <w:rPr/>
            </w:pPr>
            <w:r>
              <w:rPr/>
              <w:t>Fair Value</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016"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747" w:type="dxa"/>
            <w:tcBorders/>
            <w:shd w:fill="CCEEFF" w:val="clear"/>
            <w:vAlign w:val="bottom"/>
          </w:tcPr>
          <w:p>
            <w:pPr>
              <w:pStyle w:val="TableContents"/>
              <w:spacing w:before="0" w:after="0"/>
              <w:ind w:left="225" w:right="0" w:hanging="225"/>
              <w:rPr/>
            </w:pPr>
            <w:r>
              <w:rPr/>
              <w:t>Outstanding at beginning of year</w:t>
            </w:r>
          </w:p>
        </w:tc>
        <w:tc>
          <w:tcPr>
            <w:tcW w:w="44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pPr>
            <w:r>
              <w:rPr/>
              <w:t>120,000</w:t>
            </w:r>
          </w:p>
        </w:tc>
        <w:tc>
          <w:tcPr>
            <w:tcW w:w="141"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948" w:type="dxa"/>
            <w:tcBorders/>
            <w:shd w:fill="CCEEFF" w:val="clear"/>
            <w:vAlign w:val="bottom"/>
          </w:tcPr>
          <w:p>
            <w:pPr>
              <w:pStyle w:val="TableContents"/>
              <w:spacing w:before="0" w:after="283"/>
              <w:jc w:val="right"/>
              <w:rPr/>
            </w:pPr>
            <w:r>
              <w:rPr/>
              <w:t>3.26</w:t>
            </w:r>
          </w:p>
        </w:tc>
        <w:tc>
          <w:tcPr>
            <w:tcW w:w="124" w:type="dxa"/>
            <w:tcBorders/>
            <w:shd w:fill="CCEEFF"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0"/>
              <w:ind w:left="450" w:right="0" w:hanging="225"/>
              <w:rPr/>
            </w:pPr>
            <w:r>
              <w:rPr/>
              <w:t>Granted</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jc w:val="right"/>
              <w:rPr/>
            </w:pPr>
            <w:r>
              <w:rPr/>
              <w:t>1,776,750</w:t>
            </w:r>
          </w:p>
        </w:tc>
        <w:tc>
          <w:tcPr>
            <w:tcW w:w="14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12.94</w:t>
            </w:r>
          </w:p>
        </w:tc>
        <w:tc>
          <w:tcPr>
            <w:tcW w:w="124" w:type="dxa"/>
            <w:tcBorders/>
            <w:shd w:fill="auto" w:val="clear"/>
            <w:vAlign w:val="bottom"/>
          </w:tcPr>
          <w:p>
            <w:pPr>
              <w:pStyle w:val="TableContents"/>
              <w:spacing w:before="0" w:after="283"/>
              <w:rPr/>
            </w:pPr>
            <w:r>
              <w:rPr/>
              <w:t> </w:t>
            </w:r>
          </w:p>
        </w:tc>
      </w:tr>
      <w:tr>
        <w:trPr/>
        <w:tc>
          <w:tcPr>
            <w:tcW w:w="6747" w:type="dxa"/>
            <w:tcBorders/>
            <w:shd w:fill="CCEEFF" w:val="clear"/>
            <w:vAlign w:val="bottom"/>
          </w:tcPr>
          <w:p>
            <w:pPr>
              <w:pStyle w:val="TableContents"/>
              <w:spacing w:before="0" w:after="0"/>
              <w:ind w:left="450" w:right="0" w:hanging="225"/>
              <w:rPr/>
            </w:pPr>
            <w:r>
              <w:rPr/>
              <w:t>Released</w:t>
            </w:r>
          </w:p>
        </w:tc>
        <w:tc>
          <w:tcPr>
            <w:tcW w:w="44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pPr>
            <w:r>
              <w:rPr/>
              <w:t></w:t>
            </w:r>
          </w:p>
        </w:tc>
        <w:tc>
          <w:tcPr>
            <w:tcW w:w="141"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r>
      <w:tr>
        <w:trPr/>
        <w:tc>
          <w:tcPr>
            <w:tcW w:w="6747" w:type="dxa"/>
            <w:tcBorders/>
            <w:shd w:fill="auto" w:val="clear"/>
            <w:vAlign w:val="bottom"/>
          </w:tcPr>
          <w:p>
            <w:pPr>
              <w:pStyle w:val="TableContents"/>
              <w:spacing w:before="0" w:after="0"/>
              <w:ind w:left="450" w:right="0" w:hanging="225"/>
              <w:rPr/>
            </w:pPr>
            <w:r>
              <w:rPr/>
              <w:t>Forfeited</w:t>
            </w:r>
          </w:p>
        </w:tc>
        <w:tc>
          <w:tcPr>
            <w:tcW w:w="44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283"/>
              <w:jc w:val="right"/>
              <w:rPr/>
            </w:pPr>
            <w:r>
              <w:rPr/>
              <w:t>(1,500</w:t>
            </w:r>
          </w:p>
        </w:tc>
        <w:tc>
          <w:tcPr>
            <w:tcW w:w="141" w:type="dxa"/>
            <w:tcBorders/>
            <w:shd w:fill="auto" w:val="clear"/>
            <w:vAlign w:val="bottom"/>
          </w:tcPr>
          <w:p>
            <w:pPr>
              <w:pStyle w:val="TableContents"/>
              <w:spacing w:before="0" w:after="283"/>
              <w:rPr/>
            </w:pPr>
            <w:r>
              <w:rPr/>
              <w:t>)</w:t>
            </w:r>
          </w:p>
        </w:tc>
        <w:tc>
          <w:tcPr>
            <w:tcW w:w="44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12.93</w:t>
            </w:r>
          </w:p>
        </w:tc>
        <w:tc>
          <w:tcPr>
            <w:tcW w:w="124" w:type="dxa"/>
            <w:tcBorders/>
            <w:shd w:fill="auto" w:val="clear"/>
            <w:vAlign w:val="bottom"/>
          </w:tcPr>
          <w:p>
            <w:pPr>
              <w:pStyle w:val="TableContents"/>
              <w:spacing w:before="0" w:after="283"/>
              <w:rPr/>
            </w:pPr>
            <w:r>
              <w:rPr/>
              <w:t> </w:t>
            </w:r>
          </w:p>
        </w:tc>
      </w:tr>
      <w:tr>
        <w:trPr/>
        <w:tc>
          <w:tcPr>
            <w:tcW w:w="6747" w:type="dxa"/>
            <w:tcBorders/>
            <w:shd w:fill="auto" w:val="clear"/>
            <w:vAlign w:val="center"/>
          </w:tcPr>
          <w:p>
            <w:pPr>
              <w:pStyle w:val="TableContents"/>
              <w:spacing w:before="0" w:after="0"/>
              <w:ind w:left="225" w:right="0" w:hanging="225"/>
              <w:rPr/>
            </w:pPr>
            <w:r>
              <w:rPr/>
              <w:t> </w:t>
            </w:r>
          </w:p>
        </w:tc>
        <w:tc>
          <w:tcPr>
            <w:tcW w:w="442"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1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r>
        <w:trPr/>
        <w:tc>
          <w:tcPr>
            <w:tcW w:w="6747" w:type="dxa"/>
            <w:tcBorders/>
            <w:shd w:fill="CCEEFF" w:val="clear"/>
            <w:vAlign w:val="bottom"/>
          </w:tcPr>
          <w:p>
            <w:pPr>
              <w:pStyle w:val="TableContents"/>
              <w:spacing w:before="0" w:after="0"/>
              <w:ind w:left="225" w:right="0" w:hanging="225"/>
              <w:rPr/>
            </w:pPr>
            <w:r>
              <w:rPr/>
              <w:t>Outstanding at end of year</w:t>
            </w:r>
          </w:p>
        </w:tc>
        <w:tc>
          <w:tcPr>
            <w:tcW w:w="44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pPr>
            <w:r>
              <w:rPr/>
              <w:t>1,895,250</w:t>
            </w:r>
          </w:p>
        </w:tc>
        <w:tc>
          <w:tcPr>
            <w:tcW w:w="141"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948" w:type="dxa"/>
            <w:tcBorders/>
            <w:shd w:fill="CCEEFF" w:val="clear"/>
            <w:vAlign w:val="bottom"/>
          </w:tcPr>
          <w:p>
            <w:pPr>
              <w:pStyle w:val="TableContents"/>
              <w:spacing w:before="0" w:after="283"/>
              <w:jc w:val="right"/>
              <w:rPr/>
            </w:pPr>
            <w:r>
              <w:rPr/>
              <w:t>12.33</w:t>
            </w:r>
          </w:p>
        </w:tc>
        <w:tc>
          <w:tcPr>
            <w:tcW w:w="124" w:type="dxa"/>
            <w:tcBorders/>
            <w:shd w:fill="CCEEFF" w:val="clear"/>
            <w:vAlign w:val="bottom"/>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61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September 30, 2007, there was $20.7 million of unrecognized compensation cost related to RSAs. We expect to recognize this cost over a weighted average period of 8 years.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summary of the option activity for the most recently reported period follows: </w:t>
      </w:r>
    </w:p>
    <w:tbl>
      <w:tblPr>
        <w:tblW w:w="5000" w:type="pct"/>
        <w:jc w:val="center"/>
        <w:tblInd w:w="0" w:type="dxa"/>
        <w:tblCellMar>
          <w:top w:w="0" w:type="dxa"/>
          <w:left w:w="0" w:type="dxa"/>
          <w:bottom w:w="0" w:type="dxa"/>
          <w:right w:w="0" w:type="dxa"/>
        </w:tblCellMar>
      </w:tblPr>
      <w:tblGrid>
        <w:gridCol w:w="3642"/>
        <w:gridCol w:w="309"/>
        <w:gridCol w:w="99"/>
        <w:gridCol w:w="1030"/>
        <w:gridCol w:w="126"/>
        <w:gridCol w:w="309"/>
        <w:gridCol w:w="198"/>
        <w:gridCol w:w="848"/>
        <w:gridCol w:w="99"/>
        <w:gridCol w:w="309"/>
        <w:gridCol w:w="205"/>
        <w:gridCol w:w="1089"/>
        <w:gridCol w:w="98"/>
        <w:gridCol w:w="309"/>
        <w:gridCol w:w="240"/>
        <w:gridCol w:w="1183"/>
        <w:gridCol w:w="112"/>
      </w:tblGrid>
      <w:tr>
        <w:trPr/>
        <w:tc>
          <w:tcPr>
            <w:tcW w:w="364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364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jc w:val="center"/>
              <w:rPr/>
            </w:pPr>
            <w:r>
              <w:rPr/>
              <w:t>Weighted</w:t>
            </w:r>
          </w:p>
        </w:tc>
        <w:tc>
          <w:tcPr>
            <w:tcW w:w="9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23" w:type="dxa"/>
            <w:gridSpan w:val="2"/>
            <w:tcBorders/>
            <w:shd w:fill="auto" w:val="clear"/>
            <w:vAlign w:val="bottom"/>
          </w:tcPr>
          <w:p>
            <w:pPr>
              <w:pStyle w:val="TableContents"/>
              <w:spacing w:before="0" w:after="283"/>
              <w:jc w:val="center"/>
              <w:rPr/>
            </w:pPr>
            <w:r>
              <w:rPr/>
              <w:t> </w:t>
            </w:r>
          </w:p>
        </w:tc>
        <w:tc>
          <w:tcPr>
            <w:tcW w:w="112" w:type="dxa"/>
            <w:tcBorders/>
            <w:shd w:fill="auto" w:val="clear"/>
            <w:vAlign w:val="bottom"/>
          </w:tcPr>
          <w:p>
            <w:pPr>
              <w:pStyle w:val="TableContents"/>
              <w:spacing w:before="0" w:after="283"/>
              <w:rPr/>
            </w:pPr>
            <w:r>
              <w:rPr/>
              <w:t> </w:t>
            </w:r>
          </w:p>
        </w:tc>
      </w:tr>
      <w:tr>
        <w:trPr/>
        <w:tc>
          <w:tcPr>
            <w:tcW w:w="364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046" w:type="dxa"/>
            <w:gridSpan w:val="2"/>
            <w:tcBorders/>
            <w:shd w:fill="auto" w:val="clear"/>
            <w:vAlign w:val="bottom"/>
          </w:tcPr>
          <w:p>
            <w:pPr>
              <w:pStyle w:val="TableContents"/>
              <w:spacing w:before="0" w:after="283"/>
              <w:jc w:val="center"/>
              <w:rPr/>
            </w:pPr>
            <w:r>
              <w:rPr/>
              <w:t>Weighted</w:t>
            </w:r>
          </w:p>
        </w:tc>
        <w:tc>
          <w:tcPr>
            <w:tcW w:w="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jc w:val="center"/>
              <w:rPr/>
            </w:pPr>
            <w:r>
              <w:rPr/>
              <w:t>Average</w:t>
            </w:r>
          </w:p>
        </w:tc>
        <w:tc>
          <w:tcPr>
            <w:tcW w:w="9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23" w:type="dxa"/>
            <w:gridSpan w:val="2"/>
            <w:tcBorders/>
            <w:shd w:fill="auto" w:val="clear"/>
            <w:vAlign w:val="bottom"/>
          </w:tcPr>
          <w:p>
            <w:pPr>
              <w:pStyle w:val="TableContents"/>
              <w:spacing w:before="0" w:after="283"/>
              <w:jc w:val="center"/>
              <w:rPr/>
            </w:pPr>
            <w:r>
              <w:rPr/>
              <w:t> </w:t>
            </w:r>
          </w:p>
        </w:tc>
        <w:tc>
          <w:tcPr>
            <w:tcW w:w="112" w:type="dxa"/>
            <w:tcBorders/>
            <w:shd w:fill="auto" w:val="clear"/>
            <w:vAlign w:val="bottom"/>
          </w:tcPr>
          <w:p>
            <w:pPr>
              <w:pStyle w:val="TableContents"/>
              <w:spacing w:before="0" w:after="283"/>
              <w:rPr/>
            </w:pPr>
            <w:r>
              <w:rPr/>
              <w:t> </w:t>
            </w:r>
          </w:p>
        </w:tc>
      </w:tr>
      <w:tr>
        <w:trPr/>
        <w:tc>
          <w:tcPr>
            <w:tcW w:w="364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046" w:type="dxa"/>
            <w:gridSpan w:val="2"/>
            <w:tcBorders/>
            <w:shd w:fill="auto" w:val="clear"/>
            <w:vAlign w:val="bottom"/>
          </w:tcPr>
          <w:p>
            <w:pPr>
              <w:pStyle w:val="TableContents"/>
              <w:spacing w:before="0" w:after="283"/>
              <w:jc w:val="center"/>
              <w:rPr/>
            </w:pPr>
            <w:r>
              <w:rPr/>
              <w:t>Average</w:t>
            </w:r>
          </w:p>
        </w:tc>
        <w:tc>
          <w:tcPr>
            <w:tcW w:w="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jc w:val="center"/>
              <w:rPr/>
            </w:pPr>
            <w:r>
              <w:rPr/>
              <w:t>Remaining</w:t>
            </w:r>
          </w:p>
        </w:tc>
        <w:tc>
          <w:tcPr>
            <w:tcW w:w="9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23" w:type="dxa"/>
            <w:gridSpan w:val="2"/>
            <w:tcBorders/>
            <w:shd w:fill="auto" w:val="clear"/>
            <w:vAlign w:val="bottom"/>
          </w:tcPr>
          <w:p>
            <w:pPr>
              <w:pStyle w:val="TableContents"/>
              <w:spacing w:before="0" w:after="283"/>
              <w:jc w:val="center"/>
              <w:rPr/>
            </w:pPr>
            <w:r>
              <w:rPr/>
              <w:t>Aggregate</w:t>
            </w:r>
          </w:p>
        </w:tc>
        <w:tc>
          <w:tcPr>
            <w:tcW w:w="112" w:type="dxa"/>
            <w:tcBorders/>
            <w:shd w:fill="auto" w:val="clear"/>
            <w:vAlign w:val="bottom"/>
          </w:tcPr>
          <w:p>
            <w:pPr>
              <w:pStyle w:val="TableContents"/>
              <w:spacing w:before="0" w:after="283"/>
              <w:rPr/>
            </w:pPr>
            <w:r>
              <w:rPr/>
              <w:t> </w:t>
            </w:r>
          </w:p>
        </w:tc>
      </w:tr>
      <w:tr>
        <w:trPr/>
        <w:tc>
          <w:tcPr>
            <w:tcW w:w="364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046" w:type="dxa"/>
            <w:gridSpan w:val="2"/>
            <w:tcBorders/>
            <w:shd w:fill="auto" w:val="clear"/>
            <w:vAlign w:val="bottom"/>
          </w:tcPr>
          <w:p>
            <w:pPr>
              <w:pStyle w:val="TableContents"/>
              <w:spacing w:before="0" w:after="283"/>
              <w:jc w:val="center"/>
              <w:rPr/>
            </w:pPr>
            <w:r>
              <w:rPr/>
              <w:t>Exercise</w:t>
            </w:r>
          </w:p>
        </w:tc>
        <w:tc>
          <w:tcPr>
            <w:tcW w:w="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jc w:val="center"/>
              <w:rPr/>
            </w:pPr>
            <w:r>
              <w:rPr/>
              <w:t>Contractual</w:t>
            </w:r>
          </w:p>
        </w:tc>
        <w:tc>
          <w:tcPr>
            <w:tcW w:w="9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23" w:type="dxa"/>
            <w:gridSpan w:val="2"/>
            <w:tcBorders/>
            <w:shd w:fill="auto" w:val="clear"/>
            <w:vAlign w:val="bottom"/>
          </w:tcPr>
          <w:p>
            <w:pPr>
              <w:pStyle w:val="TableContents"/>
              <w:spacing w:before="0" w:after="283"/>
              <w:jc w:val="center"/>
              <w:rPr/>
            </w:pPr>
            <w:r>
              <w:rPr/>
              <w:t>Intrinsic Value</w:t>
            </w:r>
          </w:p>
        </w:tc>
        <w:tc>
          <w:tcPr>
            <w:tcW w:w="112" w:type="dxa"/>
            <w:tcBorders/>
            <w:shd w:fill="auto" w:val="clear"/>
            <w:vAlign w:val="bottom"/>
          </w:tcPr>
          <w:p>
            <w:pPr>
              <w:pStyle w:val="TableContents"/>
              <w:spacing w:before="0" w:after="283"/>
              <w:rPr/>
            </w:pPr>
            <w:r>
              <w:rPr/>
              <w:t> </w:t>
            </w:r>
          </w:p>
        </w:tc>
      </w:tr>
      <w:tr>
        <w:trPr/>
        <w:tc>
          <w:tcPr>
            <w:tcW w:w="364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29"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Shares</w:t>
            </w:r>
          </w:p>
        </w:tc>
        <w:tc>
          <w:tcPr>
            <w:tcW w:w="12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046" w:type="dxa"/>
            <w:gridSpan w:val="2"/>
            <w:tcBorders/>
            <w:shd w:fill="auto" w:val="clear"/>
            <w:vAlign w:val="bottom"/>
          </w:tcPr>
          <w:p>
            <w:pPr>
              <w:pStyle w:val="TableContents"/>
              <w:spacing w:before="0" w:after="283"/>
              <w:jc w:val="center"/>
              <w:rPr/>
            </w:pPr>
            <w:r>
              <w:rPr/>
              <w:t>Price</w:t>
            </w:r>
          </w:p>
        </w:tc>
        <w:tc>
          <w:tcPr>
            <w:tcW w:w="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jc w:val="center"/>
              <w:rPr/>
            </w:pPr>
            <w:r>
              <w:rPr/>
              <w:t xml:space="preserve">Term </w:t>
            </w:r>
            <w:r>
              <w:rPr>
                <w:i/>
              </w:rPr>
              <w:t>(years)</w:t>
            </w:r>
          </w:p>
        </w:tc>
        <w:tc>
          <w:tcPr>
            <w:tcW w:w="9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23" w:type="dxa"/>
            <w:gridSpan w:val="2"/>
            <w:tcBorders/>
            <w:shd w:fill="auto" w:val="clear"/>
            <w:vAlign w:val="bottom"/>
          </w:tcPr>
          <w:p>
            <w:pPr>
              <w:pStyle w:val="TableContents"/>
              <w:spacing w:before="0" w:after="283"/>
              <w:jc w:val="center"/>
              <w:rPr>
                <w:i/>
              </w:rPr>
            </w:pPr>
            <w:r>
              <w:rPr>
                <w:i/>
              </w:rPr>
              <w:t>(thousands)</w:t>
            </w:r>
          </w:p>
        </w:tc>
        <w:tc>
          <w:tcPr>
            <w:tcW w:w="112" w:type="dxa"/>
            <w:tcBorders/>
            <w:shd w:fill="auto" w:val="clear"/>
            <w:vAlign w:val="bottom"/>
          </w:tcPr>
          <w:p>
            <w:pPr>
              <w:pStyle w:val="TableContents"/>
              <w:spacing w:before="0" w:after="283"/>
              <w:rPr/>
            </w:pPr>
            <w:r>
              <w:rPr/>
              <w:t> </w:t>
            </w:r>
          </w:p>
        </w:tc>
      </w:tr>
      <w:tr>
        <w:trPr/>
        <w:tc>
          <w:tcPr>
            <w:tcW w:w="3642"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6254" w:type="dxa"/>
            <w:gridSpan w:val="15"/>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3642" w:type="dxa"/>
            <w:tcBorders/>
            <w:shd w:fill="CCEEFF" w:val="clear"/>
            <w:vAlign w:val="bottom"/>
          </w:tcPr>
          <w:p>
            <w:pPr>
              <w:pStyle w:val="TableContents"/>
              <w:spacing w:before="0" w:after="0"/>
              <w:ind w:left="225" w:right="0" w:hanging="225"/>
              <w:rPr/>
            </w:pPr>
            <w:r>
              <w:rPr/>
              <w:t>Outstanding at September 30, 2006</w:t>
            </w:r>
          </w:p>
        </w:tc>
        <w:tc>
          <w:tcPr>
            <w:tcW w:w="30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3,374,670</w:t>
            </w:r>
          </w:p>
        </w:tc>
        <w:tc>
          <w:tcPr>
            <w:tcW w:w="12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48" w:type="dxa"/>
            <w:tcBorders/>
            <w:shd w:fill="CCEEFF" w:val="clear"/>
            <w:vAlign w:val="bottom"/>
          </w:tcPr>
          <w:p>
            <w:pPr>
              <w:pStyle w:val="TableContents"/>
              <w:spacing w:before="0" w:after="283"/>
              <w:jc w:val="right"/>
              <w:rPr/>
            </w:pPr>
            <w:r>
              <w:rPr/>
              <w:t>2.83</w:t>
            </w:r>
          </w:p>
        </w:tc>
        <w:tc>
          <w:tcPr>
            <w:tcW w:w="9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3642" w:type="dxa"/>
            <w:tcBorders/>
            <w:shd w:fill="auto" w:val="clear"/>
            <w:vAlign w:val="bottom"/>
          </w:tcPr>
          <w:p>
            <w:pPr>
              <w:pStyle w:val="TableContents"/>
              <w:spacing w:before="0" w:after="0"/>
              <w:ind w:left="450" w:right="0" w:hanging="225"/>
              <w:rPr/>
            </w:pPr>
            <w:r>
              <w:rPr/>
              <w:t>Granted</w:t>
            </w:r>
          </w:p>
        </w:tc>
        <w:tc>
          <w:tcPr>
            <w:tcW w:w="30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1,666</w:t>
            </w:r>
          </w:p>
        </w:tc>
        <w:tc>
          <w:tcPr>
            <w:tcW w:w="12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15.05</w:t>
            </w:r>
          </w:p>
        </w:tc>
        <w:tc>
          <w:tcPr>
            <w:tcW w:w="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3642" w:type="dxa"/>
            <w:tcBorders/>
            <w:shd w:fill="CCEEFF" w:val="clear"/>
            <w:vAlign w:val="bottom"/>
          </w:tcPr>
          <w:p>
            <w:pPr>
              <w:pStyle w:val="TableContents"/>
              <w:spacing w:before="0" w:after="0"/>
              <w:ind w:left="450" w:right="0" w:hanging="225"/>
              <w:rPr/>
            </w:pPr>
            <w:r>
              <w:rPr/>
              <w:t>Forfeited</w:t>
            </w:r>
          </w:p>
        </w:tc>
        <w:tc>
          <w:tcPr>
            <w:tcW w:w="30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30" w:type="dxa"/>
            <w:tcBorders/>
            <w:shd w:fill="CCEEFF" w:val="clear"/>
            <w:vAlign w:val="bottom"/>
          </w:tcPr>
          <w:p>
            <w:pPr>
              <w:pStyle w:val="TableContents"/>
              <w:spacing w:before="0" w:after="283"/>
              <w:jc w:val="right"/>
              <w:rPr/>
            </w:pPr>
            <w:r>
              <w:rPr/>
              <w:t>(5,400</w:t>
            </w:r>
          </w:p>
        </w:tc>
        <w:tc>
          <w:tcPr>
            <w:tcW w:w="126" w:type="dxa"/>
            <w:tcBorders/>
            <w:shd w:fill="CCEEFF" w:val="clear"/>
            <w:vAlign w:val="bottom"/>
          </w:tcPr>
          <w:p>
            <w:pPr>
              <w:pStyle w:val="TableContents"/>
              <w:spacing w:before="0" w:after="283"/>
              <w:rPr/>
            </w:pPr>
            <w:r>
              <w:rPr/>
              <w:t>)</w:t>
            </w:r>
          </w:p>
        </w:tc>
        <w:tc>
          <w:tcPr>
            <w:tcW w:w="30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1.56</w:t>
            </w:r>
          </w:p>
        </w:tc>
        <w:tc>
          <w:tcPr>
            <w:tcW w:w="9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3642" w:type="dxa"/>
            <w:tcBorders/>
            <w:shd w:fill="auto" w:val="clear"/>
            <w:vAlign w:val="bottom"/>
          </w:tcPr>
          <w:p>
            <w:pPr>
              <w:pStyle w:val="TableContents"/>
              <w:spacing w:before="0" w:after="0"/>
              <w:ind w:left="450" w:right="0" w:hanging="225"/>
              <w:rPr/>
            </w:pPr>
            <w:r>
              <w:rPr/>
              <w:t>Expired</w:t>
            </w:r>
          </w:p>
        </w:tc>
        <w:tc>
          <w:tcPr>
            <w:tcW w:w="30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pPr>
            <w:r>
              <w:rPr/>
              <w:t>(9,600</w:t>
            </w:r>
          </w:p>
        </w:tc>
        <w:tc>
          <w:tcPr>
            <w:tcW w:w="126" w:type="dxa"/>
            <w:tcBorders/>
            <w:shd w:fill="auto" w:val="clear"/>
            <w:vAlign w:val="bottom"/>
          </w:tcPr>
          <w:p>
            <w:pPr>
              <w:pStyle w:val="TableContents"/>
              <w:spacing w:before="0" w:after="283"/>
              <w:rPr/>
            </w:pPr>
            <w:r>
              <w:rPr/>
              <w:t>)</w:t>
            </w:r>
          </w:p>
        </w:tc>
        <w:tc>
          <w:tcPr>
            <w:tcW w:w="30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0.74</w:t>
            </w:r>
          </w:p>
        </w:tc>
        <w:tc>
          <w:tcPr>
            <w:tcW w:w="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3642" w:type="dxa"/>
            <w:tcBorders/>
            <w:shd w:fill="CCEEFF" w:val="clear"/>
            <w:vAlign w:val="bottom"/>
          </w:tcPr>
          <w:p>
            <w:pPr>
              <w:pStyle w:val="TableContents"/>
              <w:spacing w:before="0" w:after="0"/>
              <w:ind w:left="450" w:right="0" w:hanging="225"/>
              <w:rPr/>
            </w:pPr>
            <w:r>
              <w:rPr/>
              <w:t>Exercised</w:t>
            </w:r>
          </w:p>
        </w:tc>
        <w:tc>
          <w:tcPr>
            <w:tcW w:w="30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30" w:type="dxa"/>
            <w:tcBorders/>
            <w:shd w:fill="CCEEFF" w:val="clear"/>
            <w:vAlign w:val="bottom"/>
          </w:tcPr>
          <w:p>
            <w:pPr>
              <w:pStyle w:val="TableContents"/>
              <w:spacing w:before="0" w:after="283"/>
              <w:jc w:val="right"/>
              <w:rPr/>
            </w:pPr>
            <w:r>
              <w:rPr/>
              <w:t>(809,670</w:t>
            </w:r>
          </w:p>
        </w:tc>
        <w:tc>
          <w:tcPr>
            <w:tcW w:w="126" w:type="dxa"/>
            <w:tcBorders/>
            <w:shd w:fill="CCEEFF" w:val="clear"/>
            <w:vAlign w:val="bottom"/>
          </w:tcPr>
          <w:p>
            <w:pPr>
              <w:pStyle w:val="TableContents"/>
              <w:spacing w:before="0" w:after="283"/>
              <w:rPr/>
            </w:pPr>
            <w:r>
              <w:rPr/>
              <w:t>)</w:t>
            </w:r>
          </w:p>
        </w:tc>
        <w:tc>
          <w:tcPr>
            <w:tcW w:w="30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1.78</w:t>
            </w:r>
          </w:p>
        </w:tc>
        <w:tc>
          <w:tcPr>
            <w:tcW w:w="9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3642" w:type="dxa"/>
            <w:tcBorders/>
            <w:shd w:fill="auto" w:val="clear"/>
            <w:vAlign w:val="center"/>
          </w:tcPr>
          <w:p>
            <w:pPr>
              <w:pStyle w:val="TableContents"/>
              <w:spacing w:before="0" w:after="0"/>
              <w:ind w:left="225" w:right="0" w:hanging="225"/>
              <w:rPr/>
            </w:pPr>
            <w:r>
              <w:rPr/>
              <w:t> </w:t>
            </w:r>
          </w:p>
        </w:tc>
        <w:tc>
          <w:tcPr>
            <w:tcW w:w="309" w:type="dxa"/>
            <w:tcBorders/>
            <w:shd w:fill="auto" w:val="clear"/>
            <w:vAlign w:val="center"/>
          </w:tcPr>
          <w:p>
            <w:pPr>
              <w:pStyle w:val="TableContents"/>
              <w:spacing w:before="0" w:after="283"/>
              <w:rPr/>
            </w:pPr>
            <w:r>
              <w:rPr/>
              <w:t> </w:t>
            </w:r>
          </w:p>
        </w:tc>
        <w:tc>
          <w:tcPr>
            <w:tcW w:w="11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89"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83"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r>
      <w:tr>
        <w:trPr/>
        <w:tc>
          <w:tcPr>
            <w:tcW w:w="3642" w:type="dxa"/>
            <w:tcBorders/>
            <w:shd w:fill="auto" w:val="clear"/>
            <w:vAlign w:val="bottom"/>
          </w:tcPr>
          <w:p>
            <w:pPr>
              <w:pStyle w:val="TableContents"/>
              <w:spacing w:before="0" w:after="0"/>
              <w:ind w:left="225" w:right="0" w:hanging="225"/>
              <w:rPr/>
            </w:pPr>
            <w:r>
              <w:rPr/>
              <w:t>Outstanding at September 30, 2007</w:t>
            </w:r>
          </w:p>
        </w:tc>
        <w:tc>
          <w:tcPr>
            <w:tcW w:w="30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2,551,666</w:t>
            </w:r>
          </w:p>
        </w:tc>
        <w:tc>
          <w:tcPr>
            <w:tcW w:w="12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848" w:type="dxa"/>
            <w:tcBorders/>
            <w:shd w:fill="auto" w:val="clear"/>
            <w:vAlign w:val="bottom"/>
          </w:tcPr>
          <w:p>
            <w:pPr>
              <w:pStyle w:val="TableContents"/>
              <w:spacing w:before="0" w:after="283"/>
              <w:jc w:val="right"/>
              <w:rPr/>
            </w:pPr>
            <w:r>
              <w:rPr/>
              <w:t>3.18</w:t>
            </w:r>
          </w:p>
        </w:tc>
        <w:tc>
          <w:tcPr>
            <w:tcW w:w="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3.4</w:t>
            </w:r>
          </w:p>
        </w:tc>
        <w:tc>
          <w:tcPr>
            <w:tcW w:w="9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26,271</w:t>
            </w:r>
          </w:p>
        </w:tc>
        <w:tc>
          <w:tcPr>
            <w:tcW w:w="112" w:type="dxa"/>
            <w:tcBorders/>
            <w:shd w:fill="auto" w:val="clear"/>
            <w:vAlign w:val="bottom"/>
          </w:tcPr>
          <w:p>
            <w:pPr>
              <w:pStyle w:val="TableContents"/>
              <w:spacing w:before="0" w:after="283"/>
              <w:rPr/>
            </w:pPr>
            <w:r>
              <w:rPr/>
              <w:t> </w:t>
            </w:r>
          </w:p>
        </w:tc>
      </w:tr>
      <w:tr>
        <w:trPr/>
        <w:tc>
          <w:tcPr>
            <w:tcW w:w="3642" w:type="dxa"/>
            <w:tcBorders/>
            <w:shd w:fill="CCEEFF" w:val="clear"/>
            <w:vAlign w:val="bottom"/>
          </w:tcPr>
          <w:p>
            <w:pPr>
              <w:pStyle w:val="TableContents"/>
              <w:spacing w:before="0" w:after="0"/>
              <w:ind w:left="225" w:right="0" w:hanging="225"/>
              <w:rPr/>
            </w:pPr>
            <w:r>
              <w:rPr/>
              <w:t>Vested and expected to vest</w:t>
            </w:r>
          </w:p>
        </w:tc>
        <w:tc>
          <w:tcPr>
            <w:tcW w:w="30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2,440,037</w:t>
            </w:r>
          </w:p>
        </w:tc>
        <w:tc>
          <w:tcPr>
            <w:tcW w:w="12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48" w:type="dxa"/>
            <w:tcBorders/>
            <w:shd w:fill="CCEEFF" w:val="clear"/>
            <w:vAlign w:val="bottom"/>
          </w:tcPr>
          <w:p>
            <w:pPr>
              <w:pStyle w:val="TableContents"/>
              <w:spacing w:before="0" w:after="283"/>
              <w:jc w:val="right"/>
              <w:rPr/>
            </w:pPr>
            <w:r>
              <w:rPr/>
              <w:t>3.18</w:t>
            </w:r>
          </w:p>
        </w:tc>
        <w:tc>
          <w:tcPr>
            <w:tcW w:w="9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3.4</w:t>
            </w:r>
          </w:p>
        </w:tc>
        <w:tc>
          <w:tcPr>
            <w:tcW w:w="98"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183" w:type="dxa"/>
            <w:tcBorders/>
            <w:shd w:fill="CCEEFF" w:val="clear"/>
            <w:vAlign w:val="bottom"/>
          </w:tcPr>
          <w:p>
            <w:pPr>
              <w:pStyle w:val="TableContents"/>
              <w:spacing w:before="0" w:after="283"/>
              <w:jc w:val="right"/>
              <w:rPr/>
            </w:pPr>
            <w:r>
              <w:rPr/>
              <w:t>25,121</w:t>
            </w:r>
          </w:p>
        </w:tc>
        <w:tc>
          <w:tcPr>
            <w:tcW w:w="112" w:type="dxa"/>
            <w:tcBorders/>
            <w:shd w:fill="CCEEFF" w:val="clear"/>
            <w:vAlign w:val="bottom"/>
          </w:tcPr>
          <w:p>
            <w:pPr>
              <w:pStyle w:val="TableContents"/>
              <w:spacing w:before="0" w:after="283"/>
              <w:rPr/>
            </w:pPr>
            <w:r>
              <w:rPr/>
              <w:t> </w:t>
            </w:r>
          </w:p>
        </w:tc>
      </w:tr>
      <w:tr>
        <w:trPr/>
        <w:tc>
          <w:tcPr>
            <w:tcW w:w="3642" w:type="dxa"/>
            <w:tcBorders/>
            <w:shd w:fill="auto" w:val="clear"/>
            <w:vAlign w:val="bottom"/>
          </w:tcPr>
          <w:p>
            <w:pPr>
              <w:pStyle w:val="TableContents"/>
              <w:spacing w:before="0" w:after="0"/>
              <w:ind w:left="225" w:right="0" w:hanging="225"/>
              <w:rPr/>
            </w:pPr>
            <w:r>
              <w:rPr/>
              <w:t>Vested at September 30, 2007</w:t>
            </w:r>
          </w:p>
        </w:tc>
        <w:tc>
          <w:tcPr>
            <w:tcW w:w="30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439,200</w:t>
            </w:r>
          </w:p>
        </w:tc>
        <w:tc>
          <w:tcPr>
            <w:tcW w:w="12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848" w:type="dxa"/>
            <w:tcBorders/>
            <w:shd w:fill="auto" w:val="clear"/>
            <w:vAlign w:val="bottom"/>
          </w:tcPr>
          <w:p>
            <w:pPr>
              <w:pStyle w:val="TableContents"/>
              <w:spacing w:before="0" w:after="283"/>
              <w:jc w:val="right"/>
              <w:rPr/>
            </w:pPr>
            <w:r>
              <w:rPr/>
              <w:t>2.88</w:t>
            </w:r>
          </w:p>
        </w:tc>
        <w:tc>
          <w:tcPr>
            <w:tcW w:w="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5.5</w:t>
            </w:r>
          </w:p>
        </w:tc>
        <w:tc>
          <w:tcPr>
            <w:tcW w:w="9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4,651</w:t>
            </w:r>
          </w:p>
        </w:tc>
        <w:tc>
          <w:tcPr>
            <w:tcW w:w="112" w:type="dxa"/>
            <w:tcBorders/>
            <w:shd w:fill="auto"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Black-Scholes-Merton option valuation model was developed for use in estimating the fair value of traded options, which have no vesting restrictions and are fully transferable. In addition, this option valuation model requires the input of highly subjective assumptions including the expected stock price volatility. In applying Black-Scholes, we used the following weighted average assumptions for fiscal 2005, 2006 and 2007: </w:t>
      </w:r>
    </w:p>
    <w:tbl>
      <w:tblPr>
        <w:tblW w:w="5000" w:type="pct"/>
        <w:jc w:val="center"/>
        <w:tblInd w:w="0" w:type="dxa"/>
        <w:tblCellMar>
          <w:top w:w="0" w:type="dxa"/>
          <w:left w:w="0" w:type="dxa"/>
          <w:bottom w:w="0" w:type="dxa"/>
          <w:right w:w="0" w:type="dxa"/>
        </w:tblCellMar>
      </w:tblPr>
      <w:tblGrid>
        <w:gridCol w:w="5100"/>
        <w:gridCol w:w="402"/>
        <w:gridCol w:w="333"/>
        <w:gridCol w:w="565"/>
        <w:gridCol w:w="399"/>
        <w:gridCol w:w="402"/>
        <w:gridCol w:w="333"/>
        <w:gridCol w:w="565"/>
        <w:gridCol w:w="399"/>
        <w:gridCol w:w="402"/>
        <w:gridCol w:w="333"/>
        <w:gridCol w:w="565"/>
        <w:gridCol w:w="407"/>
      </w:tblGrid>
      <w:tr>
        <w:trPr/>
        <w:tc>
          <w:tcPr>
            <w:tcW w:w="510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r>
      <w:tr>
        <w:trPr/>
        <w:tc>
          <w:tcPr>
            <w:tcW w:w="510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4703" w:type="dxa"/>
            <w:gridSpan w:val="11"/>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r>
      <w:tr>
        <w:trPr/>
        <w:tc>
          <w:tcPr>
            <w:tcW w:w="510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29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402" w:type="dxa"/>
            <w:tcBorders/>
            <w:shd w:fill="auto" w:val="clear"/>
            <w:vAlign w:val="bottom"/>
          </w:tcPr>
          <w:p>
            <w:pPr>
              <w:pStyle w:val="TableContents"/>
              <w:spacing w:before="0" w:after="283"/>
              <w:rPr/>
            </w:pPr>
            <w:r>
              <w:rPr/>
              <w:t> </w:t>
            </w:r>
          </w:p>
        </w:tc>
        <w:tc>
          <w:tcPr>
            <w:tcW w:w="1297" w:type="dxa"/>
            <w:gridSpan w:val="3"/>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402" w:type="dxa"/>
            <w:tcBorders/>
            <w:shd w:fill="auto" w:val="clear"/>
            <w:vAlign w:val="bottom"/>
          </w:tcPr>
          <w:p>
            <w:pPr>
              <w:pStyle w:val="TableContents"/>
              <w:spacing w:before="0" w:after="283"/>
              <w:rPr/>
            </w:pPr>
            <w:r>
              <w:rPr/>
              <w:t> </w:t>
            </w:r>
          </w:p>
        </w:tc>
        <w:tc>
          <w:tcPr>
            <w:tcW w:w="1305" w:type="dxa"/>
            <w:gridSpan w:val="3"/>
            <w:tcBorders>
              <w:bottom w:val="single" w:sz="2" w:space="0" w:color="000000"/>
            </w:tcBorders>
            <w:shd w:fill="auto" w:val="clear"/>
            <w:tcMar>
              <w:bottom w:w="28" w:type="dxa"/>
            </w:tcMar>
            <w:vAlign w:val="bottom"/>
          </w:tcPr>
          <w:p>
            <w:pPr>
              <w:pStyle w:val="TableContents"/>
              <w:spacing w:before="0" w:after="283"/>
              <w:jc w:val="center"/>
              <w:rPr/>
            </w:pPr>
            <w:r>
              <w:rPr/>
              <w:t>2007</w:t>
            </w:r>
          </w:p>
        </w:tc>
      </w:tr>
      <w:tr>
        <w:trPr/>
        <w:tc>
          <w:tcPr>
            <w:tcW w:w="5100" w:type="dxa"/>
            <w:tcBorders/>
            <w:shd w:fill="CCEEFF" w:val="clear"/>
            <w:vAlign w:val="bottom"/>
          </w:tcPr>
          <w:p>
            <w:pPr>
              <w:pStyle w:val="TableContents"/>
              <w:spacing w:before="0" w:after="0"/>
              <w:ind w:left="225" w:right="0" w:hanging="225"/>
              <w:rPr/>
            </w:pPr>
            <w:r>
              <w:rPr/>
              <w:t>Risk-free interest rate</w:t>
            </w:r>
          </w:p>
        </w:tc>
        <w:tc>
          <w:tcPr>
            <w:tcW w:w="402"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jc w:val="right"/>
              <w:rPr/>
            </w:pPr>
            <w:r>
              <w:rPr/>
              <w:t> </w:t>
            </w:r>
          </w:p>
        </w:tc>
        <w:tc>
          <w:tcPr>
            <w:tcW w:w="565" w:type="dxa"/>
            <w:tcBorders/>
            <w:shd w:fill="CCEEFF" w:val="clear"/>
            <w:vAlign w:val="bottom"/>
          </w:tcPr>
          <w:p>
            <w:pPr>
              <w:pStyle w:val="TableContents"/>
              <w:spacing w:before="0" w:after="283"/>
              <w:jc w:val="right"/>
              <w:rPr/>
            </w:pPr>
            <w:r>
              <w:rPr/>
              <w:t>3.24</w:t>
            </w:r>
          </w:p>
        </w:tc>
        <w:tc>
          <w:tcPr>
            <w:tcW w:w="399" w:type="dxa"/>
            <w:tcBorders/>
            <w:shd w:fill="CCEEFF" w:val="clear"/>
            <w:vAlign w:val="bottom"/>
          </w:tcPr>
          <w:p>
            <w:pPr>
              <w:pStyle w:val="TableContents"/>
              <w:spacing w:before="0" w:after="283"/>
              <w:rPr/>
            </w:pPr>
            <w:r>
              <w:rPr/>
              <w:t>%</w:t>
            </w:r>
          </w:p>
        </w:tc>
        <w:tc>
          <w:tcPr>
            <w:tcW w:w="402"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jc w:val="right"/>
              <w:rPr/>
            </w:pPr>
            <w:r>
              <w:rPr/>
              <w:t> </w:t>
            </w:r>
          </w:p>
        </w:tc>
        <w:tc>
          <w:tcPr>
            <w:tcW w:w="565" w:type="dxa"/>
            <w:tcBorders/>
            <w:shd w:fill="CCEEFF" w:val="clear"/>
            <w:vAlign w:val="bottom"/>
          </w:tcPr>
          <w:p>
            <w:pPr>
              <w:pStyle w:val="TableContents"/>
              <w:spacing w:before="0" w:after="283"/>
              <w:jc w:val="right"/>
              <w:rPr/>
            </w:pPr>
            <w:r>
              <w:rPr/>
              <w:t>4.71</w:t>
            </w:r>
          </w:p>
        </w:tc>
        <w:tc>
          <w:tcPr>
            <w:tcW w:w="399" w:type="dxa"/>
            <w:tcBorders/>
            <w:shd w:fill="CCEEFF" w:val="clear"/>
            <w:vAlign w:val="bottom"/>
          </w:tcPr>
          <w:p>
            <w:pPr>
              <w:pStyle w:val="TableContents"/>
              <w:spacing w:before="0" w:after="283"/>
              <w:rPr/>
            </w:pPr>
            <w:r>
              <w:rPr/>
              <w:t>%</w:t>
            </w:r>
          </w:p>
        </w:tc>
        <w:tc>
          <w:tcPr>
            <w:tcW w:w="402"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jc w:val="right"/>
              <w:rPr/>
            </w:pPr>
            <w:r>
              <w:rPr/>
              <w:t> </w:t>
            </w:r>
          </w:p>
        </w:tc>
        <w:tc>
          <w:tcPr>
            <w:tcW w:w="565" w:type="dxa"/>
            <w:tcBorders/>
            <w:shd w:fill="CCEEFF" w:val="clear"/>
            <w:vAlign w:val="bottom"/>
          </w:tcPr>
          <w:p>
            <w:pPr>
              <w:pStyle w:val="TableContents"/>
              <w:spacing w:before="0" w:after="283"/>
              <w:jc w:val="right"/>
              <w:rPr/>
            </w:pPr>
            <w:r>
              <w:rPr/>
              <w:t>4.97</w:t>
            </w:r>
          </w:p>
        </w:tc>
        <w:tc>
          <w:tcPr>
            <w:tcW w:w="407" w:type="dxa"/>
            <w:tcBorders/>
            <w:shd w:fill="CCEEFF" w:val="clear"/>
            <w:vAlign w:val="bottom"/>
          </w:tcPr>
          <w:p>
            <w:pPr>
              <w:pStyle w:val="TableContents"/>
              <w:spacing w:before="0" w:after="283"/>
              <w:rPr/>
            </w:pPr>
            <w:r>
              <w:rPr/>
              <w:t>%</w:t>
            </w:r>
          </w:p>
        </w:tc>
      </w:tr>
      <w:tr>
        <w:trPr/>
        <w:tc>
          <w:tcPr>
            <w:tcW w:w="5100" w:type="dxa"/>
            <w:tcBorders/>
            <w:shd w:fill="auto" w:val="clear"/>
            <w:vAlign w:val="bottom"/>
          </w:tcPr>
          <w:p>
            <w:pPr>
              <w:pStyle w:val="TableContents"/>
              <w:spacing w:before="0" w:after="0"/>
              <w:ind w:left="225" w:right="0" w:hanging="225"/>
              <w:rPr/>
            </w:pPr>
            <w:r>
              <w:rPr/>
              <w:t>Dividend yield</w:t>
            </w:r>
          </w:p>
        </w:tc>
        <w:tc>
          <w:tcPr>
            <w:tcW w:w="402"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jc w:val="right"/>
              <w:rPr/>
            </w:pPr>
            <w:r>
              <w:rPr/>
              <w:t> </w:t>
            </w:r>
          </w:p>
        </w:tc>
        <w:tc>
          <w:tcPr>
            <w:tcW w:w="565" w:type="dxa"/>
            <w:tcBorders/>
            <w:shd w:fill="auto" w:val="clear"/>
            <w:vAlign w:val="bottom"/>
          </w:tcPr>
          <w:p>
            <w:pPr>
              <w:pStyle w:val="TableContents"/>
              <w:spacing w:before="0" w:after="283"/>
              <w:jc w:val="right"/>
              <w:rPr/>
            </w:pPr>
            <w:r>
              <w:rPr/>
              <w:t>0</w:t>
            </w:r>
          </w:p>
        </w:tc>
        <w:tc>
          <w:tcPr>
            <w:tcW w:w="399" w:type="dxa"/>
            <w:tcBorders/>
            <w:shd w:fill="auto" w:val="clear"/>
            <w:vAlign w:val="bottom"/>
          </w:tcPr>
          <w:p>
            <w:pPr>
              <w:pStyle w:val="TableContents"/>
              <w:spacing w:before="0" w:after="283"/>
              <w:rPr/>
            </w:pPr>
            <w:r>
              <w:rPr/>
              <w:t>%</w:t>
            </w:r>
          </w:p>
        </w:tc>
        <w:tc>
          <w:tcPr>
            <w:tcW w:w="402"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jc w:val="right"/>
              <w:rPr/>
            </w:pPr>
            <w:r>
              <w:rPr/>
              <w:t> </w:t>
            </w:r>
          </w:p>
        </w:tc>
        <w:tc>
          <w:tcPr>
            <w:tcW w:w="565" w:type="dxa"/>
            <w:tcBorders/>
            <w:shd w:fill="auto" w:val="clear"/>
            <w:vAlign w:val="bottom"/>
          </w:tcPr>
          <w:p>
            <w:pPr>
              <w:pStyle w:val="TableContents"/>
              <w:spacing w:before="0" w:after="283"/>
              <w:jc w:val="right"/>
              <w:rPr/>
            </w:pPr>
            <w:r>
              <w:rPr/>
              <w:t>0</w:t>
            </w:r>
          </w:p>
        </w:tc>
        <w:tc>
          <w:tcPr>
            <w:tcW w:w="399" w:type="dxa"/>
            <w:tcBorders/>
            <w:shd w:fill="auto" w:val="clear"/>
            <w:vAlign w:val="bottom"/>
          </w:tcPr>
          <w:p>
            <w:pPr>
              <w:pStyle w:val="TableContents"/>
              <w:spacing w:before="0" w:after="283"/>
              <w:rPr/>
            </w:pPr>
            <w:r>
              <w:rPr/>
              <w:t>%</w:t>
            </w:r>
          </w:p>
        </w:tc>
        <w:tc>
          <w:tcPr>
            <w:tcW w:w="402"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jc w:val="right"/>
              <w:rPr/>
            </w:pPr>
            <w:r>
              <w:rPr/>
              <w:t> </w:t>
            </w:r>
          </w:p>
        </w:tc>
        <w:tc>
          <w:tcPr>
            <w:tcW w:w="565" w:type="dxa"/>
            <w:tcBorders/>
            <w:shd w:fill="auto" w:val="clear"/>
            <w:vAlign w:val="bottom"/>
          </w:tcPr>
          <w:p>
            <w:pPr>
              <w:pStyle w:val="TableContents"/>
              <w:spacing w:before="0" w:after="283"/>
              <w:jc w:val="right"/>
              <w:rPr/>
            </w:pPr>
            <w:r>
              <w:rPr/>
              <w:t>0</w:t>
            </w:r>
          </w:p>
        </w:tc>
        <w:tc>
          <w:tcPr>
            <w:tcW w:w="407" w:type="dxa"/>
            <w:tcBorders/>
            <w:shd w:fill="auto" w:val="clear"/>
            <w:vAlign w:val="bottom"/>
          </w:tcPr>
          <w:p>
            <w:pPr>
              <w:pStyle w:val="TableContents"/>
              <w:spacing w:before="0" w:after="283"/>
              <w:rPr/>
            </w:pPr>
            <w:r>
              <w:rPr/>
              <w:t>%</w:t>
            </w:r>
          </w:p>
        </w:tc>
      </w:tr>
      <w:tr>
        <w:trPr/>
        <w:tc>
          <w:tcPr>
            <w:tcW w:w="5100" w:type="dxa"/>
            <w:tcBorders/>
            <w:shd w:fill="CCEEFF" w:val="clear"/>
            <w:vAlign w:val="bottom"/>
          </w:tcPr>
          <w:p>
            <w:pPr>
              <w:pStyle w:val="TableContents"/>
              <w:spacing w:before="0" w:after="0"/>
              <w:ind w:left="225" w:right="0" w:hanging="225"/>
              <w:rPr/>
            </w:pPr>
            <w:r>
              <w:rPr/>
              <w:t>Volatility factor of the expected market price of our common stock</w:t>
            </w:r>
          </w:p>
        </w:tc>
        <w:tc>
          <w:tcPr>
            <w:tcW w:w="402"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jc w:val="right"/>
              <w:rPr/>
            </w:pPr>
            <w:r>
              <w:rPr/>
              <w:t> </w:t>
            </w:r>
          </w:p>
        </w:tc>
        <w:tc>
          <w:tcPr>
            <w:tcW w:w="565" w:type="dxa"/>
            <w:tcBorders/>
            <w:shd w:fill="CCEEFF" w:val="clear"/>
            <w:vAlign w:val="bottom"/>
          </w:tcPr>
          <w:p>
            <w:pPr>
              <w:pStyle w:val="TableContents"/>
              <w:spacing w:before="0" w:after="283"/>
              <w:jc w:val="right"/>
              <w:rPr/>
            </w:pPr>
            <w:r>
              <w:rPr/>
              <w:t>41.00</w:t>
            </w:r>
          </w:p>
        </w:tc>
        <w:tc>
          <w:tcPr>
            <w:tcW w:w="399" w:type="dxa"/>
            <w:tcBorders/>
            <w:shd w:fill="CCEEFF" w:val="clear"/>
            <w:vAlign w:val="bottom"/>
          </w:tcPr>
          <w:p>
            <w:pPr>
              <w:pStyle w:val="TableContents"/>
              <w:spacing w:before="0" w:after="283"/>
              <w:rPr/>
            </w:pPr>
            <w:r>
              <w:rPr/>
              <w:t>%</w:t>
            </w:r>
          </w:p>
        </w:tc>
        <w:tc>
          <w:tcPr>
            <w:tcW w:w="402"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jc w:val="right"/>
              <w:rPr/>
            </w:pPr>
            <w:r>
              <w:rPr/>
              <w:t> </w:t>
            </w:r>
          </w:p>
        </w:tc>
        <w:tc>
          <w:tcPr>
            <w:tcW w:w="565" w:type="dxa"/>
            <w:tcBorders/>
            <w:shd w:fill="CCEEFF" w:val="clear"/>
            <w:vAlign w:val="bottom"/>
          </w:tcPr>
          <w:p>
            <w:pPr>
              <w:pStyle w:val="TableContents"/>
              <w:spacing w:before="0" w:after="283"/>
              <w:jc w:val="right"/>
              <w:rPr/>
            </w:pPr>
            <w:r>
              <w:rPr/>
              <w:t>61.96</w:t>
            </w:r>
          </w:p>
        </w:tc>
        <w:tc>
          <w:tcPr>
            <w:tcW w:w="399" w:type="dxa"/>
            <w:tcBorders/>
            <w:shd w:fill="CCEEFF" w:val="clear"/>
            <w:vAlign w:val="bottom"/>
          </w:tcPr>
          <w:p>
            <w:pPr>
              <w:pStyle w:val="TableContents"/>
              <w:spacing w:before="0" w:after="283"/>
              <w:rPr/>
            </w:pPr>
            <w:r>
              <w:rPr/>
              <w:t>%</w:t>
            </w:r>
          </w:p>
        </w:tc>
        <w:tc>
          <w:tcPr>
            <w:tcW w:w="402"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jc w:val="right"/>
              <w:rPr/>
            </w:pPr>
            <w:r>
              <w:rPr/>
              <w:t> </w:t>
            </w:r>
          </w:p>
        </w:tc>
        <w:tc>
          <w:tcPr>
            <w:tcW w:w="565" w:type="dxa"/>
            <w:tcBorders/>
            <w:shd w:fill="CCEEFF" w:val="clear"/>
            <w:vAlign w:val="bottom"/>
          </w:tcPr>
          <w:p>
            <w:pPr>
              <w:pStyle w:val="TableContents"/>
              <w:spacing w:before="0" w:after="283"/>
              <w:jc w:val="right"/>
              <w:rPr/>
            </w:pPr>
            <w:r>
              <w:rPr/>
              <w:t>53.82</w:t>
            </w:r>
          </w:p>
        </w:tc>
        <w:tc>
          <w:tcPr>
            <w:tcW w:w="407" w:type="dxa"/>
            <w:tcBorders/>
            <w:shd w:fill="CCEEFF" w:val="clear"/>
            <w:vAlign w:val="bottom"/>
          </w:tcPr>
          <w:p>
            <w:pPr>
              <w:pStyle w:val="TableContents"/>
              <w:spacing w:before="0" w:after="283"/>
              <w:rPr/>
            </w:pPr>
            <w:r>
              <w:rPr/>
              <w:t>%</w:t>
            </w:r>
          </w:p>
        </w:tc>
      </w:tr>
      <w:tr>
        <w:trPr/>
        <w:tc>
          <w:tcPr>
            <w:tcW w:w="5100" w:type="dxa"/>
            <w:tcBorders/>
            <w:shd w:fill="auto" w:val="clear"/>
            <w:vAlign w:val="bottom"/>
          </w:tcPr>
          <w:p>
            <w:pPr>
              <w:pStyle w:val="TableContents"/>
              <w:spacing w:before="0" w:after="0"/>
              <w:ind w:left="225" w:right="0" w:hanging="225"/>
              <w:rPr/>
            </w:pPr>
            <w:r>
              <w:rPr/>
              <w:t>Expected life of the options (years)</w:t>
            </w:r>
          </w:p>
        </w:tc>
        <w:tc>
          <w:tcPr>
            <w:tcW w:w="402"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jc w:val="right"/>
              <w:rPr/>
            </w:pPr>
            <w:r>
              <w:rPr/>
              <w:t>10</w:t>
            </w:r>
          </w:p>
        </w:tc>
        <w:tc>
          <w:tcPr>
            <w:tcW w:w="399"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jc w:val="right"/>
              <w:rPr/>
            </w:pPr>
            <w:r>
              <w:rPr/>
              <w:t>2</w:t>
            </w:r>
          </w:p>
        </w:tc>
        <w:tc>
          <w:tcPr>
            <w:tcW w:w="399"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jc w:val="right"/>
              <w:rPr/>
            </w:pPr>
            <w:r>
              <w:rPr/>
              <w:t>2</w:t>
            </w:r>
          </w:p>
        </w:tc>
        <w:tc>
          <w:tcPr>
            <w:tcW w:w="407" w:type="dxa"/>
            <w:tcBorders/>
            <w:shd w:fill="auto" w:val="clear"/>
            <w:vAlign w:val="bottom"/>
          </w:tcPr>
          <w:p>
            <w:pPr>
              <w:pStyle w:val="TableContents"/>
              <w:spacing w:before="0" w:after="283"/>
              <w:rPr/>
            </w:pPr>
            <w:r>
              <w:rPr/>
              <w:t> </w:t>
            </w:r>
          </w:p>
        </w:tc>
      </w:tr>
      <w:tr>
        <w:trPr/>
        <w:tc>
          <w:tcPr>
            <w:tcW w:w="5100" w:type="dxa"/>
            <w:tcBorders/>
            <w:shd w:fill="CCEEFF" w:val="clear"/>
            <w:vAlign w:val="bottom"/>
          </w:tcPr>
          <w:p>
            <w:pPr>
              <w:pStyle w:val="TableContents"/>
              <w:spacing w:before="0" w:after="0"/>
              <w:ind w:left="225" w:right="0" w:hanging="225"/>
              <w:rPr/>
            </w:pPr>
            <w:r>
              <w:rPr/>
              <w:t>Weighted average grant date fair value of options granted</w:t>
            </w:r>
          </w:p>
        </w:tc>
        <w:tc>
          <w:tcPr>
            <w:tcW w:w="402"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jc w:val="right"/>
              <w:rPr/>
            </w:pPr>
            <w:r>
              <w:rPr/>
              <w:t>$</w:t>
            </w:r>
          </w:p>
        </w:tc>
        <w:tc>
          <w:tcPr>
            <w:tcW w:w="565" w:type="dxa"/>
            <w:tcBorders/>
            <w:shd w:fill="CCEEFF" w:val="clear"/>
            <w:vAlign w:val="bottom"/>
          </w:tcPr>
          <w:p>
            <w:pPr>
              <w:pStyle w:val="TableContents"/>
              <w:spacing w:before="0" w:after="283"/>
              <w:jc w:val="right"/>
              <w:rPr/>
            </w:pPr>
            <w:r>
              <w:rPr/>
              <w:t>2.04</w:t>
            </w:r>
          </w:p>
        </w:tc>
        <w:tc>
          <w:tcPr>
            <w:tcW w:w="399"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jc w:val="right"/>
              <w:rPr/>
            </w:pPr>
            <w:r>
              <w:rPr/>
              <w:t>$</w:t>
            </w:r>
          </w:p>
        </w:tc>
        <w:tc>
          <w:tcPr>
            <w:tcW w:w="565" w:type="dxa"/>
            <w:tcBorders/>
            <w:shd w:fill="CCEEFF" w:val="clear"/>
            <w:vAlign w:val="bottom"/>
          </w:tcPr>
          <w:p>
            <w:pPr>
              <w:pStyle w:val="TableContents"/>
              <w:spacing w:before="0" w:after="283"/>
              <w:jc w:val="right"/>
              <w:rPr/>
            </w:pPr>
            <w:r>
              <w:rPr/>
              <w:t>4.66</w:t>
            </w:r>
          </w:p>
        </w:tc>
        <w:tc>
          <w:tcPr>
            <w:tcW w:w="399"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jc w:val="right"/>
              <w:rPr/>
            </w:pPr>
            <w:r>
              <w:rPr/>
              <w:t>$</w:t>
            </w:r>
          </w:p>
        </w:tc>
        <w:tc>
          <w:tcPr>
            <w:tcW w:w="565" w:type="dxa"/>
            <w:tcBorders/>
            <w:shd w:fill="CCEEFF" w:val="clear"/>
            <w:vAlign w:val="bottom"/>
          </w:tcPr>
          <w:p>
            <w:pPr>
              <w:pStyle w:val="TableContents"/>
              <w:spacing w:before="0" w:after="283"/>
              <w:jc w:val="right"/>
              <w:rPr/>
            </w:pPr>
            <w:r>
              <w:rPr/>
              <w:t>4.98</w:t>
            </w:r>
          </w:p>
        </w:tc>
        <w:tc>
          <w:tcPr>
            <w:tcW w:w="407" w:type="dxa"/>
            <w:tcBorders/>
            <w:shd w:fill="CCEEFF"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considered the contractual life of the options and the past behavior of employees in estimating the expected life of options granted. The estimated expected life cannot exceed the contractual term, and cannot be less than the vesting term. The volatility factor was estimated using our stocks actual volatility over the most recently completed time period equal to the estimated life of each option grant. Although no adjustment was made in the periods presented above, we consider excluding from our volatility factor discrete events which have had a significant effect on our stocks historical volatility but have a remote chance of recurring.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of September 30, 2007, the unamortized fair value of share-based awards to be amortized over their remaining vesting periods was approximately $21.6 million. The weighted average period over which these costs will be amortized is 8 years.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Stock option and warrant exercises resulted in the issuance of 1,842,669 shares of Class A Common Stock in fiscal 2006 for total proceeds of $4.4 million. Stock option and warrant exercises resulted in the issuance of 819,087 shares of Class A Common Stock in fiscal 2007 for total proceeds of $1.5 million. </w:t>
      </w:r>
    </w:p>
    <w:p>
      <w:pPr>
        <w:pStyle w:val="TextBody"/>
        <w:jc w:val="center"/>
        <w:rPr>
          <w:rFonts w:ascii="Helvetica;Arial;sans-serif" w:hAnsi="Helvetica;Arial;sans-serif"/>
          <w:sz w:val="17"/>
        </w:rPr>
      </w:pPr>
      <w:r>
        <w:rPr>
          <w:rFonts w:ascii="Helvetica;Arial;sans-serif" w:hAnsi="Helvetica;Arial;sans-serif"/>
          <w:sz w:val="17"/>
        </w:rPr>
        <w:t xml:space="preserve">62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total intrinsic value of stock options exercised was $14.2 million in fiscal 2006 and $11.3 million in fiscal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illustrates the effect on net income and earnings per share if we had applied the fair value recognition provisions of SFAS No. 123 to our options granted in periods prior to adoption of SFAS No. 123(R). For purposes of this pro forma disclosure, the value of the options is estimated using Black-Scholes and is amortized to expense over the options vesting periods. </w:t>
      </w:r>
    </w:p>
    <w:tbl>
      <w:tblPr>
        <w:tblW w:w="5000" w:type="pct"/>
        <w:jc w:val="center"/>
        <w:tblInd w:w="0" w:type="dxa"/>
        <w:tblCellMar>
          <w:top w:w="0" w:type="dxa"/>
          <w:left w:w="0" w:type="dxa"/>
          <w:bottom w:w="0" w:type="dxa"/>
          <w:right w:w="0" w:type="dxa"/>
        </w:tblCellMar>
      </w:tblPr>
      <w:tblGrid>
        <w:gridCol w:w="5782"/>
        <w:gridCol w:w="336"/>
        <w:gridCol w:w="3567"/>
        <w:gridCol w:w="458"/>
        <w:gridCol w:w="62"/>
      </w:tblGrid>
      <w:tr>
        <w:trPr/>
        <w:tc>
          <w:tcPr>
            <w:tcW w:w="578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356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r>
      <w:tr>
        <w:trPr/>
        <w:tc>
          <w:tcPr>
            <w:tcW w:w="578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025" w:type="dxa"/>
            <w:gridSpan w:val="2"/>
            <w:tcBorders>
              <w:bottom w:val="single" w:sz="2" w:space="0" w:color="000000"/>
            </w:tcBorders>
            <w:shd w:fill="auto" w:val="clear"/>
            <w:tcMar>
              <w:bottom w:w="28" w:type="dxa"/>
            </w:tcMar>
            <w:vAlign w:val="bottom"/>
          </w:tcPr>
          <w:p>
            <w:pPr>
              <w:pStyle w:val="TableContents"/>
              <w:spacing w:before="0" w:after="283"/>
              <w:jc w:val="center"/>
              <w:rPr/>
            </w:pPr>
            <w:r>
              <w:rPr/>
              <w:t>Year ended September 30, 2005</w:t>
            </w:r>
          </w:p>
        </w:tc>
        <w:tc>
          <w:tcPr>
            <w:tcW w:w="62" w:type="dxa"/>
            <w:tcBorders/>
            <w:shd w:fill="auto" w:val="clear"/>
            <w:vAlign w:val="bottom"/>
          </w:tcPr>
          <w:p>
            <w:pPr>
              <w:pStyle w:val="TableContents"/>
              <w:spacing w:before="0" w:after="283"/>
              <w:rPr/>
            </w:pPr>
            <w:r>
              <w:rPr/>
              <w:t> </w:t>
            </w:r>
          </w:p>
        </w:tc>
      </w:tr>
      <w:tr>
        <w:trPr/>
        <w:tc>
          <w:tcPr>
            <w:tcW w:w="578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025" w:type="dxa"/>
            <w:gridSpan w:val="2"/>
            <w:tcBorders/>
            <w:shd w:fill="auto" w:val="clear"/>
            <w:vAlign w:val="bottom"/>
          </w:tcPr>
          <w:p>
            <w:pPr>
              <w:pStyle w:val="TableContents"/>
              <w:spacing w:before="0" w:after="283"/>
              <w:jc w:val="center"/>
              <w:rPr>
                <w:i/>
              </w:rPr>
            </w:pPr>
            <w:r>
              <w:rPr>
                <w:i/>
              </w:rPr>
              <w:t>(In thousands, except per share amounts)</w:t>
            </w:r>
          </w:p>
        </w:tc>
        <w:tc>
          <w:tcPr>
            <w:tcW w:w="62" w:type="dxa"/>
            <w:tcBorders/>
            <w:shd w:fill="auto" w:val="clear"/>
            <w:vAlign w:val="bottom"/>
          </w:tcPr>
          <w:p>
            <w:pPr>
              <w:pStyle w:val="TableContents"/>
              <w:spacing w:before="0" w:after="283"/>
              <w:rPr/>
            </w:pPr>
            <w:r>
              <w:rPr/>
              <w:t> </w:t>
            </w:r>
          </w:p>
        </w:tc>
      </w:tr>
      <w:tr>
        <w:trPr/>
        <w:tc>
          <w:tcPr>
            <w:tcW w:w="5782" w:type="dxa"/>
            <w:tcBorders/>
            <w:shd w:fill="CCEEFF" w:val="clear"/>
            <w:vAlign w:val="bottom"/>
          </w:tcPr>
          <w:p>
            <w:pPr>
              <w:pStyle w:val="TableContents"/>
              <w:spacing w:before="0" w:after="0"/>
              <w:ind w:left="225" w:right="0" w:hanging="225"/>
              <w:rPr/>
            </w:pPr>
            <w:r>
              <w:rPr/>
              <w:t>Net income, as reported</w:t>
            </w:r>
          </w:p>
        </w:tc>
        <w:tc>
          <w:tcPr>
            <w:tcW w:w="336" w:type="dxa"/>
            <w:tcBorders/>
            <w:shd w:fill="CCEEFF" w:val="clear"/>
            <w:vAlign w:val="bottom"/>
          </w:tcPr>
          <w:p>
            <w:pPr>
              <w:pStyle w:val="TableContents"/>
              <w:spacing w:before="0" w:after="283"/>
              <w:jc w:val="left"/>
              <w:rPr/>
            </w:pPr>
            <w:r>
              <w:rPr/>
              <w:t> </w:t>
            </w:r>
          </w:p>
        </w:tc>
        <w:tc>
          <w:tcPr>
            <w:tcW w:w="3567" w:type="dxa"/>
            <w:tcBorders/>
            <w:shd w:fill="CCEEFF" w:val="clear"/>
            <w:vAlign w:val="bottom"/>
          </w:tcPr>
          <w:p>
            <w:pPr>
              <w:pStyle w:val="TableContents"/>
              <w:spacing w:before="0" w:after="283"/>
              <w:jc w:val="right"/>
              <w:rPr/>
            </w:pPr>
            <w:r>
              <w:rPr/>
              <w:t>$ 14,752</w:t>
            </w:r>
          </w:p>
        </w:tc>
        <w:tc>
          <w:tcPr>
            <w:tcW w:w="458"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r>
      <w:tr>
        <w:trPr/>
        <w:tc>
          <w:tcPr>
            <w:tcW w:w="5782" w:type="dxa"/>
            <w:tcBorders/>
            <w:shd w:fill="auto" w:val="clear"/>
            <w:vAlign w:val="bottom"/>
          </w:tcPr>
          <w:p>
            <w:pPr>
              <w:pStyle w:val="TableContents"/>
              <w:spacing w:before="0" w:after="0"/>
              <w:ind w:left="225" w:right="0" w:hanging="225"/>
              <w:rPr/>
            </w:pPr>
            <w:r>
              <w:rPr/>
              <w:t>Add: stock-based employee compensation expense included in reported net income, net of related tax effects</w:t>
            </w:r>
          </w:p>
        </w:tc>
        <w:tc>
          <w:tcPr>
            <w:tcW w:w="336" w:type="dxa"/>
            <w:tcBorders/>
            <w:shd w:fill="auto" w:val="clear"/>
            <w:vAlign w:val="bottom"/>
          </w:tcPr>
          <w:p>
            <w:pPr>
              <w:pStyle w:val="TableContents"/>
              <w:spacing w:before="0" w:after="283"/>
              <w:rPr/>
            </w:pPr>
            <w:r>
              <w:rPr/>
              <w:t> </w:t>
            </w:r>
          </w:p>
        </w:tc>
        <w:tc>
          <w:tcPr>
            <w:tcW w:w="3567" w:type="dxa"/>
            <w:tcBorders/>
            <w:shd w:fill="auto" w:val="clear"/>
            <w:vAlign w:val="bottom"/>
          </w:tcPr>
          <w:p>
            <w:pPr>
              <w:pStyle w:val="TableContents"/>
              <w:spacing w:before="0" w:after="283"/>
              <w:jc w:val="right"/>
              <w:rPr/>
            </w:pPr>
            <w:r>
              <w:rPr/>
              <w:t>382</w:t>
            </w:r>
          </w:p>
        </w:tc>
        <w:tc>
          <w:tcPr>
            <w:tcW w:w="45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r>
      <w:tr>
        <w:trPr/>
        <w:tc>
          <w:tcPr>
            <w:tcW w:w="5782" w:type="dxa"/>
            <w:tcBorders/>
            <w:shd w:fill="CCEEFF" w:val="clear"/>
            <w:vAlign w:val="bottom"/>
          </w:tcPr>
          <w:p>
            <w:pPr>
              <w:pStyle w:val="TableContents"/>
              <w:spacing w:before="0" w:after="0"/>
              <w:ind w:left="225" w:right="0" w:hanging="225"/>
              <w:rPr/>
            </w:pPr>
            <w:r>
              <w:rPr/>
              <w:t>Deduct: total stock-based employee compensation expense determined under fair value based method for all awards, net of related tax effects</w:t>
            </w:r>
          </w:p>
        </w:tc>
        <w:tc>
          <w:tcPr>
            <w:tcW w:w="336" w:type="dxa"/>
            <w:tcBorders/>
            <w:shd w:fill="CCEEFF" w:val="clear"/>
            <w:vAlign w:val="bottom"/>
          </w:tcPr>
          <w:p>
            <w:pPr>
              <w:pStyle w:val="TableContents"/>
              <w:spacing w:before="0" w:after="283"/>
              <w:rPr/>
            </w:pPr>
            <w:r>
              <w:rPr/>
              <w:t> </w:t>
            </w:r>
          </w:p>
        </w:tc>
        <w:tc>
          <w:tcPr>
            <w:tcW w:w="3567" w:type="dxa"/>
            <w:tcBorders/>
            <w:shd w:fill="CCEEFF" w:val="clear"/>
            <w:vAlign w:val="bottom"/>
          </w:tcPr>
          <w:p>
            <w:pPr>
              <w:pStyle w:val="TableContents"/>
              <w:spacing w:before="0" w:after="283"/>
              <w:jc w:val="right"/>
              <w:rPr/>
            </w:pPr>
            <w:r>
              <w:rPr/>
              <w:t>(1,048</w:t>
            </w:r>
          </w:p>
        </w:tc>
        <w:tc>
          <w:tcPr>
            <w:tcW w:w="458"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jc w:val="left"/>
              <w:rPr/>
            </w:pPr>
            <w:r>
              <w:rPr/>
              <w:t> </w:t>
            </w:r>
          </w:p>
        </w:tc>
      </w:tr>
      <w:tr>
        <w:trPr/>
        <w:tc>
          <w:tcPr>
            <w:tcW w:w="5782" w:type="dxa"/>
            <w:tcBorders/>
            <w:shd w:fill="auto" w:val="clear"/>
            <w:vAlign w:val="center"/>
          </w:tcPr>
          <w:p>
            <w:pPr>
              <w:pStyle w:val="TableContents"/>
              <w:spacing w:before="0" w:after="0"/>
              <w:ind w:left="225" w:right="0" w:hanging="225"/>
              <w:rPr/>
            </w:pPr>
            <w:r>
              <w:rPr/>
              <w:t> </w:t>
            </w:r>
          </w:p>
        </w:tc>
        <w:tc>
          <w:tcPr>
            <w:tcW w:w="336" w:type="dxa"/>
            <w:tcBorders/>
            <w:shd w:fill="auto" w:val="clear"/>
            <w:vAlign w:val="center"/>
          </w:tcPr>
          <w:p>
            <w:pPr>
              <w:pStyle w:val="TableContents"/>
              <w:spacing w:before="0" w:after="283"/>
              <w:rPr/>
            </w:pPr>
            <w:r>
              <w:rPr/>
              <w:t> </w:t>
            </w:r>
          </w:p>
        </w:tc>
        <w:tc>
          <w:tcPr>
            <w:tcW w:w="3567"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458" w:type="dxa"/>
            <w:tcBorders/>
            <w:shd w:fill="auto" w:val="clear"/>
            <w:vAlign w:val="center"/>
          </w:tcPr>
          <w:p>
            <w:pPr>
              <w:pStyle w:val="TableContents"/>
              <w:spacing w:before="0" w:after="283"/>
              <w:rPr/>
            </w:pPr>
            <w:r>
              <w:rPr/>
              <w:t> </w:t>
            </w:r>
          </w:p>
        </w:tc>
        <w:tc>
          <w:tcPr>
            <w:tcW w:w="62" w:type="dxa"/>
            <w:tcBorders/>
            <w:shd w:fill="auto" w:val="clear"/>
          </w:tcPr>
          <w:p>
            <w:pPr>
              <w:pStyle w:val="TableContents"/>
              <w:spacing w:before="0" w:after="283"/>
              <w:rPr>
                <w:sz w:val="4"/>
                <w:szCs w:val="4"/>
              </w:rPr>
            </w:pPr>
            <w:r>
              <w:rPr>
                <w:sz w:val="4"/>
                <w:szCs w:val="4"/>
              </w:rPr>
            </w:r>
          </w:p>
        </w:tc>
      </w:tr>
      <w:tr>
        <w:trPr/>
        <w:tc>
          <w:tcPr>
            <w:tcW w:w="5782" w:type="dxa"/>
            <w:tcBorders/>
            <w:shd w:fill="auto" w:val="clear"/>
            <w:vAlign w:val="bottom"/>
          </w:tcPr>
          <w:p>
            <w:pPr>
              <w:pStyle w:val="TableContents"/>
              <w:spacing w:before="0" w:after="0"/>
              <w:ind w:left="225" w:right="0" w:hanging="225"/>
              <w:rPr/>
            </w:pPr>
            <w:r>
              <w:rPr/>
              <w:t>Pro forma net income</w:t>
            </w:r>
          </w:p>
        </w:tc>
        <w:tc>
          <w:tcPr>
            <w:tcW w:w="336" w:type="dxa"/>
            <w:tcBorders/>
            <w:shd w:fill="auto" w:val="clear"/>
            <w:vAlign w:val="bottom"/>
          </w:tcPr>
          <w:p>
            <w:pPr>
              <w:pStyle w:val="TableContents"/>
              <w:spacing w:before="0" w:after="283"/>
              <w:jc w:val="left"/>
              <w:rPr/>
            </w:pPr>
            <w:r>
              <w:rPr/>
              <w:t> </w:t>
            </w:r>
          </w:p>
        </w:tc>
        <w:tc>
          <w:tcPr>
            <w:tcW w:w="3567" w:type="dxa"/>
            <w:tcBorders/>
            <w:shd w:fill="auto" w:val="clear"/>
            <w:vAlign w:val="bottom"/>
          </w:tcPr>
          <w:p>
            <w:pPr>
              <w:pStyle w:val="TableContents"/>
              <w:spacing w:before="0" w:after="283"/>
              <w:jc w:val="right"/>
              <w:rPr>
                <w:bdr w:val="single" w:sz="2" w:space="1" w:color="000000"/>
              </w:rPr>
            </w:pPr>
            <w:r>
              <w:rPr>
                <w:bdr w:val="single" w:sz="2" w:space="1" w:color="000000"/>
              </w:rPr>
              <w:t>$ 14,086</w:t>
            </w:r>
          </w:p>
        </w:tc>
        <w:tc>
          <w:tcPr>
            <w:tcW w:w="45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r>
      <w:tr>
        <w:trPr/>
        <w:tc>
          <w:tcPr>
            <w:tcW w:w="5782" w:type="dxa"/>
            <w:tcBorders/>
            <w:shd w:fill="auto" w:val="clear"/>
            <w:vAlign w:val="bottom"/>
          </w:tcPr>
          <w:p>
            <w:pPr>
              <w:pStyle w:val="TableContents"/>
              <w:spacing w:before="0" w:after="0"/>
              <w:ind w:left="225" w:right="0" w:hanging="225"/>
              <w:rPr/>
            </w:pPr>
            <w:r>
              <w:rPr/>
              <w:t> </w:t>
            </w:r>
          </w:p>
        </w:tc>
        <w:tc>
          <w:tcPr>
            <w:tcW w:w="336" w:type="dxa"/>
            <w:tcBorders/>
            <w:shd w:fill="auto" w:val="clear"/>
            <w:vAlign w:val="bottom"/>
          </w:tcPr>
          <w:p>
            <w:pPr>
              <w:pStyle w:val="TableContents"/>
              <w:spacing w:before="0" w:after="283"/>
              <w:rPr/>
            </w:pPr>
            <w:r>
              <w:rPr/>
              <w:t> </w:t>
            </w:r>
          </w:p>
        </w:tc>
        <w:tc>
          <w:tcPr>
            <w:tcW w:w="356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r>
      <w:tr>
        <w:trPr/>
        <w:tc>
          <w:tcPr>
            <w:tcW w:w="5782" w:type="dxa"/>
            <w:tcBorders/>
            <w:shd w:fill="CCEEFF" w:val="clear"/>
            <w:vAlign w:val="bottom"/>
          </w:tcPr>
          <w:p>
            <w:pPr>
              <w:pStyle w:val="TableContents"/>
              <w:spacing w:before="0" w:after="0"/>
              <w:ind w:left="225" w:right="0" w:hanging="225"/>
              <w:rPr/>
            </w:pPr>
            <w:r>
              <w:rPr/>
              <w:t>Earnings per share, basic:</w:t>
            </w:r>
          </w:p>
        </w:tc>
        <w:tc>
          <w:tcPr>
            <w:tcW w:w="336" w:type="dxa"/>
            <w:tcBorders/>
            <w:shd w:fill="CCEEFF" w:val="clear"/>
            <w:vAlign w:val="bottom"/>
          </w:tcPr>
          <w:p>
            <w:pPr>
              <w:pStyle w:val="TableContents"/>
              <w:spacing w:before="0" w:after="283"/>
              <w:rPr/>
            </w:pPr>
            <w:r>
              <w:rPr/>
              <w:t> </w:t>
            </w:r>
          </w:p>
        </w:tc>
        <w:tc>
          <w:tcPr>
            <w:tcW w:w="3567"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r>
      <w:tr>
        <w:trPr/>
        <w:tc>
          <w:tcPr>
            <w:tcW w:w="5782" w:type="dxa"/>
            <w:tcBorders/>
            <w:shd w:fill="auto" w:val="clear"/>
            <w:vAlign w:val="bottom"/>
          </w:tcPr>
          <w:p>
            <w:pPr>
              <w:pStyle w:val="TableContents"/>
              <w:spacing w:before="0" w:after="0"/>
              <w:ind w:left="450" w:right="0" w:hanging="225"/>
              <w:rPr/>
            </w:pPr>
            <w:r>
              <w:rPr/>
              <w:t>As reported</w:t>
            </w:r>
          </w:p>
        </w:tc>
        <w:tc>
          <w:tcPr>
            <w:tcW w:w="336" w:type="dxa"/>
            <w:tcBorders/>
            <w:shd w:fill="auto" w:val="clear"/>
            <w:vAlign w:val="bottom"/>
          </w:tcPr>
          <w:p>
            <w:pPr>
              <w:pStyle w:val="TableContents"/>
              <w:spacing w:before="0" w:after="283"/>
              <w:jc w:val="left"/>
              <w:rPr/>
            </w:pPr>
            <w:r>
              <w:rPr/>
              <w:t> </w:t>
            </w:r>
          </w:p>
        </w:tc>
        <w:tc>
          <w:tcPr>
            <w:tcW w:w="3567" w:type="dxa"/>
            <w:tcBorders/>
            <w:shd w:fill="auto" w:val="clear"/>
            <w:vAlign w:val="bottom"/>
          </w:tcPr>
          <w:p>
            <w:pPr>
              <w:pStyle w:val="TableContents"/>
              <w:spacing w:before="0" w:after="283"/>
              <w:jc w:val="right"/>
              <w:rPr/>
            </w:pPr>
            <w:r>
              <w:rPr/>
              <w:t>$     0.40</w:t>
            </w:r>
          </w:p>
        </w:tc>
        <w:tc>
          <w:tcPr>
            <w:tcW w:w="45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r>
      <w:tr>
        <w:trPr/>
        <w:tc>
          <w:tcPr>
            <w:tcW w:w="5782" w:type="dxa"/>
            <w:tcBorders/>
            <w:shd w:fill="CCEEFF" w:val="clear"/>
            <w:vAlign w:val="bottom"/>
          </w:tcPr>
          <w:p>
            <w:pPr>
              <w:pStyle w:val="TableContents"/>
              <w:spacing w:before="0" w:after="0"/>
              <w:ind w:left="450" w:right="0" w:hanging="225"/>
              <w:rPr/>
            </w:pPr>
            <w:r>
              <w:rPr/>
              <w:t>Pro forma</w:t>
            </w:r>
          </w:p>
        </w:tc>
        <w:tc>
          <w:tcPr>
            <w:tcW w:w="336" w:type="dxa"/>
            <w:tcBorders/>
            <w:shd w:fill="CCEEFF" w:val="clear"/>
            <w:vAlign w:val="bottom"/>
          </w:tcPr>
          <w:p>
            <w:pPr>
              <w:pStyle w:val="TableContents"/>
              <w:spacing w:before="0" w:after="283"/>
              <w:jc w:val="left"/>
              <w:rPr/>
            </w:pPr>
            <w:r>
              <w:rPr/>
              <w:t> </w:t>
            </w:r>
          </w:p>
        </w:tc>
        <w:tc>
          <w:tcPr>
            <w:tcW w:w="3567" w:type="dxa"/>
            <w:tcBorders/>
            <w:shd w:fill="CCEEFF" w:val="clear"/>
            <w:vAlign w:val="bottom"/>
          </w:tcPr>
          <w:p>
            <w:pPr>
              <w:pStyle w:val="TableContents"/>
              <w:spacing w:before="0" w:after="283"/>
              <w:jc w:val="right"/>
              <w:rPr/>
            </w:pPr>
            <w:r>
              <w:rPr/>
              <w:t>$     0.38</w:t>
            </w:r>
          </w:p>
        </w:tc>
        <w:tc>
          <w:tcPr>
            <w:tcW w:w="458"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r>
      <w:tr>
        <w:trPr/>
        <w:tc>
          <w:tcPr>
            <w:tcW w:w="5782" w:type="dxa"/>
            <w:tcBorders/>
            <w:shd w:fill="auto" w:val="clear"/>
            <w:vAlign w:val="bottom"/>
          </w:tcPr>
          <w:p>
            <w:pPr>
              <w:pStyle w:val="TableContents"/>
              <w:spacing w:before="0" w:after="0"/>
              <w:ind w:left="225" w:right="0" w:hanging="225"/>
              <w:rPr/>
            </w:pPr>
            <w:r>
              <w:rPr/>
              <w:t> </w:t>
            </w:r>
          </w:p>
        </w:tc>
        <w:tc>
          <w:tcPr>
            <w:tcW w:w="336" w:type="dxa"/>
            <w:tcBorders/>
            <w:shd w:fill="auto" w:val="clear"/>
            <w:vAlign w:val="bottom"/>
          </w:tcPr>
          <w:p>
            <w:pPr>
              <w:pStyle w:val="TableContents"/>
              <w:spacing w:before="0" w:after="283"/>
              <w:rPr/>
            </w:pPr>
            <w:r>
              <w:rPr/>
              <w:t> </w:t>
            </w:r>
          </w:p>
        </w:tc>
        <w:tc>
          <w:tcPr>
            <w:tcW w:w="356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r>
      <w:tr>
        <w:trPr/>
        <w:tc>
          <w:tcPr>
            <w:tcW w:w="5782" w:type="dxa"/>
            <w:tcBorders/>
            <w:shd w:fill="auto" w:val="clear"/>
            <w:vAlign w:val="bottom"/>
          </w:tcPr>
          <w:p>
            <w:pPr>
              <w:pStyle w:val="TableContents"/>
              <w:spacing w:before="0" w:after="0"/>
              <w:ind w:left="225" w:right="0" w:hanging="225"/>
              <w:rPr/>
            </w:pPr>
            <w:r>
              <w:rPr/>
              <w:t>Earnings per share, diluted:</w:t>
            </w:r>
          </w:p>
        </w:tc>
        <w:tc>
          <w:tcPr>
            <w:tcW w:w="336" w:type="dxa"/>
            <w:tcBorders/>
            <w:shd w:fill="auto" w:val="clear"/>
            <w:vAlign w:val="bottom"/>
          </w:tcPr>
          <w:p>
            <w:pPr>
              <w:pStyle w:val="TableContents"/>
              <w:spacing w:before="0" w:after="283"/>
              <w:rPr/>
            </w:pPr>
            <w:r>
              <w:rPr/>
              <w:t> </w:t>
            </w:r>
          </w:p>
        </w:tc>
        <w:tc>
          <w:tcPr>
            <w:tcW w:w="3567"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r>
      <w:tr>
        <w:trPr/>
        <w:tc>
          <w:tcPr>
            <w:tcW w:w="5782" w:type="dxa"/>
            <w:tcBorders/>
            <w:shd w:fill="CCEEFF" w:val="clear"/>
            <w:vAlign w:val="bottom"/>
          </w:tcPr>
          <w:p>
            <w:pPr>
              <w:pStyle w:val="TableContents"/>
              <w:spacing w:before="0" w:after="0"/>
              <w:ind w:left="450" w:right="0" w:hanging="225"/>
              <w:rPr/>
            </w:pPr>
            <w:r>
              <w:rPr/>
              <w:t>As reported</w:t>
            </w:r>
          </w:p>
        </w:tc>
        <w:tc>
          <w:tcPr>
            <w:tcW w:w="336" w:type="dxa"/>
            <w:tcBorders/>
            <w:shd w:fill="CCEEFF" w:val="clear"/>
            <w:vAlign w:val="bottom"/>
          </w:tcPr>
          <w:p>
            <w:pPr>
              <w:pStyle w:val="TableContents"/>
              <w:spacing w:before="0" w:after="283"/>
              <w:jc w:val="left"/>
              <w:rPr/>
            </w:pPr>
            <w:r>
              <w:rPr/>
              <w:t> </w:t>
            </w:r>
          </w:p>
        </w:tc>
        <w:tc>
          <w:tcPr>
            <w:tcW w:w="3567" w:type="dxa"/>
            <w:tcBorders/>
            <w:shd w:fill="CCEEFF" w:val="clear"/>
            <w:vAlign w:val="bottom"/>
          </w:tcPr>
          <w:p>
            <w:pPr>
              <w:pStyle w:val="TableContents"/>
              <w:spacing w:before="0" w:after="283"/>
              <w:jc w:val="right"/>
              <w:rPr/>
            </w:pPr>
            <w:r>
              <w:rPr/>
              <w:t>$     0.36</w:t>
            </w:r>
          </w:p>
        </w:tc>
        <w:tc>
          <w:tcPr>
            <w:tcW w:w="458"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r>
      <w:tr>
        <w:trPr/>
        <w:tc>
          <w:tcPr>
            <w:tcW w:w="5782" w:type="dxa"/>
            <w:tcBorders/>
            <w:shd w:fill="auto" w:val="clear"/>
            <w:vAlign w:val="bottom"/>
          </w:tcPr>
          <w:p>
            <w:pPr>
              <w:pStyle w:val="TableContents"/>
              <w:spacing w:before="0" w:after="0"/>
              <w:ind w:left="450" w:right="0" w:hanging="225"/>
              <w:rPr/>
            </w:pPr>
            <w:r>
              <w:rPr/>
              <w:t>Pro forma</w:t>
            </w:r>
          </w:p>
        </w:tc>
        <w:tc>
          <w:tcPr>
            <w:tcW w:w="336" w:type="dxa"/>
            <w:tcBorders/>
            <w:shd w:fill="auto" w:val="clear"/>
            <w:vAlign w:val="bottom"/>
          </w:tcPr>
          <w:p>
            <w:pPr>
              <w:pStyle w:val="TableContents"/>
              <w:spacing w:before="0" w:after="283"/>
              <w:jc w:val="left"/>
              <w:rPr/>
            </w:pPr>
            <w:r>
              <w:rPr/>
              <w:t> </w:t>
            </w:r>
          </w:p>
        </w:tc>
        <w:tc>
          <w:tcPr>
            <w:tcW w:w="3567" w:type="dxa"/>
            <w:tcBorders/>
            <w:shd w:fill="auto" w:val="clear"/>
            <w:vAlign w:val="bottom"/>
          </w:tcPr>
          <w:p>
            <w:pPr>
              <w:pStyle w:val="TableContents"/>
              <w:spacing w:before="0" w:after="283"/>
              <w:jc w:val="right"/>
              <w:rPr/>
            </w:pPr>
            <w:r>
              <w:rPr/>
              <w:t>$     0.35</w:t>
            </w:r>
          </w:p>
        </w:tc>
        <w:tc>
          <w:tcPr>
            <w:tcW w:w="45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September 30, 2007, warrants to purchase 50,652 shares of Class A Common Stock and 12,222 shares of Class B Common Stock at $2.06 per share were outstanding. The warrants are not mandatorily redeemable, and are exercisable at the option of the holder through July 25, 2009. </w:t>
      </w:r>
    </w:p>
    <w:p>
      <w:pPr>
        <w:pStyle w:val="TextBody"/>
        <w:spacing w:before="240" w:after="283"/>
        <w:jc w:val="left"/>
        <w:rPr>
          <w:rFonts w:ascii="Helvetica;Arial;sans-serif" w:hAnsi="Helvetica;Arial;sans-serif"/>
          <w:sz w:val="17"/>
        </w:rPr>
      </w:pPr>
      <w:r>
        <w:rPr>
          <w:rFonts w:ascii="Helvetica;Arial;sans-serif" w:hAnsi="Helvetica;Arial;sans-serif"/>
          <w:b/>
          <w:sz w:val="17"/>
        </w:rPr>
        <w:t>Note J: Income Taxes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income tax provision is attributable only to continuing operations, and is as follows: </w:t>
      </w:r>
    </w:p>
    <w:tbl>
      <w:tblPr>
        <w:tblW w:w="5000" w:type="pct"/>
        <w:jc w:val="center"/>
        <w:tblInd w:w="0" w:type="dxa"/>
        <w:tblCellMar>
          <w:top w:w="0" w:type="dxa"/>
          <w:left w:w="0" w:type="dxa"/>
          <w:bottom w:w="0" w:type="dxa"/>
          <w:right w:w="0" w:type="dxa"/>
        </w:tblCellMar>
      </w:tblPr>
      <w:tblGrid>
        <w:gridCol w:w="5923"/>
        <w:gridCol w:w="466"/>
        <w:gridCol w:w="143"/>
        <w:gridCol w:w="663"/>
        <w:gridCol w:w="112"/>
        <w:gridCol w:w="466"/>
        <w:gridCol w:w="143"/>
        <w:gridCol w:w="710"/>
        <w:gridCol w:w="125"/>
        <w:gridCol w:w="466"/>
        <w:gridCol w:w="143"/>
        <w:gridCol w:w="712"/>
        <w:gridCol w:w="133"/>
      </w:tblGrid>
      <w:tr>
        <w:trPr/>
        <w:tc>
          <w:tcPr>
            <w:tcW w:w="5923"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923"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3683"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33" w:type="dxa"/>
            <w:tcBorders/>
            <w:shd w:fill="auto" w:val="clear"/>
            <w:vAlign w:val="bottom"/>
          </w:tcPr>
          <w:p>
            <w:pPr>
              <w:pStyle w:val="TableContents"/>
              <w:spacing w:before="0" w:after="283"/>
              <w:rPr/>
            </w:pPr>
            <w:r>
              <w:rPr/>
              <w:t> </w:t>
            </w:r>
          </w:p>
        </w:tc>
      </w:tr>
      <w:tr>
        <w:trPr/>
        <w:tc>
          <w:tcPr>
            <w:tcW w:w="5923"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806" w:type="dxa"/>
            <w:gridSpan w:val="2"/>
            <w:tcBorders>
              <w:bottom w:val="single" w:sz="2" w:space="0" w:color="000000"/>
            </w:tcBorders>
            <w:shd w:fill="auto" w:val="clear"/>
            <w:tcMar>
              <w:bottom w:w="28" w:type="dxa"/>
            </w:tcMar>
            <w:vAlign w:val="bottom"/>
          </w:tcPr>
          <w:p>
            <w:pPr>
              <w:pStyle w:val="TableContents"/>
              <w:spacing w:before="0" w:after="283"/>
              <w:jc w:val="right"/>
              <w:rPr/>
            </w:pPr>
            <w:r>
              <w:rPr/>
              <w:t>2005</w:t>
            </w:r>
          </w:p>
        </w:tc>
        <w:tc>
          <w:tcPr>
            <w:tcW w:w="112"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853"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855"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33" w:type="dxa"/>
            <w:tcBorders/>
            <w:shd w:fill="auto" w:val="clear"/>
            <w:vAlign w:val="bottom"/>
          </w:tcPr>
          <w:p>
            <w:pPr>
              <w:pStyle w:val="TableContents"/>
              <w:spacing w:before="0" w:after="283"/>
              <w:rPr/>
            </w:pPr>
            <w:r>
              <w:rPr/>
              <w:t> </w:t>
            </w:r>
          </w:p>
        </w:tc>
      </w:tr>
      <w:tr>
        <w:trPr/>
        <w:tc>
          <w:tcPr>
            <w:tcW w:w="5923"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3683" w:type="dxa"/>
            <w:gridSpan w:val="10"/>
            <w:tcBorders/>
            <w:shd w:fill="auto" w:val="clear"/>
            <w:vAlign w:val="bottom"/>
          </w:tcPr>
          <w:p>
            <w:pPr>
              <w:pStyle w:val="TableContents"/>
              <w:spacing w:before="0" w:after="283"/>
              <w:jc w:val="center"/>
              <w:rPr>
                <w:i/>
              </w:rPr>
            </w:pPr>
            <w:r>
              <w:rPr>
                <w:i/>
              </w:rPr>
              <w:t>(In thousands)</w:t>
            </w:r>
          </w:p>
        </w:tc>
        <w:tc>
          <w:tcPr>
            <w:tcW w:w="133" w:type="dxa"/>
            <w:tcBorders/>
            <w:shd w:fill="auto" w:val="clear"/>
            <w:vAlign w:val="bottom"/>
          </w:tcPr>
          <w:p>
            <w:pPr>
              <w:pStyle w:val="TableContents"/>
              <w:spacing w:before="0" w:after="283"/>
              <w:rPr/>
            </w:pPr>
            <w:r>
              <w:rPr/>
              <w:t> </w:t>
            </w:r>
          </w:p>
        </w:tc>
      </w:tr>
      <w:tr>
        <w:trPr/>
        <w:tc>
          <w:tcPr>
            <w:tcW w:w="5923" w:type="dxa"/>
            <w:tcBorders/>
            <w:shd w:fill="CCEEFF" w:val="clear"/>
            <w:vAlign w:val="bottom"/>
          </w:tcPr>
          <w:p>
            <w:pPr>
              <w:pStyle w:val="TableContents"/>
              <w:spacing w:before="0" w:after="0"/>
              <w:ind w:left="225" w:right="0" w:hanging="225"/>
              <w:rPr/>
            </w:pPr>
            <w:r>
              <w:rPr/>
              <w:t>Current</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5923" w:type="dxa"/>
            <w:tcBorders/>
            <w:shd w:fill="auto" w:val="clear"/>
            <w:vAlign w:val="bottom"/>
          </w:tcPr>
          <w:p>
            <w:pPr>
              <w:pStyle w:val="TableContents"/>
              <w:spacing w:before="0" w:after="0"/>
              <w:ind w:left="450" w:right="0" w:hanging="225"/>
              <w:rPr/>
            </w:pPr>
            <w:r>
              <w:rPr/>
              <w:t>Federal</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663" w:type="dxa"/>
            <w:tcBorders/>
            <w:shd w:fill="auto" w:val="clear"/>
            <w:vAlign w:val="bottom"/>
          </w:tcPr>
          <w:p>
            <w:pPr>
              <w:pStyle w:val="TableContents"/>
              <w:spacing w:before="0" w:after="283"/>
              <w:jc w:val="right"/>
              <w:rPr/>
            </w:pPr>
            <w:r>
              <w:rPr/>
              <w:t>8,121</w:t>
            </w:r>
          </w:p>
        </w:tc>
        <w:tc>
          <w:tcPr>
            <w:tcW w:w="112"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10" w:type="dxa"/>
            <w:tcBorders/>
            <w:shd w:fill="auto" w:val="clear"/>
            <w:vAlign w:val="bottom"/>
          </w:tcPr>
          <w:p>
            <w:pPr>
              <w:pStyle w:val="TableContents"/>
              <w:spacing w:before="0" w:after="283"/>
              <w:jc w:val="right"/>
              <w:rPr/>
            </w:pPr>
            <w:r>
              <w:rPr/>
              <w:t>13,040</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12" w:type="dxa"/>
            <w:tcBorders/>
            <w:shd w:fill="auto" w:val="clear"/>
            <w:vAlign w:val="bottom"/>
          </w:tcPr>
          <w:p>
            <w:pPr>
              <w:pStyle w:val="TableContents"/>
              <w:spacing w:before="0" w:after="283"/>
              <w:jc w:val="right"/>
              <w:rPr/>
            </w:pPr>
            <w:r>
              <w:rPr/>
              <w:t>24,002</w:t>
            </w:r>
          </w:p>
        </w:tc>
        <w:tc>
          <w:tcPr>
            <w:tcW w:w="133" w:type="dxa"/>
            <w:tcBorders/>
            <w:shd w:fill="auto" w:val="clear"/>
            <w:vAlign w:val="bottom"/>
          </w:tcPr>
          <w:p>
            <w:pPr>
              <w:pStyle w:val="TableContents"/>
              <w:spacing w:before="0" w:after="283"/>
              <w:rPr/>
            </w:pPr>
            <w:r>
              <w:rPr/>
              <w:t> </w:t>
            </w:r>
          </w:p>
        </w:tc>
      </w:tr>
      <w:tr>
        <w:trPr/>
        <w:tc>
          <w:tcPr>
            <w:tcW w:w="5923" w:type="dxa"/>
            <w:tcBorders/>
            <w:shd w:fill="CCEEFF" w:val="clear"/>
            <w:vAlign w:val="bottom"/>
          </w:tcPr>
          <w:p>
            <w:pPr>
              <w:pStyle w:val="TableContents"/>
              <w:spacing w:before="0" w:after="0"/>
              <w:ind w:left="450" w:right="0" w:hanging="225"/>
              <w:rPr/>
            </w:pPr>
            <w:r>
              <w:rPr/>
              <w:t>State</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67</w:t>
            </w:r>
          </w:p>
        </w:tc>
        <w:tc>
          <w:tcPr>
            <w:tcW w:w="112"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710" w:type="dxa"/>
            <w:tcBorders/>
            <w:shd w:fill="CCEEFF" w:val="clear"/>
            <w:vAlign w:val="bottom"/>
          </w:tcPr>
          <w:p>
            <w:pPr>
              <w:pStyle w:val="TableContents"/>
              <w:spacing w:before="0" w:after="283"/>
              <w:jc w:val="right"/>
              <w:rPr/>
            </w:pPr>
            <w:r>
              <w:rPr/>
              <w:t>(519</w:t>
            </w:r>
          </w:p>
        </w:tc>
        <w:tc>
          <w:tcPr>
            <w:tcW w:w="125" w:type="dxa"/>
            <w:tcBorders/>
            <w:shd w:fill="CCEEFF" w:val="clear"/>
            <w:vAlign w:val="bottom"/>
          </w:tcPr>
          <w:p>
            <w:pPr>
              <w:pStyle w:val="TableContents"/>
              <w:spacing w:before="0" w:after="283"/>
              <w:rPr/>
            </w:pPr>
            <w:r>
              <w:rPr/>
              <w:t>)</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881</w:t>
            </w:r>
          </w:p>
        </w:tc>
        <w:tc>
          <w:tcPr>
            <w:tcW w:w="133" w:type="dxa"/>
            <w:tcBorders/>
            <w:shd w:fill="CCEEFF" w:val="clear"/>
            <w:vAlign w:val="bottom"/>
          </w:tcPr>
          <w:p>
            <w:pPr>
              <w:pStyle w:val="TableContents"/>
              <w:spacing w:before="0" w:after="283"/>
              <w:rPr/>
            </w:pPr>
            <w:r>
              <w:rPr/>
              <w:t> </w:t>
            </w:r>
          </w:p>
        </w:tc>
      </w:tr>
      <w:tr>
        <w:trPr/>
        <w:tc>
          <w:tcPr>
            <w:tcW w:w="5923" w:type="dxa"/>
            <w:tcBorders/>
            <w:shd w:fill="auto" w:val="clear"/>
            <w:vAlign w:val="center"/>
          </w:tcPr>
          <w:p>
            <w:pPr>
              <w:pStyle w:val="TableContents"/>
              <w:spacing w:before="0" w:after="0"/>
              <w:ind w:left="225" w:right="0" w:hanging="225"/>
              <w:rPr/>
            </w:pPr>
            <w:r>
              <w:rPr/>
              <w:t> </w:t>
            </w:r>
          </w:p>
        </w:tc>
        <w:tc>
          <w:tcPr>
            <w:tcW w:w="466" w:type="dxa"/>
            <w:tcBorders/>
            <w:shd w:fill="auto" w:val="clear"/>
            <w:vAlign w:val="center"/>
          </w:tcPr>
          <w:p>
            <w:pPr>
              <w:pStyle w:val="TableContents"/>
              <w:spacing w:before="0" w:after="283"/>
              <w:rPr/>
            </w:pPr>
            <w:r>
              <w:rPr/>
              <w:t> </w:t>
            </w:r>
          </w:p>
        </w:tc>
        <w:tc>
          <w:tcPr>
            <w:tcW w:w="8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8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8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5923" w:type="dxa"/>
            <w:tcBorders/>
            <w:shd w:fill="auto" w:val="clear"/>
            <w:vAlign w:val="bottom"/>
          </w:tcPr>
          <w:p>
            <w:pPr>
              <w:pStyle w:val="TableContents"/>
              <w:spacing w:before="0" w:after="0"/>
              <w:ind w:left="225" w:right="0" w:hanging="225"/>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pPr>
            <w:r>
              <w:rPr/>
              <w:t>8,188</w:t>
            </w:r>
          </w:p>
        </w:tc>
        <w:tc>
          <w:tcPr>
            <w:tcW w:w="112"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pPr>
            <w:r>
              <w:rPr/>
              <w:t>12,521</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24,883</w:t>
            </w:r>
          </w:p>
        </w:tc>
        <w:tc>
          <w:tcPr>
            <w:tcW w:w="133" w:type="dxa"/>
            <w:tcBorders/>
            <w:shd w:fill="auto" w:val="clear"/>
            <w:vAlign w:val="bottom"/>
          </w:tcPr>
          <w:p>
            <w:pPr>
              <w:pStyle w:val="TableContents"/>
              <w:spacing w:before="0" w:after="283"/>
              <w:rPr/>
            </w:pPr>
            <w:r>
              <w:rPr/>
              <w:t> </w:t>
            </w:r>
          </w:p>
        </w:tc>
      </w:tr>
      <w:tr>
        <w:trPr/>
        <w:tc>
          <w:tcPr>
            <w:tcW w:w="5923" w:type="dxa"/>
            <w:tcBorders/>
            <w:shd w:fill="auto" w:val="clear"/>
            <w:vAlign w:val="bottom"/>
          </w:tcPr>
          <w:p>
            <w:pPr>
              <w:pStyle w:val="TableContents"/>
              <w:spacing w:before="0" w:after="0"/>
              <w:ind w:left="225" w:right="0" w:hanging="225"/>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923" w:type="dxa"/>
            <w:tcBorders/>
            <w:shd w:fill="CCEEFF" w:val="clear"/>
            <w:vAlign w:val="bottom"/>
          </w:tcPr>
          <w:p>
            <w:pPr>
              <w:pStyle w:val="TableContents"/>
              <w:spacing w:before="0" w:after="0"/>
              <w:ind w:left="225" w:right="0" w:hanging="225"/>
              <w:rPr/>
            </w:pPr>
            <w:r>
              <w:rPr/>
              <w:t>Deferred</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5923" w:type="dxa"/>
            <w:tcBorders/>
            <w:shd w:fill="auto" w:val="clear"/>
            <w:vAlign w:val="bottom"/>
          </w:tcPr>
          <w:p>
            <w:pPr>
              <w:pStyle w:val="TableContents"/>
              <w:spacing w:before="0" w:after="0"/>
              <w:ind w:left="450" w:right="0" w:hanging="225"/>
              <w:rPr/>
            </w:pPr>
            <w:r>
              <w:rPr/>
              <w:t>Federal</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pPr>
            <w:r>
              <w:rPr/>
              <w:t>110</w:t>
            </w:r>
          </w:p>
        </w:tc>
        <w:tc>
          <w:tcPr>
            <w:tcW w:w="112"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pPr>
            <w:r>
              <w:rPr/>
              <w:t>3,647</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712" w:type="dxa"/>
            <w:tcBorders/>
            <w:shd w:fill="auto" w:val="clear"/>
            <w:vAlign w:val="bottom"/>
          </w:tcPr>
          <w:p>
            <w:pPr>
              <w:pStyle w:val="TableContents"/>
              <w:spacing w:before="0" w:after="283"/>
              <w:jc w:val="right"/>
              <w:rPr/>
            </w:pPr>
            <w:r>
              <w:rPr/>
              <w:t>(2,830</w:t>
            </w:r>
          </w:p>
        </w:tc>
        <w:tc>
          <w:tcPr>
            <w:tcW w:w="133" w:type="dxa"/>
            <w:tcBorders/>
            <w:shd w:fill="auto" w:val="clear"/>
            <w:vAlign w:val="bottom"/>
          </w:tcPr>
          <w:p>
            <w:pPr>
              <w:pStyle w:val="TableContents"/>
              <w:spacing w:before="0" w:after="283"/>
              <w:rPr/>
            </w:pPr>
            <w:r>
              <w:rPr/>
              <w:t>)</w:t>
            </w:r>
          </w:p>
        </w:tc>
      </w:tr>
      <w:tr>
        <w:trPr/>
        <w:tc>
          <w:tcPr>
            <w:tcW w:w="5923" w:type="dxa"/>
            <w:tcBorders/>
            <w:shd w:fill="CCEEFF" w:val="clear"/>
            <w:vAlign w:val="bottom"/>
          </w:tcPr>
          <w:p>
            <w:pPr>
              <w:pStyle w:val="TableContents"/>
              <w:spacing w:before="0" w:after="0"/>
              <w:ind w:left="450" w:right="0" w:hanging="225"/>
              <w:rPr/>
            </w:pPr>
            <w:r>
              <w:rPr/>
              <w:t>State</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pPr>
            <w:r>
              <w:rPr/>
              <w:t>77</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r>
      <w:tr>
        <w:trPr/>
        <w:tc>
          <w:tcPr>
            <w:tcW w:w="5923" w:type="dxa"/>
            <w:tcBorders/>
            <w:shd w:fill="auto" w:val="clear"/>
            <w:vAlign w:val="center"/>
          </w:tcPr>
          <w:p>
            <w:pPr>
              <w:pStyle w:val="TableContents"/>
              <w:spacing w:before="0" w:after="0"/>
              <w:ind w:left="225" w:right="0" w:hanging="225"/>
              <w:rPr/>
            </w:pPr>
            <w:r>
              <w:rPr/>
              <w:t> </w:t>
            </w:r>
          </w:p>
        </w:tc>
        <w:tc>
          <w:tcPr>
            <w:tcW w:w="466" w:type="dxa"/>
            <w:tcBorders/>
            <w:shd w:fill="auto" w:val="clear"/>
            <w:vAlign w:val="center"/>
          </w:tcPr>
          <w:p>
            <w:pPr>
              <w:pStyle w:val="TableContents"/>
              <w:spacing w:before="0" w:after="283"/>
              <w:rPr/>
            </w:pPr>
            <w:r>
              <w:rPr/>
              <w:t> </w:t>
            </w:r>
          </w:p>
        </w:tc>
        <w:tc>
          <w:tcPr>
            <w:tcW w:w="8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8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8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5923" w:type="dxa"/>
            <w:tcBorders/>
            <w:shd w:fill="auto" w:val="clear"/>
            <w:vAlign w:val="bottom"/>
          </w:tcPr>
          <w:p>
            <w:pPr>
              <w:pStyle w:val="TableContents"/>
              <w:spacing w:before="0" w:after="0"/>
              <w:ind w:left="225" w:right="0" w:hanging="225"/>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pPr>
            <w:r>
              <w:rPr/>
              <w:t>110</w:t>
            </w:r>
          </w:p>
        </w:tc>
        <w:tc>
          <w:tcPr>
            <w:tcW w:w="112"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pPr>
            <w:r>
              <w:rPr/>
              <w:t>3,724</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712" w:type="dxa"/>
            <w:tcBorders/>
            <w:shd w:fill="auto" w:val="clear"/>
            <w:vAlign w:val="bottom"/>
          </w:tcPr>
          <w:p>
            <w:pPr>
              <w:pStyle w:val="TableContents"/>
              <w:spacing w:before="0" w:after="283"/>
              <w:jc w:val="right"/>
              <w:rPr/>
            </w:pPr>
            <w:r>
              <w:rPr/>
              <w:t>(2,830</w:t>
            </w:r>
          </w:p>
        </w:tc>
        <w:tc>
          <w:tcPr>
            <w:tcW w:w="133" w:type="dxa"/>
            <w:tcBorders/>
            <w:shd w:fill="auto" w:val="clear"/>
            <w:vAlign w:val="bottom"/>
          </w:tcPr>
          <w:p>
            <w:pPr>
              <w:pStyle w:val="TableContents"/>
              <w:spacing w:before="0" w:after="283"/>
              <w:rPr/>
            </w:pPr>
            <w:r>
              <w:rPr/>
              <w:t>)</w:t>
            </w:r>
          </w:p>
        </w:tc>
      </w:tr>
      <w:tr>
        <w:trPr/>
        <w:tc>
          <w:tcPr>
            <w:tcW w:w="5923" w:type="dxa"/>
            <w:tcBorders/>
            <w:shd w:fill="auto" w:val="clear"/>
            <w:vAlign w:val="bottom"/>
          </w:tcPr>
          <w:p>
            <w:pPr>
              <w:pStyle w:val="TableContents"/>
              <w:spacing w:before="0" w:after="0"/>
              <w:ind w:left="225" w:right="0" w:hanging="225"/>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5923" w:type="dxa"/>
            <w:tcBorders/>
            <w:shd w:fill="auto" w:val="clear"/>
            <w:vAlign w:val="center"/>
          </w:tcPr>
          <w:p>
            <w:pPr>
              <w:pStyle w:val="TableContents"/>
              <w:spacing w:before="0" w:after="0"/>
              <w:ind w:left="450" w:right="0" w:hanging="225"/>
              <w:rPr/>
            </w:pPr>
            <w:r>
              <w:rPr/>
              <w:t> </w:t>
            </w:r>
          </w:p>
        </w:tc>
        <w:tc>
          <w:tcPr>
            <w:tcW w:w="466" w:type="dxa"/>
            <w:tcBorders/>
            <w:shd w:fill="auto" w:val="clear"/>
            <w:vAlign w:val="center"/>
          </w:tcPr>
          <w:p>
            <w:pPr>
              <w:pStyle w:val="TableContents"/>
              <w:spacing w:before="0" w:after="283"/>
              <w:rPr/>
            </w:pPr>
            <w:r>
              <w:rPr/>
              <w:t> </w:t>
            </w:r>
          </w:p>
        </w:tc>
        <w:tc>
          <w:tcPr>
            <w:tcW w:w="8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8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8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5923" w:type="dxa"/>
            <w:tcBorders/>
            <w:shd w:fill="CCEEFF" w:val="clear"/>
            <w:vAlign w:val="bottom"/>
          </w:tcPr>
          <w:p>
            <w:pPr>
              <w:pStyle w:val="TableContents"/>
              <w:spacing w:before="0" w:after="0"/>
              <w:ind w:left="225" w:right="0" w:hanging="225"/>
              <w:rPr/>
            </w:pPr>
            <w:r>
              <w:rPr/>
              <w:t> </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663" w:type="dxa"/>
            <w:tcBorders/>
            <w:shd w:fill="CCEEFF" w:val="clear"/>
            <w:vAlign w:val="bottom"/>
          </w:tcPr>
          <w:p>
            <w:pPr>
              <w:pStyle w:val="TableContents"/>
              <w:spacing w:before="0" w:after="283"/>
              <w:jc w:val="right"/>
              <w:rPr/>
            </w:pPr>
            <w:r>
              <w:rPr/>
              <w:t>8,298</w:t>
            </w:r>
          </w:p>
        </w:tc>
        <w:tc>
          <w:tcPr>
            <w:tcW w:w="112"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10" w:type="dxa"/>
            <w:tcBorders/>
            <w:shd w:fill="CCEEFF" w:val="clear"/>
            <w:vAlign w:val="bottom"/>
          </w:tcPr>
          <w:p>
            <w:pPr>
              <w:pStyle w:val="TableContents"/>
              <w:spacing w:before="0" w:after="283"/>
              <w:jc w:val="right"/>
              <w:rPr/>
            </w:pPr>
            <w:r>
              <w:rPr/>
              <w:t>16,245</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12" w:type="dxa"/>
            <w:tcBorders/>
            <w:shd w:fill="CCEEFF" w:val="clear"/>
            <w:vAlign w:val="bottom"/>
          </w:tcPr>
          <w:p>
            <w:pPr>
              <w:pStyle w:val="TableContents"/>
              <w:spacing w:before="0" w:after="283"/>
              <w:jc w:val="right"/>
              <w:rPr/>
            </w:pPr>
            <w:r>
              <w:rPr/>
              <w:t>22,053</w:t>
            </w:r>
          </w:p>
        </w:tc>
        <w:tc>
          <w:tcPr>
            <w:tcW w:w="133" w:type="dxa"/>
            <w:tcBorders/>
            <w:shd w:fill="CCEEFF" w:val="clear"/>
            <w:vAlign w:val="bottom"/>
          </w:tcPr>
          <w:p>
            <w:pPr>
              <w:pStyle w:val="TableContents"/>
              <w:spacing w:before="0" w:after="283"/>
              <w:rPr/>
            </w:pPr>
            <w:r>
              <w:rPr/>
              <w:t> </w:t>
            </w:r>
          </w:p>
        </w:tc>
      </w:tr>
      <w:tr>
        <w:trPr/>
        <w:tc>
          <w:tcPr>
            <w:tcW w:w="5923" w:type="dxa"/>
            <w:tcBorders/>
            <w:shd w:fill="auto" w:val="clear"/>
            <w:vAlign w:val="center"/>
          </w:tcPr>
          <w:p>
            <w:pPr>
              <w:pStyle w:val="TableContents"/>
              <w:spacing w:before="0" w:after="0"/>
              <w:ind w:left="225" w:right="0" w:hanging="225"/>
              <w:rPr/>
            </w:pPr>
            <w:r>
              <w:rPr/>
              <w:t> </w:t>
            </w:r>
          </w:p>
        </w:tc>
        <w:tc>
          <w:tcPr>
            <w:tcW w:w="466" w:type="dxa"/>
            <w:tcBorders/>
            <w:shd w:fill="auto" w:val="clear"/>
            <w:vAlign w:val="center"/>
          </w:tcPr>
          <w:p>
            <w:pPr>
              <w:pStyle w:val="TableContents"/>
              <w:spacing w:before="0" w:after="283"/>
              <w:rPr/>
            </w:pPr>
            <w:r>
              <w:rPr/>
              <w:t> </w:t>
            </w:r>
          </w:p>
        </w:tc>
        <w:tc>
          <w:tcPr>
            <w:tcW w:w="8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8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8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63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reconciliation of income taxes calculated at the statutory rate and the provision for income taxes attributable to continuing operations is as follows: </w:t>
      </w:r>
    </w:p>
    <w:tbl>
      <w:tblPr>
        <w:tblW w:w="5000" w:type="pct"/>
        <w:jc w:val="center"/>
        <w:tblInd w:w="0" w:type="dxa"/>
        <w:tblCellMar>
          <w:top w:w="0" w:type="dxa"/>
          <w:left w:w="0" w:type="dxa"/>
          <w:bottom w:w="0" w:type="dxa"/>
          <w:right w:w="0" w:type="dxa"/>
        </w:tblCellMar>
      </w:tblPr>
      <w:tblGrid>
        <w:gridCol w:w="5948"/>
        <w:gridCol w:w="447"/>
        <w:gridCol w:w="146"/>
        <w:gridCol w:w="671"/>
        <w:gridCol w:w="110"/>
        <w:gridCol w:w="448"/>
        <w:gridCol w:w="146"/>
        <w:gridCol w:w="724"/>
        <w:gridCol w:w="126"/>
        <w:gridCol w:w="448"/>
        <w:gridCol w:w="146"/>
        <w:gridCol w:w="726"/>
        <w:gridCol w:w="119"/>
      </w:tblGrid>
      <w:tr>
        <w:trPr/>
        <w:tc>
          <w:tcPr>
            <w:tcW w:w="5948"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7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948"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3691" w:type="dxa"/>
            <w:gridSpan w:val="10"/>
            <w:tcBorders>
              <w:bottom w:val="single" w:sz="2" w:space="0" w:color="000000"/>
            </w:tcBorders>
            <w:shd w:fill="auto" w:val="clear"/>
            <w:tcMar>
              <w:bottom w:w="28" w:type="dxa"/>
            </w:tcMar>
            <w:vAlign w:val="bottom"/>
          </w:tcPr>
          <w:p>
            <w:pPr>
              <w:pStyle w:val="TableContents"/>
              <w:spacing w:before="0" w:after="283"/>
              <w:jc w:val="center"/>
              <w:rPr/>
            </w:pPr>
            <w:r>
              <w:rPr/>
              <w:t xml:space="preserve">Years Ended September 30, </w:t>
            </w:r>
          </w:p>
        </w:tc>
        <w:tc>
          <w:tcPr>
            <w:tcW w:w="119" w:type="dxa"/>
            <w:tcBorders/>
            <w:shd w:fill="auto" w:val="clear"/>
            <w:vAlign w:val="bottom"/>
          </w:tcPr>
          <w:p>
            <w:pPr>
              <w:pStyle w:val="TableContents"/>
              <w:spacing w:before="0" w:after="283"/>
              <w:rPr/>
            </w:pPr>
            <w:r>
              <w:rPr/>
              <w:t> </w:t>
            </w:r>
          </w:p>
        </w:tc>
      </w:tr>
      <w:tr>
        <w:trPr/>
        <w:tc>
          <w:tcPr>
            <w:tcW w:w="5948"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817" w:type="dxa"/>
            <w:gridSpan w:val="2"/>
            <w:tcBorders>
              <w:bottom w:val="single" w:sz="2" w:space="0" w:color="000000"/>
            </w:tcBorders>
            <w:shd w:fill="auto" w:val="clear"/>
            <w:tcMar>
              <w:bottom w:w="28" w:type="dxa"/>
            </w:tcMar>
            <w:vAlign w:val="bottom"/>
          </w:tcPr>
          <w:p>
            <w:pPr>
              <w:pStyle w:val="TableContents"/>
              <w:spacing w:before="0" w:after="283"/>
              <w:jc w:val="right"/>
              <w:rPr/>
            </w:pPr>
            <w:r>
              <w:rPr/>
              <w:t>2005</w:t>
            </w:r>
          </w:p>
        </w:tc>
        <w:tc>
          <w:tcPr>
            <w:tcW w:w="11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870"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26"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872"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19" w:type="dxa"/>
            <w:tcBorders/>
            <w:shd w:fill="auto" w:val="clear"/>
            <w:vAlign w:val="bottom"/>
          </w:tcPr>
          <w:p>
            <w:pPr>
              <w:pStyle w:val="TableContents"/>
              <w:spacing w:before="0" w:after="283"/>
              <w:rPr/>
            </w:pPr>
            <w:r>
              <w:rPr/>
              <w:t> </w:t>
            </w:r>
          </w:p>
        </w:tc>
      </w:tr>
      <w:tr>
        <w:trPr/>
        <w:tc>
          <w:tcPr>
            <w:tcW w:w="5948"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3691" w:type="dxa"/>
            <w:gridSpan w:val="10"/>
            <w:tcBorders/>
            <w:shd w:fill="auto" w:val="clear"/>
            <w:vAlign w:val="bottom"/>
          </w:tcPr>
          <w:p>
            <w:pPr>
              <w:pStyle w:val="TableContents"/>
              <w:spacing w:before="0" w:after="283"/>
              <w:jc w:val="center"/>
              <w:rPr>
                <w:i/>
              </w:rPr>
            </w:pPr>
            <w:r>
              <w:rPr>
                <w:i/>
              </w:rPr>
              <w:t>(In thousands)</w:t>
            </w:r>
          </w:p>
        </w:tc>
        <w:tc>
          <w:tcPr>
            <w:tcW w:w="119" w:type="dxa"/>
            <w:tcBorders/>
            <w:shd w:fill="auto" w:val="clear"/>
            <w:vAlign w:val="bottom"/>
          </w:tcPr>
          <w:p>
            <w:pPr>
              <w:pStyle w:val="TableContents"/>
              <w:spacing w:before="0" w:after="283"/>
              <w:rPr/>
            </w:pPr>
            <w:r>
              <w:rPr/>
              <w:t> </w:t>
            </w:r>
          </w:p>
        </w:tc>
      </w:tr>
      <w:tr>
        <w:trPr/>
        <w:tc>
          <w:tcPr>
            <w:tcW w:w="5948" w:type="dxa"/>
            <w:tcBorders/>
            <w:shd w:fill="CCEEFF" w:val="clear"/>
            <w:vAlign w:val="bottom"/>
          </w:tcPr>
          <w:p>
            <w:pPr>
              <w:pStyle w:val="TableContents"/>
              <w:spacing w:before="0" w:after="0"/>
              <w:ind w:left="225" w:right="0" w:hanging="225"/>
              <w:rPr/>
            </w:pPr>
            <w:r>
              <w:rPr/>
              <w:t>Income taxes at the federal statutory rate</w:t>
            </w:r>
          </w:p>
        </w:tc>
        <w:tc>
          <w:tcPr>
            <w:tcW w:w="4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671" w:type="dxa"/>
            <w:tcBorders/>
            <w:shd w:fill="CCEEFF" w:val="clear"/>
            <w:vAlign w:val="bottom"/>
          </w:tcPr>
          <w:p>
            <w:pPr>
              <w:pStyle w:val="TableContents"/>
              <w:spacing w:before="0" w:after="283"/>
              <w:jc w:val="right"/>
              <w:rPr/>
            </w:pPr>
            <w:r>
              <w:rPr/>
              <w:t>8,068</w:t>
            </w:r>
          </w:p>
        </w:tc>
        <w:tc>
          <w:tcPr>
            <w:tcW w:w="11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724" w:type="dxa"/>
            <w:tcBorders/>
            <w:shd w:fill="CCEEFF" w:val="clear"/>
            <w:vAlign w:val="bottom"/>
          </w:tcPr>
          <w:p>
            <w:pPr>
              <w:pStyle w:val="TableContents"/>
              <w:spacing w:before="0" w:after="283"/>
              <w:jc w:val="right"/>
              <w:rPr/>
            </w:pPr>
            <w:r>
              <w:rPr/>
              <w:t>15,926</w:t>
            </w:r>
          </w:p>
        </w:tc>
        <w:tc>
          <w:tcPr>
            <w:tcW w:w="126"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726" w:type="dxa"/>
            <w:tcBorders/>
            <w:shd w:fill="CCEEFF" w:val="clear"/>
            <w:vAlign w:val="bottom"/>
          </w:tcPr>
          <w:p>
            <w:pPr>
              <w:pStyle w:val="TableContents"/>
              <w:spacing w:before="0" w:after="283"/>
              <w:jc w:val="right"/>
              <w:rPr/>
            </w:pPr>
            <w:r>
              <w:rPr/>
              <w:t>20,975</w:t>
            </w:r>
          </w:p>
        </w:tc>
        <w:tc>
          <w:tcPr>
            <w:tcW w:w="119" w:type="dxa"/>
            <w:tcBorders/>
            <w:shd w:fill="CCEEFF" w:val="clear"/>
            <w:vAlign w:val="bottom"/>
          </w:tcPr>
          <w:p>
            <w:pPr>
              <w:pStyle w:val="TableContents"/>
              <w:spacing w:before="0" w:after="283"/>
              <w:rPr/>
            </w:pPr>
            <w:r>
              <w:rPr/>
              <w:t> </w:t>
            </w:r>
          </w:p>
        </w:tc>
      </w:tr>
      <w:tr>
        <w:trPr/>
        <w:tc>
          <w:tcPr>
            <w:tcW w:w="5948" w:type="dxa"/>
            <w:tcBorders/>
            <w:shd w:fill="auto" w:val="clear"/>
            <w:vAlign w:val="bottom"/>
          </w:tcPr>
          <w:p>
            <w:pPr>
              <w:pStyle w:val="TableContents"/>
              <w:spacing w:before="0" w:after="0"/>
              <w:ind w:left="225" w:right="0" w:hanging="225"/>
              <w:rPr/>
            </w:pPr>
            <w:r>
              <w:rPr/>
              <w:t>Non-deductible expense related to incentive stock options</w:t>
            </w:r>
          </w:p>
        </w:tc>
        <w:tc>
          <w:tcPr>
            <w:tcW w:w="4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71"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pPr>
            <w:r>
              <w:rPr/>
              <w:t>297</w:t>
            </w:r>
          </w:p>
        </w:tc>
        <w:tc>
          <w:tcPr>
            <w:tcW w:w="126"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42</w:t>
            </w:r>
          </w:p>
        </w:tc>
        <w:tc>
          <w:tcPr>
            <w:tcW w:w="119" w:type="dxa"/>
            <w:tcBorders/>
            <w:shd w:fill="auto" w:val="clear"/>
            <w:vAlign w:val="bottom"/>
          </w:tcPr>
          <w:p>
            <w:pPr>
              <w:pStyle w:val="TableContents"/>
              <w:spacing w:before="0" w:after="283"/>
              <w:rPr/>
            </w:pPr>
            <w:r>
              <w:rPr/>
              <w:t> </w:t>
            </w:r>
          </w:p>
        </w:tc>
      </w:tr>
      <w:tr>
        <w:trPr/>
        <w:tc>
          <w:tcPr>
            <w:tcW w:w="5948" w:type="dxa"/>
            <w:tcBorders/>
            <w:shd w:fill="CCEEFF" w:val="clear"/>
            <w:vAlign w:val="bottom"/>
          </w:tcPr>
          <w:p>
            <w:pPr>
              <w:pStyle w:val="TableContents"/>
              <w:spacing w:before="0" w:after="0"/>
              <w:ind w:left="225" w:right="0" w:hanging="225"/>
              <w:rPr/>
            </w:pPr>
            <w:r>
              <w:rPr/>
              <w:t>State income tax, net of federal benefit</w:t>
            </w:r>
          </w:p>
        </w:tc>
        <w:tc>
          <w:tcPr>
            <w:tcW w:w="4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71" w:type="dxa"/>
            <w:tcBorders/>
            <w:shd w:fill="CCEEFF" w:val="clear"/>
            <w:vAlign w:val="bottom"/>
          </w:tcPr>
          <w:p>
            <w:pPr>
              <w:pStyle w:val="TableContents"/>
              <w:spacing w:before="0" w:after="283"/>
              <w:jc w:val="right"/>
              <w:rPr/>
            </w:pPr>
            <w:r>
              <w:rPr/>
              <w:t>93</w:t>
            </w:r>
          </w:p>
        </w:tc>
        <w:tc>
          <w:tcPr>
            <w:tcW w:w="11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pPr>
            <w:r>
              <w:rPr/>
              <w:t>280</w:t>
            </w:r>
          </w:p>
        </w:tc>
        <w:tc>
          <w:tcPr>
            <w:tcW w:w="126"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881</w:t>
            </w:r>
          </w:p>
        </w:tc>
        <w:tc>
          <w:tcPr>
            <w:tcW w:w="119" w:type="dxa"/>
            <w:tcBorders/>
            <w:shd w:fill="CCEEFF" w:val="clear"/>
            <w:vAlign w:val="bottom"/>
          </w:tcPr>
          <w:p>
            <w:pPr>
              <w:pStyle w:val="TableContents"/>
              <w:spacing w:before="0" w:after="283"/>
              <w:rPr/>
            </w:pPr>
            <w:r>
              <w:rPr/>
              <w:t> </w:t>
            </w:r>
          </w:p>
        </w:tc>
      </w:tr>
      <w:tr>
        <w:trPr/>
        <w:tc>
          <w:tcPr>
            <w:tcW w:w="5948" w:type="dxa"/>
            <w:tcBorders/>
            <w:shd w:fill="auto" w:val="clear"/>
            <w:vAlign w:val="bottom"/>
          </w:tcPr>
          <w:p>
            <w:pPr>
              <w:pStyle w:val="TableContents"/>
              <w:spacing w:before="0" w:after="0"/>
              <w:ind w:left="225" w:right="0" w:hanging="225"/>
              <w:rPr/>
            </w:pPr>
            <w:r>
              <w:rPr/>
              <w:t>Removal of state tax exposure, net of federal benefit</w:t>
            </w:r>
          </w:p>
        </w:tc>
        <w:tc>
          <w:tcPr>
            <w:tcW w:w="4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71"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24" w:type="dxa"/>
            <w:tcBorders/>
            <w:shd w:fill="auto" w:val="clear"/>
            <w:vAlign w:val="bottom"/>
          </w:tcPr>
          <w:p>
            <w:pPr>
              <w:pStyle w:val="TableContents"/>
              <w:spacing w:before="0" w:after="283"/>
              <w:jc w:val="right"/>
              <w:rPr/>
            </w:pPr>
            <w:r>
              <w:rPr/>
              <w:t>(722</w:t>
            </w:r>
          </w:p>
        </w:tc>
        <w:tc>
          <w:tcPr>
            <w:tcW w:w="126" w:type="dxa"/>
            <w:tcBorders/>
            <w:shd w:fill="auto" w:val="clear"/>
            <w:vAlign w:val="bottom"/>
          </w:tcPr>
          <w:p>
            <w:pPr>
              <w:pStyle w:val="TableContents"/>
              <w:spacing w:before="0" w:after="283"/>
              <w:rPr/>
            </w:pPr>
            <w:r>
              <w:rPr/>
              <w:t>)</w:t>
            </w:r>
          </w:p>
        </w:tc>
        <w:tc>
          <w:tcPr>
            <w:tcW w:w="4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w:t>
            </w:r>
          </w:p>
        </w:tc>
        <w:tc>
          <w:tcPr>
            <w:tcW w:w="119" w:type="dxa"/>
            <w:tcBorders/>
            <w:shd w:fill="auto" w:val="clear"/>
            <w:vAlign w:val="bottom"/>
          </w:tcPr>
          <w:p>
            <w:pPr>
              <w:pStyle w:val="TableContents"/>
              <w:spacing w:before="0" w:after="283"/>
              <w:rPr/>
            </w:pPr>
            <w:r>
              <w:rPr/>
              <w:t> </w:t>
            </w:r>
          </w:p>
        </w:tc>
      </w:tr>
      <w:tr>
        <w:trPr/>
        <w:tc>
          <w:tcPr>
            <w:tcW w:w="5948" w:type="dxa"/>
            <w:tcBorders/>
            <w:shd w:fill="CCEEFF" w:val="clear"/>
            <w:vAlign w:val="bottom"/>
          </w:tcPr>
          <w:p>
            <w:pPr>
              <w:pStyle w:val="TableContents"/>
              <w:spacing w:before="0" w:after="0"/>
              <w:ind w:left="225" w:right="0" w:hanging="225"/>
              <w:rPr/>
            </w:pPr>
            <w:r>
              <w:rPr/>
              <w:t>Change in valuation allowance</w:t>
            </w:r>
          </w:p>
        </w:tc>
        <w:tc>
          <w:tcPr>
            <w:tcW w:w="4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71"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pPr>
            <w:r>
              <w:rPr/>
              <w:t>392</w:t>
            </w:r>
          </w:p>
        </w:tc>
        <w:tc>
          <w:tcPr>
            <w:tcW w:w="126"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r>
      <w:tr>
        <w:trPr/>
        <w:tc>
          <w:tcPr>
            <w:tcW w:w="5948" w:type="dxa"/>
            <w:tcBorders/>
            <w:shd w:fill="auto" w:val="clear"/>
            <w:vAlign w:val="bottom"/>
          </w:tcPr>
          <w:p>
            <w:pPr>
              <w:pStyle w:val="TableContents"/>
              <w:spacing w:before="0" w:after="0"/>
              <w:ind w:left="225" w:right="0" w:hanging="225"/>
              <w:rPr/>
            </w:pPr>
            <w:r>
              <w:rPr/>
              <w:t>Other</w:t>
            </w:r>
          </w:p>
        </w:tc>
        <w:tc>
          <w:tcPr>
            <w:tcW w:w="4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71" w:type="dxa"/>
            <w:tcBorders/>
            <w:shd w:fill="auto" w:val="clear"/>
            <w:vAlign w:val="bottom"/>
          </w:tcPr>
          <w:p>
            <w:pPr>
              <w:pStyle w:val="TableContents"/>
              <w:spacing w:before="0" w:after="283"/>
              <w:jc w:val="right"/>
              <w:rPr/>
            </w:pPr>
            <w:r>
              <w:rPr/>
              <w:t>137</w:t>
            </w:r>
          </w:p>
        </w:tc>
        <w:tc>
          <w:tcPr>
            <w:tcW w:w="11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pPr>
            <w:r>
              <w:rPr/>
              <w:t>72</w:t>
            </w:r>
          </w:p>
        </w:tc>
        <w:tc>
          <w:tcPr>
            <w:tcW w:w="126"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155</w:t>
            </w:r>
          </w:p>
        </w:tc>
        <w:tc>
          <w:tcPr>
            <w:tcW w:w="119" w:type="dxa"/>
            <w:tcBorders/>
            <w:shd w:fill="auto" w:val="clear"/>
            <w:vAlign w:val="bottom"/>
          </w:tcPr>
          <w:p>
            <w:pPr>
              <w:pStyle w:val="TableContents"/>
              <w:spacing w:before="0" w:after="283"/>
              <w:rPr/>
            </w:pPr>
            <w:r>
              <w:rPr/>
              <w:t> </w:t>
            </w:r>
          </w:p>
        </w:tc>
      </w:tr>
      <w:tr>
        <w:trPr/>
        <w:tc>
          <w:tcPr>
            <w:tcW w:w="5948"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8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48" w:type="dxa"/>
            <w:tcBorders/>
            <w:shd w:fill="auto" w:val="clear"/>
            <w:vAlign w:val="center"/>
          </w:tcPr>
          <w:p>
            <w:pPr>
              <w:pStyle w:val="TableContents"/>
              <w:spacing w:before="0" w:after="283"/>
              <w:rPr/>
            </w:pPr>
            <w:r>
              <w:rPr/>
              <w:t> </w:t>
            </w:r>
          </w:p>
        </w:tc>
        <w:tc>
          <w:tcPr>
            <w:tcW w:w="8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48" w:type="dxa"/>
            <w:tcBorders/>
            <w:shd w:fill="auto" w:val="clear"/>
            <w:vAlign w:val="center"/>
          </w:tcPr>
          <w:p>
            <w:pPr>
              <w:pStyle w:val="TableContents"/>
              <w:spacing w:before="0" w:after="283"/>
              <w:rPr/>
            </w:pPr>
            <w:r>
              <w:rPr/>
              <w:t> </w:t>
            </w:r>
          </w:p>
        </w:tc>
        <w:tc>
          <w:tcPr>
            <w:tcW w:w="8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5948" w:type="dxa"/>
            <w:tcBorders/>
            <w:shd w:fill="CCEEFF" w:val="clear"/>
            <w:vAlign w:val="bottom"/>
          </w:tcPr>
          <w:p>
            <w:pPr>
              <w:pStyle w:val="TableContents"/>
              <w:spacing w:before="0" w:after="0"/>
              <w:ind w:left="225" w:right="0" w:hanging="225"/>
              <w:rPr/>
            </w:pPr>
            <w:r>
              <w:rPr/>
              <w:t> </w:t>
            </w:r>
          </w:p>
        </w:tc>
        <w:tc>
          <w:tcPr>
            <w:tcW w:w="4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671" w:type="dxa"/>
            <w:tcBorders/>
            <w:shd w:fill="CCEEFF" w:val="clear"/>
            <w:vAlign w:val="bottom"/>
          </w:tcPr>
          <w:p>
            <w:pPr>
              <w:pStyle w:val="TableContents"/>
              <w:spacing w:before="0" w:after="283"/>
              <w:jc w:val="right"/>
              <w:rPr/>
            </w:pPr>
            <w:r>
              <w:rPr/>
              <w:t>8,298</w:t>
            </w:r>
          </w:p>
        </w:tc>
        <w:tc>
          <w:tcPr>
            <w:tcW w:w="11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724" w:type="dxa"/>
            <w:tcBorders/>
            <w:shd w:fill="CCEEFF" w:val="clear"/>
            <w:vAlign w:val="bottom"/>
          </w:tcPr>
          <w:p>
            <w:pPr>
              <w:pStyle w:val="TableContents"/>
              <w:spacing w:before="0" w:after="283"/>
              <w:jc w:val="right"/>
              <w:rPr/>
            </w:pPr>
            <w:r>
              <w:rPr/>
              <w:t>16,245</w:t>
            </w:r>
          </w:p>
        </w:tc>
        <w:tc>
          <w:tcPr>
            <w:tcW w:w="126"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726" w:type="dxa"/>
            <w:tcBorders/>
            <w:shd w:fill="CCEEFF" w:val="clear"/>
            <w:vAlign w:val="bottom"/>
          </w:tcPr>
          <w:p>
            <w:pPr>
              <w:pStyle w:val="TableContents"/>
              <w:spacing w:before="0" w:after="283"/>
              <w:jc w:val="right"/>
              <w:rPr/>
            </w:pPr>
            <w:r>
              <w:rPr/>
              <w:t>22,053</w:t>
            </w:r>
          </w:p>
        </w:tc>
        <w:tc>
          <w:tcPr>
            <w:tcW w:w="119" w:type="dxa"/>
            <w:tcBorders/>
            <w:shd w:fill="CCEEFF" w:val="clear"/>
            <w:vAlign w:val="bottom"/>
          </w:tcPr>
          <w:p>
            <w:pPr>
              <w:pStyle w:val="TableContents"/>
              <w:spacing w:before="0" w:after="283"/>
              <w:rPr/>
            </w:pPr>
            <w:r>
              <w:rPr/>
              <w:t> </w:t>
            </w:r>
          </w:p>
        </w:tc>
      </w:tr>
      <w:tr>
        <w:trPr/>
        <w:tc>
          <w:tcPr>
            <w:tcW w:w="5948"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8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48" w:type="dxa"/>
            <w:tcBorders/>
            <w:shd w:fill="auto" w:val="clear"/>
            <w:vAlign w:val="center"/>
          </w:tcPr>
          <w:p>
            <w:pPr>
              <w:pStyle w:val="TableContents"/>
              <w:spacing w:before="0" w:after="283"/>
              <w:rPr/>
            </w:pPr>
            <w:r>
              <w:rPr/>
              <w:t> </w:t>
            </w:r>
          </w:p>
        </w:tc>
        <w:tc>
          <w:tcPr>
            <w:tcW w:w="8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48" w:type="dxa"/>
            <w:tcBorders/>
            <w:shd w:fill="auto" w:val="clear"/>
            <w:vAlign w:val="center"/>
          </w:tcPr>
          <w:p>
            <w:pPr>
              <w:pStyle w:val="TableContents"/>
              <w:spacing w:before="0" w:after="283"/>
              <w:rPr/>
            </w:pPr>
            <w:r>
              <w:rPr/>
              <w:t> </w:t>
            </w:r>
          </w:p>
        </w:tc>
        <w:tc>
          <w:tcPr>
            <w:tcW w:w="8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effective tax rate was 36.8% in fiscal 2007. Our fiscal 2006 adoption of SFAS No. 123(R) caused us to begin recognizing expense related to incentive stock options, creating the non-deductible expense shown above.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Prior to fiscal 2007, most of our earnings were subject to the Texas franchise tax. Due to its limited partnership structure in Texas, 99% of those earnings were exempt from the Texas franchise tax. Beginning in fiscal 2007, the Texas franchise tax was replaced with a margin tax that functions similarly to an income tax, but with no preferable treatment for limited partnerships. The Texas margin tax first applied to us in fiscal 2007, causing the increase in state income tax in the table above.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Significant components of our deferred tax liabilities and assets as of September 30 are as follows: </w:t>
      </w:r>
    </w:p>
    <w:tbl>
      <w:tblPr>
        <w:tblW w:w="5000" w:type="pct"/>
        <w:jc w:val="center"/>
        <w:tblInd w:w="0" w:type="dxa"/>
        <w:tblCellMar>
          <w:top w:w="0" w:type="dxa"/>
          <w:left w:w="0" w:type="dxa"/>
          <w:bottom w:w="0" w:type="dxa"/>
          <w:right w:w="0" w:type="dxa"/>
        </w:tblCellMar>
      </w:tblPr>
      <w:tblGrid>
        <w:gridCol w:w="7320"/>
        <w:gridCol w:w="474"/>
        <w:gridCol w:w="141"/>
        <w:gridCol w:w="700"/>
        <w:gridCol w:w="124"/>
        <w:gridCol w:w="474"/>
        <w:gridCol w:w="141"/>
        <w:gridCol w:w="700"/>
        <w:gridCol w:w="131"/>
      </w:tblGrid>
      <w:tr>
        <w:trPr/>
        <w:tc>
          <w:tcPr>
            <w:tcW w:w="732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1" w:type="dxa"/>
            <w:tcBorders/>
            <w:shd w:fill="auto"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2280" w:type="dxa"/>
            <w:gridSpan w:val="6"/>
            <w:tcBorders/>
            <w:shd w:fill="auto" w:val="clear"/>
            <w:vAlign w:val="bottom"/>
          </w:tcPr>
          <w:p>
            <w:pPr>
              <w:pStyle w:val="TableContents"/>
              <w:spacing w:before="0" w:after="283"/>
              <w:jc w:val="center"/>
              <w:rPr>
                <w:i/>
              </w:rPr>
            </w:pPr>
            <w:r>
              <w:rPr>
                <w:i/>
              </w:rPr>
              <w:t>(In thousands)</w:t>
            </w:r>
          </w:p>
        </w:tc>
        <w:tc>
          <w:tcPr>
            <w:tcW w:w="131" w:type="dxa"/>
            <w:tcBorders/>
            <w:shd w:fill="auto" w:val="clear"/>
            <w:vAlign w:val="bottom"/>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225" w:right="0" w:hanging="225"/>
              <w:rPr/>
            </w:pPr>
            <w:r>
              <w:rPr/>
              <w:t>Deferred tax liabilities:</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0"/>
              <w:ind w:left="450" w:right="0" w:hanging="225"/>
              <w:rPr/>
            </w:pPr>
            <w:r>
              <w:rPr/>
              <w:t>Tax over book amortization</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3,634</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3,521</w:t>
            </w:r>
          </w:p>
        </w:tc>
        <w:tc>
          <w:tcPr>
            <w:tcW w:w="131" w:type="dxa"/>
            <w:tcBorders/>
            <w:shd w:fill="auto" w:val="clear"/>
            <w:vAlign w:val="bottom"/>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450" w:right="0" w:hanging="225"/>
              <w:rPr/>
            </w:pPr>
            <w:r>
              <w:rPr/>
              <w:t>Foreign income and dividends</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1,837</w:t>
            </w:r>
          </w:p>
        </w:tc>
        <w:tc>
          <w:tcPr>
            <w:tcW w:w="124"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2,432</w:t>
            </w:r>
          </w:p>
        </w:tc>
        <w:tc>
          <w:tcPr>
            <w:tcW w:w="131" w:type="dxa"/>
            <w:tcBorders/>
            <w:shd w:fill="CCEEFF"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0"/>
              <w:ind w:left="450" w:right="0" w:hanging="225"/>
              <w:rPr/>
            </w:pPr>
            <w:r>
              <w:rPr/>
              <w:t>Prepaid expenses</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1,077</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682</w:t>
            </w:r>
          </w:p>
        </w:tc>
        <w:tc>
          <w:tcPr>
            <w:tcW w:w="131" w:type="dxa"/>
            <w:tcBorders/>
            <w:shd w:fill="auto" w:val="clear"/>
            <w:vAlign w:val="bottom"/>
          </w:tcPr>
          <w:p>
            <w:pPr>
              <w:pStyle w:val="TableContents"/>
              <w:spacing w:before="0" w:after="283"/>
              <w:rPr/>
            </w:pPr>
            <w:r>
              <w:rPr/>
              <w:t> </w:t>
            </w:r>
          </w:p>
        </w:tc>
      </w:tr>
      <w:tr>
        <w:trPr/>
        <w:tc>
          <w:tcPr>
            <w:tcW w:w="7320"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225" w:right="0" w:hanging="225"/>
              <w:rPr/>
            </w:pPr>
            <w:r>
              <w:rPr/>
              <w:t>Total deferred tax liabilities</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6,548</w:t>
            </w:r>
          </w:p>
        </w:tc>
        <w:tc>
          <w:tcPr>
            <w:tcW w:w="124"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6,635</w:t>
            </w:r>
          </w:p>
        </w:tc>
        <w:tc>
          <w:tcPr>
            <w:tcW w:w="131" w:type="dxa"/>
            <w:tcBorders/>
            <w:shd w:fill="CCEEFF"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0"/>
              <w:ind w:left="225" w:right="0" w:hanging="225"/>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0"/>
              <w:ind w:left="225" w:right="0" w:hanging="225"/>
              <w:rPr/>
            </w:pPr>
            <w:r>
              <w:rPr/>
              <w:t>Deferred tax assets:</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450" w:right="0" w:hanging="225"/>
              <w:rPr/>
            </w:pPr>
            <w:r>
              <w:rPr/>
              <w:t>Book over tax depreciation</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8,865</w:t>
            </w:r>
          </w:p>
        </w:tc>
        <w:tc>
          <w:tcPr>
            <w:tcW w:w="124"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9,291</w:t>
            </w:r>
          </w:p>
        </w:tc>
        <w:tc>
          <w:tcPr>
            <w:tcW w:w="131" w:type="dxa"/>
            <w:tcBorders/>
            <w:shd w:fill="CCEEFF"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0"/>
              <w:ind w:left="450" w:right="0" w:hanging="225"/>
              <w:rPr/>
            </w:pPr>
            <w:r>
              <w:rPr/>
              <w:t>Tax over book inventory</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4,880</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5,540</w:t>
            </w:r>
          </w:p>
        </w:tc>
        <w:tc>
          <w:tcPr>
            <w:tcW w:w="131" w:type="dxa"/>
            <w:tcBorders/>
            <w:shd w:fill="auto" w:val="clear"/>
            <w:vAlign w:val="bottom"/>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450" w:right="0" w:hanging="225"/>
              <w:rPr/>
            </w:pPr>
            <w:r>
              <w:rPr/>
              <w:t>Accrued liabilities</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1,934</w:t>
            </w:r>
          </w:p>
        </w:tc>
        <w:tc>
          <w:tcPr>
            <w:tcW w:w="124"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2,519</w:t>
            </w:r>
          </w:p>
        </w:tc>
        <w:tc>
          <w:tcPr>
            <w:tcW w:w="131" w:type="dxa"/>
            <w:tcBorders/>
            <w:shd w:fill="CCEEFF"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0"/>
              <w:ind w:left="450" w:right="0" w:hanging="225"/>
              <w:rPr/>
            </w:pPr>
            <w:r>
              <w:rPr/>
              <w:t>Pawn service charges receivable</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1,664</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1,726</w:t>
            </w:r>
          </w:p>
        </w:tc>
        <w:tc>
          <w:tcPr>
            <w:tcW w:w="131" w:type="dxa"/>
            <w:tcBorders/>
            <w:shd w:fill="auto" w:val="clear"/>
            <w:vAlign w:val="bottom"/>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450" w:right="0" w:hanging="225"/>
              <w:rPr/>
            </w:pPr>
            <w:r>
              <w:rPr/>
              <w:t>Stock compensation</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104</w:t>
            </w:r>
          </w:p>
        </w:tc>
        <w:tc>
          <w:tcPr>
            <w:tcW w:w="124"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1,288</w:t>
            </w:r>
          </w:p>
        </w:tc>
        <w:tc>
          <w:tcPr>
            <w:tcW w:w="131" w:type="dxa"/>
            <w:tcBorders/>
            <w:shd w:fill="CCEEFF"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0"/>
              <w:ind w:left="450" w:right="0" w:hanging="225"/>
              <w:rPr/>
            </w:pPr>
            <w:r>
              <w:rPr/>
              <w:t>Tax carry-forwards</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392</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392</w:t>
            </w:r>
          </w:p>
        </w:tc>
        <w:tc>
          <w:tcPr>
            <w:tcW w:w="131" w:type="dxa"/>
            <w:tcBorders/>
            <w:shd w:fill="auto" w:val="clear"/>
            <w:vAlign w:val="bottom"/>
          </w:tcPr>
          <w:p>
            <w:pPr>
              <w:pStyle w:val="TableContents"/>
              <w:spacing w:before="0" w:after="283"/>
              <w:rPr/>
            </w:pPr>
            <w:r>
              <w:rPr/>
              <w:t> </w:t>
            </w:r>
          </w:p>
        </w:tc>
      </w:tr>
      <w:tr>
        <w:trPr/>
        <w:tc>
          <w:tcPr>
            <w:tcW w:w="7320"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225" w:right="0" w:hanging="225"/>
              <w:rPr/>
            </w:pPr>
            <w:r>
              <w:rPr/>
              <w:t>Total deferred tax assets</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17,839</w:t>
            </w:r>
          </w:p>
        </w:tc>
        <w:tc>
          <w:tcPr>
            <w:tcW w:w="124"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20,756</w:t>
            </w:r>
          </w:p>
        </w:tc>
        <w:tc>
          <w:tcPr>
            <w:tcW w:w="131" w:type="dxa"/>
            <w:tcBorders/>
            <w:shd w:fill="CCEEFF" w:val="clear"/>
            <w:vAlign w:val="bottom"/>
          </w:tcPr>
          <w:p>
            <w:pPr>
              <w:pStyle w:val="TableContents"/>
              <w:spacing w:before="0" w:after="283"/>
              <w:rPr/>
            </w:pPr>
            <w:r>
              <w:rPr/>
              <w:t> </w:t>
            </w:r>
          </w:p>
        </w:tc>
      </w:tr>
      <w:tr>
        <w:trPr/>
        <w:tc>
          <w:tcPr>
            <w:tcW w:w="7320"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7320" w:type="dxa"/>
            <w:tcBorders/>
            <w:shd w:fill="auto" w:val="clear"/>
            <w:vAlign w:val="bottom"/>
          </w:tcPr>
          <w:p>
            <w:pPr>
              <w:pStyle w:val="TableContents"/>
              <w:spacing w:before="0" w:after="0"/>
              <w:ind w:left="225" w:right="0" w:hanging="225"/>
              <w:rPr/>
            </w:pPr>
            <w:r>
              <w:rPr/>
              <w:t>Net deferred tax asset</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11,291</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14,121</w:t>
            </w:r>
          </w:p>
        </w:tc>
        <w:tc>
          <w:tcPr>
            <w:tcW w:w="131" w:type="dxa"/>
            <w:tcBorders/>
            <w:shd w:fill="auto" w:val="clear"/>
            <w:vAlign w:val="bottom"/>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225" w:right="0" w:hanging="225"/>
              <w:rPr/>
            </w:pPr>
            <w:r>
              <w:rPr/>
              <w:t>Valuation allowance</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00" w:type="dxa"/>
            <w:tcBorders/>
            <w:shd w:fill="CCEEFF" w:val="clear"/>
            <w:vAlign w:val="bottom"/>
          </w:tcPr>
          <w:p>
            <w:pPr>
              <w:pStyle w:val="TableContents"/>
              <w:spacing w:before="0" w:after="283"/>
              <w:jc w:val="right"/>
              <w:rPr/>
            </w:pPr>
            <w:r>
              <w:rPr/>
              <w:t>(392</w:t>
            </w:r>
          </w:p>
        </w:tc>
        <w:tc>
          <w:tcPr>
            <w:tcW w:w="124" w:type="dxa"/>
            <w:tcBorders/>
            <w:shd w:fill="CCEEFF" w:val="clear"/>
            <w:vAlign w:val="bottom"/>
          </w:tcPr>
          <w:p>
            <w:pPr>
              <w:pStyle w:val="TableContents"/>
              <w:spacing w:before="0" w:after="283"/>
              <w:rPr/>
            </w:pPr>
            <w:r>
              <w:rPr/>
              <w:t>)</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00" w:type="dxa"/>
            <w:tcBorders/>
            <w:shd w:fill="CCEEFF" w:val="clear"/>
            <w:vAlign w:val="bottom"/>
          </w:tcPr>
          <w:p>
            <w:pPr>
              <w:pStyle w:val="TableContents"/>
              <w:spacing w:before="0" w:after="283"/>
              <w:jc w:val="right"/>
              <w:rPr/>
            </w:pPr>
            <w:r>
              <w:rPr/>
              <w:t>(392</w:t>
            </w:r>
          </w:p>
        </w:tc>
        <w:tc>
          <w:tcPr>
            <w:tcW w:w="131" w:type="dxa"/>
            <w:tcBorders/>
            <w:shd w:fill="CCEEFF" w:val="clear"/>
            <w:vAlign w:val="bottom"/>
          </w:tcPr>
          <w:p>
            <w:pPr>
              <w:pStyle w:val="TableContents"/>
              <w:spacing w:before="0" w:after="283"/>
              <w:rPr/>
            </w:pPr>
            <w:r>
              <w:rPr/>
              <w:t>)</w:t>
            </w:r>
          </w:p>
        </w:tc>
      </w:tr>
      <w:tr>
        <w:trPr/>
        <w:tc>
          <w:tcPr>
            <w:tcW w:w="7320"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7320" w:type="dxa"/>
            <w:tcBorders/>
            <w:shd w:fill="auto" w:val="clear"/>
            <w:vAlign w:val="bottom"/>
          </w:tcPr>
          <w:p>
            <w:pPr>
              <w:pStyle w:val="TableContents"/>
              <w:spacing w:before="0" w:after="0"/>
              <w:ind w:left="225" w:right="0" w:hanging="225"/>
              <w:rPr/>
            </w:pPr>
            <w:r>
              <w:rPr/>
              <w:t>Net deferred tax asset</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10,899</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13,729</w:t>
            </w:r>
          </w:p>
        </w:tc>
        <w:tc>
          <w:tcPr>
            <w:tcW w:w="131" w:type="dxa"/>
            <w:tcBorders/>
            <w:shd w:fill="auto" w:val="clear"/>
            <w:vAlign w:val="bottom"/>
          </w:tcPr>
          <w:p>
            <w:pPr>
              <w:pStyle w:val="TableContents"/>
              <w:spacing w:before="0" w:after="283"/>
              <w:rPr/>
            </w:pPr>
            <w:r>
              <w:rPr/>
              <w:t> </w:t>
            </w:r>
          </w:p>
        </w:tc>
      </w:tr>
      <w:tr>
        <w:trPr/>
        <w:tc>
          <w:tcPr>
            <w:tcW w:w="7320"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a capital loss carry-forward that will expire in fiscal 2009 unless an offsetting capital gain is generated before its expiration. Until 2006, we believed we would generate sufficient capital gains to utilize the capital loss carry-forward. In fiscal 2006, we determined we were unlikely to generate the necessary capital gain prior to the expiration of the capital loss carry-forward, and placed a full valuation allowance of $392,000 on the tax benefit. The valuation allowance will be adjusted or removed in future periods if we believe it is more likely than not we will generate other capital gains to offset the capital loss prior to its expiration.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Substantially all of our operating income was generated from domestic operations during 2006 and 2007, and we have elected to have our Mexican operations treated as a domestic subsidiary for U.S. income tax </w:t>
      </w:r>
    </w:p>
    <w:p>
      <w:pPr>
        <w:pStyle w:val="TextBody"/>
        <w:jc w:val="center"/>
        <w:rPr>
          <w:rFonts w:ascii="Helvetica;Arial;sans-serif" w:hAnsi="Helvetica;Arial;sans-serif"/>
          <w:sz w:val="17"/>
        </w:rPr>
      </w:pPr>
      <w:r>
        <w:rPr>
          <w:rFonts w:ascii="Helvetica;Arial;sans-serif" w:hAnsi="Helvetica;Arial;sans-serif"/>
          <w:sz w:val="17"/>
        </w:rPr>
        <w:t xml:space="preserve">64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purposes. At September 30, 2006 and 2007, we provided deferred income taxes on all undistributed earnings from A&amp;B. Such earnings have been reinvested in foreign operations except for dividends at September 30, 2006 and 2007 of approximately $969,000 and $1,274,000. Any taxes paid to foreign governments on those earnings may be used in whole or in part as credits against the U.S. tax on any dividends distributed from such earnings.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no net operating loss carry-forward or alternative minimum tax credit carry-forward at September 30, 2007. </w:t>
      </w:r>
    </w:p>
    <w:p>
      <w:pPr>
        <w:pStyle w:val="TextBody"/>
        <w:spacing w:before="240" w:after="283"/>
        <w:jc w:val="left"/>
        <w:rPr>
          <w:rFonts w:ascii="Helvetica;Arial;sans-serif" w:hAnsi="Helvetica;Arial;sans-serif"/>
          <w:sz w:val="17"/>
        </w:rPr>
      </w:pPr>
      <w:r>
        <w:rPr>
          <w:rFonts w:ascii="Helvetica;Arial;sans-serif" w:hAnsi="Helvetica;Arial;sans-serif"/>
          <w:b/>
          <w:sz w:val="17"/>
        </w:rPr>
        <w:t>Note K: Related Party Transactions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all periods presented, we had a financial advisory services agreement with Madison Park, L.L.C. (Madison Park), an affiliate of the controlling stockholder. The agreement required Madison Park to provide ongoing advice and consultation with respect to mergers, acquisitions, divestitures, strategic planning, corporate development, investor relations, treasury and other advisory services for a monthly fee of $100,000, inclusive of most expenses. The Madison Park agreement had a three-year term that expired September 30, 2007. Prior to entering the agreement with Madison Park, our Audit Committee obtained a fairness opinion from a qualified, independent financial advisory firm. The fairness opinion supported the fees for the services to be rendered based on the terms of the agreement and our strategic plan. In fiscal 2006 and 2007, total payments to Madison Park amounted to $1,200,000 annually.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Effective October 1, 2007, we entered a new financial advisory services agreement with Madison Park with a one-year term expiring September 30, 2008. Either party may terminate the agreement at any time on thirty days written notice. The agreement requires Madison Park to provide advice on our business and long-term strategic plan including, but not limited to, acquisitions and strategic alliances, operating and strategic objectives, investor relations, relations with investment bankers and other members of the financial services industry, international business development and strategic investment opportunities, and financial matters. The monthly fee for the services is $150,000. Prior to approving the agreement, the Board of Directors appointed a special committee comprised of its four independent members to review our relationship with Madison Park. This included a review of the advisory services provided by Madison Park during fiscal 2005 through 2007, a determination whether to continue utilizing Madison Parks services, and a determination whether to enter into a new advisory services agreement with Madison Park. The independent directors were authorized to retain consultants and to review, negotiate, and approve the contractual terms of any agreement. As part of the review, the independent directors retained a qualified, independent financial advisory firm to evaluate the agreement and render a fairness opinion, from a financial point of view, of the fee to be paid to Madison Park relative to the reasonable market rates for the services contemplated in the agreement. Based on the independent directors findings and conclusions, they elected to negotiate and approve the terms of the agreement.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October 1994, the Board of Directors approved an agreement that provided incentive compensation to the Chairman, Sterling Brinkley, based on growth in the share price of our Class A Common Stock. Mr. Brinkley was advanced $1.5 million evidenced by a recourse promissory note, due in 2005 and bearing interest at the minimum rate allowable for federal income tax purposes (2.33% for fiscal 2005). Accrued interest was forgiven based upon continued employment, and we were required to reimburse Mr. Brinkley for the income tax consequences of the interest forgiveness. Charges to operations consist of forgiveness of interest and related income tax costs and totaled approximately $60,000 for the year ended September 30, 2005. Mr. Brinkley repaid his note in full in September 2005. </w:t>
      </w:r>
    </w:p>
    <w:p>
      <w:pPr>
        <w:pStyle w:val="TextBody"/>
        <w:jc w:val="center"/>
        <w:rPr>
          <w:rFonts w:ascii="Helvetica;Arial;sans-serif" w:hAnsi="Helvetica;Arial;sans-serif"/>
          <w:sz w:val="17"/>
        </w:rPr>
      </w:pPr>
      <w:r>
        <w:rPr>
          <w:rFonts w:ascii="Helvetica;Arial;sans-serif" w:hAnsi="Helvetica;Arial;sans-serif"/>
          <w:sz w:val="17"/>
        </w:rPr>
        <w:t xml:space="preserve">65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Note L: Leases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lease various facilities and certain equipment under operating leases. Future minimum rentals due under non-cancelable leases are as follows for each of the years ending September 30: </w:t>
      </w:r>
    </w:p>
    <w:tbl>
      <w:tblPr>
        <w:tblW w:w="5000" w:type="pct"/>
        <w:jc w:val="center"/>
        <w:tblInd w:w="0" w:type="dxa"/>
        <w:tblCellMar>
          <w:top w:w="0" w:type="dxa"/>
          <w:left w:w="0" w:type="dxa"/>
          <w:bottom w:w="0" w:type="dxa"/>
          <w:right w:w="0" w:type="dxa"/>
        </w:tblCellMar>
      </w:tblPr>
      <w:tblGrid>
        <w:gridCol w:w="8615"/>
        <w:gridCol w:w="496"/>
        <w:gridCol w:w="154"/>
        <w:gridCol w:w="817"/>
        <w:gridCol w:w="123"/>
      </w:tblGrid>
      <w:tr>
        <w:trPr/>
        <w:tc>
          <w:tcPr>
            <w:tcW w:w="861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0082" w:type="dxa"/>
            <w:gridSpan w:val="4"/>
            <w:tcBorders/>
            <w:shd w:fill="auto" w:val="clear"/>
            <w:vAlign w:val="bottom"/>
          </w:tcPr>
          <w:p>
            <w:pPr>
              <w:pStyle w:val="TableContents"/>
              <w:spacing w:before="0" w:after="283"/>
              <w:jc w:val="center"/>
              <w:rPr>
                <w:i/>
                <w:u w:val="single"/>
              </w:rPr>
            </w:pPr>
            <w:r>
              <w:rPr>
                <w:i/>
                <w:u w:val="single"/>
              </w:rPr>
              <w:t>(In thousands)</w:t>
            </w:r>
          </w:p>
        </w:tc>
        <w:tc>
          <w:tcPr>
            <w:tcW w:w="123" w:type="dxa"/>
            <w:tcBorders/>
            <w:shd w:fill="auto" w:val="clear"/>
            <w:vAlign w:val="bottom"/>
          </w:tcPr>
          <w:p>
            <w:pPr>
              <w:pStyle w:val="TableContents"/>
              <w:spacing w:before="0" w:after="283"/>
              <w:rPr/>
            </w:pPr>
            <w:r>
              <w:rPr/>
              <w:t> </w:t>
            </w:r>
          </w:p>
        </w:tc>
      </w:tr>
      <w:tr>
        <w:trPr/>
        <w:tc>
          <w:tcPr>
            <w:tcW w:w="8615" w:type="dxa"/>
            <w:tcBorders/>
            <w:shd w:fill="CCEEFF" w:val="clear"/>
            <w:vAlign w:val="bottom"/>
          </w:tcPr>
          <w:p>
            <w:pPr>
              <w:pStyle w:val="TableContents"/>
              <w:spacing w:before="0" w:after="0"/>
              <w:ind w:left="450" w:right="0" w:hanging="225"/>
              <w:rPr/>
            </w:pPr>
            <w:r>
              <w:rPr/>
              <w:t>2008</w:t>
            </w:r>
          </w:p>
        </w:tc>
        <w:tc>
          <w:tcPr>
            <w:tcW w:w="4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21,990</w:t>
            </w:r>
          </w:p>
        </w:tc>
        <w:tc>
          <w:tcPr>
            <w:tcW w:w="123" w:type="dxa"/>
            <w:tcBorders/>
            <w:shd w:fill="CCEEFF" w:val="clear"/>
            <w:vAlign w:val="bottom"/>
          </w:tcPr>
          <w:p>
            <w:pPr>
              <w:pStyle w:val="TableContents"/>
              <w:spacing w:before="0" w:after="283"/>
              <w:rPr/>
            </w:pPr>
            <w:r>
              <w:rPr/>
              <w:t> </w:t>
            </w:r>
          </w:p>
        </w:tc>
      </w:tr>
      <w:tr>
        <w:trPr/>
        <w:tc>
          <w:tcPr>
            <w:tcW w:w="8615" w:type="dxa"/>
            <w:tcBorders/>
            <w:shd w:fill="auto" w:val="clear"/>
            <w:vAlign w:val="bottom"/>
          </w:tcPr>
          <w:p>
            <w:pPr>
              <w:pStyle w:val="TableContents"/>
              <w:spacing w:before="0" w:after="0"/>
              <w:ind w:left="450" w:right="0" w:hanging="225"/>
              <w:rPr/>
            </w:pPr>
            <w:r>
              <w:rPr/>
              <w:t>2009</w:t>
            </w:r>
          </w:p>
        </w:tc>
        <w:tc>
          <w:tcPr>
            <w:tcW w:w="4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20,689</w:t>
            </w:r>
          </w:p>
        </w:tc>
        <w:tc>
          <w:tcPr>
            <w:tcW w:w="123" w:type="dxa"/>
            <w:tcBorders/>
            <w:shd w:fill="auto" w:val="clear"/>
            <w:vAlign w:val="bottom"/>
          </w:tcPr>
          <w:p>
            <w:pPr>
              <w:pStyle w:val="TableContents"/>
              <w:spacing w:before="0" w:after="283"/>
              <w:rPr/>
            </w:pPr>
            <w:r>
              <w:rPr/>
              <w:t> </w:t>
            </w:r>
          </w:p>
        </w:tc>
      </w:tr>
      <w:tr>
        <w:trPr/>
        <w:tc>
          <w:tcPr>
            <w:tcW w:w="8615" w:type="dxa"/>
            <w:tcBorders/>
            <w:shd w:fill="CCEEFF" w:val="clear"/>
            <w:vAlign w:val="bottom"/>
          </w:tcPr>
          <w:p>
            <w:pPr>
              <w:pStyle w:val="TableContents"/>
              <w:spacing w:before="0" w:after="0"/>
              <w:ind w:left="450" w:right="0" w:hanging="225"/>
              <w:rPr/>
            </w:pPr>
            <w:r>
              <w:rPr/>
              <w:t>2010</w:t>
            </w:r>
          </w:p>
        </w:tc>
        <w:tc>
          <w:tcPr>
            <w:tcW w:w="4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18,997</w:t>
            </w:r>
          </w:p>
        </w:tc>
        <w:tc>
          <w:tcPr>
            <w:tcW w:w="123" w:type="dxa"/>
            <w:tcBorders/>
            <w:shd w:fill="CCEEFF" w:val="clear"/>
            <w:vAlign w:val="bottom"/>
          </w:tcPr>
          <w:p>
            <w:pPr>
              <w:pStyle w:val="TableContents"/>
              <w:spacing w:before="0" w:after="283"/>
              <w:rPr/>
            </w:pPr>
            <w:r>
              <w:rPr/>
              <w:t> </w:t>
            </w:r>
          </w:p>
        </w:tc>
      </w:tr>
      <w:tr>
        <w:trPr/>
        <w:tc>
          <w:tcPr>
            <w:tcW w:w="8615" w:type="dxa"/>
            <w:tcBorders/>
            <w:shd w:fill="auto" w:val="clear"/>
            <w:vAlign w:val="bottom"/>
          </w:tcPr>
          <w:p>
            <w:pPr>
              <w:pStyle w:val="TableContents"/>
              <w:spacing w:before="0" w:after="0"/>
              <w:ind w:left="450" w:right="0" w:hanging="225"/>
              <w:rPr/>
            </w:pPr>
            <w:r>
              <w:rPr/>
              <w:t>2011</w:t>
            </w:r>
          </w:p>
        </w:tc>
        <w:tc>
          <w:tcPr>
            <w:tcW w:w="4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17,453</w:t>
            </w:r>
          </w:p>
        </w:tc>
        <w:tc>
          <w:tcPr>
            <w:tcW w:w="123" w:type="dxa"/>
            <w:tcBorders/>
            <w:shd w:fill="auto" w:val="clear"/>
            <w:vAlign w:val="bottom"/>
          </w:tcPr>
          <w:p>
            <w:pPr>
              <w:pStyle w:val="TableContents"/>
              <w:spacing w:before="0" w:after="283"/>
              <w:rPr/>
            </w:pPr>
            <w:r>
              <w:rPr/>
              <w:t> </w:t>
            </w:r>
          </w:p>
        </w:tc>
      </w:tr>
      <w:tr>
        <w:trPr/>
        <w:tc>
          <w:tcPr>
            <w:tcW w:w="8615" w:type="dxa"/>
            <w:tcBorders/>
            <w:shd w:fill="CCEEFF" w:val="clear"/>
            <w:vAlign w:val="bottom"/>
          </w:tcPr>
          <w:p>
            <w:pPr>
              <w:pStyle w:val="TableContents"/>
              <w:spacing w:before="0" w:after="0"/>
              <w:ind w:left="450" w:right="0" w:hanging="225"/>
              <w:rPr/>
            </w:pPr>
            <w:r>
              <w:rPr/>
              <w:t>2012</w:t>
            </w:r>
          </w:p>
        </w:tc>
        <w:tc>
          <w:tcPr>
            <w:tcW w:w="4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15,695</w:t>
            </w:r>
          </w:p>
        </w:tc>
        <w:tc>
          <w:tcPr>
            <w:tcW w:w="123" w:type="dxa"/>
            <w:tcBorders/>
            <w:shd w:fill="CCEEFF" w:val="clear"/>
            <w:vAlign w:val="bottom"/>
          </w:tcPr>
          <w:p>
            <w:pPr>
              <w:pStyle w:val="TableContents"/>
              <w:spacing w:before="0" w:after="283"/>
              <w:rPr/>
            </w:pPr>
            <w:r>
              <w:rPr/>
              <w:t> </w:t>
            </w:r>
          </w:p>
        </w:tc>
      </w:tr>
      <w:tr>
        <w:trPr/>
        <w:tc>
          <w:tcPr>
            <w:tcW w:w="8615" w:type="dxa"/>
            <w:tcBorders/>
            <w:shd w:fill="auto" w:val="clear"/>
            <w:vAlign w:val="bottom"/>
          </w:tcPr>
          <w:p>
            <w:pPr>
              <w:pStyle w:val="TableContents"/>
              <w:spacing w:before="0" w:after="0"/>
              <w:ind w:left="225" w:right="0" w:hanging="225"/>
              <w:rPr/>
            </w:pPr>
            <w:r>
              <w:rPr/>
              <w:t>Thereafter</w:t>
            </w:r>
          </w:p>
        </w:tc>
        <w:tc>
          <w:tcPr>
            <w:tcW w:w="4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55,389</w:t>
            </w:r>
          </w:p>
        </w:tc>
        <w:tc>
          <w:tcPr>
            <w:tcW w:w="123" w:type="dxa"/>
            <w:tcBorders/>
            <w:shd w:fill="auto" w:val="clear"/>
            <w:vAlign w:val="bottom"/>
          </w:tcPr>
          <w:p>
            <w:pPr>
              <w:pStyle w:val="TableContents"/>
              <w:spacing w:before="0" w:after="283"/>
              <w:rPr/>
            </w:pPr>
            <w:r>
              <w:rPr/>
              <w:t> </w:t>
            </w:r>
          </w:p>
        </w:tc>
      </w:tr>
      <w:tr>
        <w:trPr/>
        <w:tc>
          <w:tcPr>
            <w:tcW w:w="8615" w:type="dxa"/>
            <w:tcBorders/>
            <w:shd w:fill="auto" w:val="clear"/>
            <w:vAlign w:val="center"/>
          </w:tcPr>
          <w:p>
            <w:pPr>
              <w:pStyle w:val="TableContents"/>
              <w:spacing w:before="0" w:after="0"/>
              <w:ind w:left="225" w:right="0" w:hanging="225"/>
              <w:rPr/>
            </w:pPr>
            <w:r>
              <w:rPr/>
              <w:t> </w:t>
            </w:r>
          </w:p>
        </w:tc>
        <w:tc>
          <w:tcPr>
            <w:tcW w:w="496" w:type="dxa"/>
            <w:tcBorders/>
            <w:shd w:fill="auto" w:val="clear"/>
            <w:vAlign w:val="center"/>
          </w:tcPr>
          <w:p>
            <w:pPr>
              <w:pStyle w:val="TableContents"/>
              <w:spacing w:before="0" w:after="283"/>
              <w:rPr/>
            </w:pPr>
            <w:r>
              <w:rPr/>
              <w:t> </w:t>
            </w:r>
          </w:p>
        </w:tc>
        <w:tc>
          <w:tcPr>
            <w:tcW w:w="9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8615" w:type="dxa"/>
            <w:tcBorders/>
            <w:shd w:fill="CCEEFF" w:val="clear"/>
            <w:vAlign w:val="bottom"/>
          </w:tcPr>
          <w:p>
            <w:pPr>
              <w:pStyle w:val="TableContents"/>
              <w:spacing w:before="0" w:after="0"/>
              <w:ind w:left="225" w:right="0" w:hanging="225"/>
              <w:rPr/>
            </w:pPr>
            <w:r>
              <w:rPr/>
              <w:t> </w:t>
            </w:r>
          </w:p>
        </w:tc>
        <w:tc>
          <w:tcPr>
            <w:tcW w:w="4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150,213</w:t>
            </w:r>
          </w:p>
        </w:tc>
        <w:tc>
          <w:tcPr>
            <w:tcW w:w="123" w:type="dxa"/>
            <w:tcBorders/>
            <w:shd w:fill="CCEEFF" w:val="clear"/>
            <w:vAlign w:val="bottom"/>
          </w:tcPr>
          <w:p>
            <w:pPr>
              <w:pStyle w:val="TableContents"/>
              <w:spacing w:before="0" w:after="283"/>
              <w:rPr/>
            </w:pPr>
            <w:r>
              <w:rPr/>
              <w:t> </w:t>
            </w:r>
          </w:p>
        </w:tc>
      </w:tr>
      <w:tr>
        <w:trPr/>
        <w:tc>
          <w:tcPr>
            <w:tcW w:w="8615" w:type="dxa"/>
            <w:tcBorders/>
            <w:shd w:fill="auto" w:val="clear"/>
            <w:vAlign w:val="center"/>
          </w:tcPr>
          <w:p>
            <w:pPr>
              <w:pStyle w:val="TableContents"/>
              <w:spacing w:before="0" w:after="0"/>
              <w:ind w:left="225" w:right="0" w:hanging="225"/>
              <w:rPr/>
            </w:pPr>
            <w:r>
              <w:rPr/>
              <w:t> </w:t>
            </w:r>
          </w:p>
        </w:tc>
        <w:tc>
          <w:tcPr>
            <w:tcW w:w="496" w:type="dxa"/>
            <w:tcBorders/>
            <w:shd w:fill="auto" w:val="clear"/>
            <w:vAlign w:val="center"/>
          </w:tcPr>
          <w:p>
            <w:pPr>
              <w:pStyle w:val="TableContents"/>
              <w:spacing w:before="0" w:after="283"/>
              <w:rPr/>
            </w:pPr>
            <w:r>
              <w:rPr/>
              <w:t> </w:t>
            </w:r>
          </w:p>
        </w:tc>
        <w:tc>
          <w:tcPr>
            <w:tcW w:w="9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sublease some of the above facilities. Future minimum rentals expected under these subleases amount to $9,600 in each of the fiscal years ending between 2008 and 2012, and $17,600 thereafter.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After an initial lease term of generally three to ten years, our lease agreements typically allow renewals in three to five-year increments. Our lease agreements generally include rent escalations throughout the initial lease term. Rent escalations are included in the above numbers. For financial reporting purposes, the aggregate rentals over the lease term, including lease renewal options that are reasonably assured, are expensed on a straight-line basis.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Net rent expense for the years ending September 30, 2005, 2006 and 2007 was $16.7 million, $17.4 million and $21.6 million. Net rent expense includes the collection of sublease rent revenue of approximately $47,000, $60,000 and $52,000 for years ending September 30, 2005, 2006 and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Prior to fiscal 2005, we completed several sale-leaseback transactions of previously owned facilities. Losses on sales were recognized immediately, and gains were deferred and are being amortized as a reduction of lease expense over the terms of the related leases. The remaining unamortized long-term portion of these deferred gains, amounting to $2.9 million at September 30, 2007, is included in Deferred gains and other long-term liabilities in our consolidated balance sheet. The short-term portion, included in Accounts payable and other accrued expenses was $0.4 million at September 30, 2007. Future rentals on these sale-leasebacks are included in the above schedule of future minimum rentals. Terms of these leases are consistent with the terms on our other lease agreements. </w:t>
      </w:r>
    </w:p>
    <w:p>
      <w:pPr>
        <w:pStyle w:val="TextBody"/>
        <w:spacing w:before="240" w:after="283"/>
        <w:jc w:val="left"/>
        <w:rPr>
          <w:rFonts w:ascii="Helvetica;Arial;sans-serif" w:hAnsi="Helvetica;Arial;sans-serif"/>
          <w:sz w:val="17"/>
        </w:rPr>
      </w:pPr>
      <w:r>
        <w:rPr>
          <w:rFonts w:ascii="Helvetica;Arial;sans-serif" w:hAnsi="Helvetica;Arial;sans-serif"/>
          <w:b/>
          <w:sz w:val="17"/>
        </w:rPr>
        <w:t>Note M: Employment Agreements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President and Chief Executive Officer, Joseph L. Rotundas annual compensation includes short-term incentive compensation ranging from 50% to 150% of his base salary dependent upon the attainment of Board approved operating goals.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Rotundas written compensation agreement specifies certain payments to be made upon his death, disability, or termination without cause. Upon the occurrence of any of those events, a severance payment will be paid within 30 days of such event. Mr. Rotundas severance payment will be one year of base salary, one year of short term incentive compensation determined as of the termination date, one year of car allowance, and a prorated portion of the incentive compensation award for the period he was actively employed during the fiscal year of termination. In addition, we will make all health care COBRA payments for the same period, grossed up for taxes.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Rotundas compensation agreement also provides that in the event of a change in control of the company, defined as a sale by Phillip Ean Cohen of a majority of the Class B Voting Common Stock, Mr. Rotunda will receive a bonus of 200% of his annual compensation within 30 days of such event. For </w:t>
      </w:r>
    </w:p>
    <w:p>
      <w:pPr>
        <w:pStyle w:val="TextBody"/>
        <w:jc w:val="center"/>
        <w:rPr>
          <w:rFonts w:ascii="Helvetica;Arial;sans-serif" w:hAnsi="Helvetica;Arial;sans-serif"/>
          <w:sz w:val="17"/>
        </w:rPr>
      </w:pPr>
      <w:r>
        <w:rPr>
          <w:rFonts w:ascii="Helvetica;Arial;sans-serif" w:hAnsi="Helvetica;Arial;sans-serif"/>
          <w:sz w:val="17"/>
        </w:rPr>
        <w:t xml:space="preserve">66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purposes of this payment, annual compensation is defined as one year of base salary, one year of short term incentive compensation determined as of the termination date and one year of car allowance. In addition, all vesting requirements for any benefit or instrument shall be fully satisfied. If his employment is terminated within six months of a change in control, other than for cause, he will also receive the termination without cause payments described above.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fiscal 2007 restricted stock awards to the Chairman of the Board and the President and Chief Executive Officer contain provisions for accelerated vesting of some of the shares if certain conditions occur that affect their positions and/or responsibilities.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2007 restricted stock awards to the Chairman of the Board and the President and Chief Executive Officer provide for immediate vesting of all unvested shares to the effected individual in the event of one of the following: </w:t>
      </w:r>
    </w:p>
    <w:tbl>
      <w:tblPr>
        <w:tblW w:w="5000" w:type="pct"/>
        <w:jc w:val="left"/>
        <w:tblInd w:w="0" w:type="dxa"/>
        <w:tblCellMar>
          <w:top w:w="0" w:type="dxa"/>
          <w:left w:w="0" w:type="dxa"/>
          <w:bottom w:w="0" w:type="dxa"/>
          <w:right w:w="0" w:type="dxa"/>
        </w:tblCellMar>
      </w:tblPr>
      <w:tblGrid>
        <w:gridCol w:w="202"/>
        <w:gridCol w:w="305"/>
        <w:gridCol w:w="101"/>
        <w:gridCol w:w="9597"/>
      </w:tblGrid>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The failure of the individual to be re-elected to his current position;</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His termination without cause.</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addition, each would have a partial acceleration of shares in the event of his death or disability. EZCORP is the beneficiary of Key Man life and disability insurance policies for the Chairman of the Board and the President and Chief Executive Officer designed to approximately offset the additional expense that would be recognized if vesting were accelerated upon death or disability.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Rotundas compensation agreement provides for the vesting of all benefits and equity plans, including the 2007 restricted stock award, upon a change in control.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the event of any of the following events happening to the Chairman of the Board or the President and Chief Executive Officer, the effected individual would forfeit the rights to all unvested shares in these awards: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Termination for cause as defined in the EZCORP, Inc. 2006 Incentive Plan Document.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Voluntary termination of employment without a Board approved successor.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Violation of the Proprietary Information or Non-Competition sections of the Award Agreement.</w:t>
            </w:r>
          </w:p>
        </w:tc>
      </w:tr>
    </w:tbl>
    <w:p>
      <w:pPr>
        <w:pStyle w:val="TextBody"/>
        <w:spacing w:before="240" w:after="283"/>
        <w:jc w:val="left"/>
        <w:rPr>
          <w:rFonts w:ascii="Helvetica;Arial;sans-serif" w:hAnsi="Helvetica;Arial;sans-serif"/>
          <w:sz w:val="17"/>
        </w:rPr>
      </w:pPr>
      <w:r>
        <w:rPr>
          <w:rFonts w:ascii="Helvetica;Arial;sans-serif" w:hAnsi="Helvetica;Arial;sans-serif"/>
          <w:b/>
          <w:sz w:val="17"/>
        </w:rPr>
        <w:t>Note N: Retirement Plans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sponsor a 401(k) Plan under which eligible employees may contribute up to a maximum percentage allowable not to exceed the limits of Code Sections 401(k), 402(g), 404 and 415. In our sole discretion, we may match employee contributions in the form of our Class A Common Stock. Contribution expense related to the plan for 2005, 2006 and 2007 was approximately $72,000, $54,000 and $27,000.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federal tax code limits the amount of pre-tax savings that highly paid executives can contribute to the 401(k) plan. To offset some of the negative impact of these regulations on retirement savings, we provide selected executives with a non-qualified Supplemental Executive Retirement Plan. Funds in the Supplemental Executive Retirement Plan vest over three years from the grant date, with one-third vesting each year. All of a participants Supplemental Executive Retirement Plan funds from all grants vest 100% in the event of his or her death, disability or the termination of the plan due to a change in control of the company. In addition, the Supplemental Executive Retirement Plan funds are 100% vested when a participant attains his or her normal retirement age (60 years old and five years of active service) while actively employed by us. Contributions to the plan for fiscal 2006 and 2007 were approximately $256,000 and $306,000. These amounts are amortized to expense based on the vesting schedule. The amount of this amortized to expense in fiscal 2006 and 2007 was approximately $116,000 and $276,000. </w:t>
      </w:r>
    </w:p>
    <w:p>
      <w:pPr>
        <w:pStyle w:val="TextBody"/>
        <w:jc w:val="center"/>
        <w:rPr>
          <w:rFonts w:ascii="Helvetica;Arial;sans-serif" w:hAnsi="Helvetica;Arial;sans-serif"/>
          <w:sz w:val="17"/>
        </w:rPr>
      </w:pPr>
      <w:r>
        <w:rPr>
          <w:rFonts w:ascii="Helvetica;Arial;sans-serif" w:hAnsi="Helvetica;Arial;sans-serif"/>
          <w:sz w:val="17"/>
        </w:rPr>
        <w:t xml:space="preserve">67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Note O: Contingencies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Currently and from time to time, we are defendants in legal and regulatory actions. While we cannot determine the ultimate outcome of these actions, after consultation with counsel, we believe their resolution will not have a material adverse effect on our financial condition, results of operations or liquidity. However, we cannot give any assurance as to their ultimate outcome.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May 2007, the State of Texas filed suit against EZCORP, Inc. and our Texas affiliates in state district court in Bexar County alleging violations of the Texas Identity Theft statute, Deceptive Trade Practices Act, and a provision of the Business and Commerce Code by allegedly failing to safeguard and properly dispose of customers sensitive personal information. In late May 2007, we voluntarily entered into an Agreed Temporary Injunction regarding the safeguarding and disposal of the information. We have reviewed and enhanced our information security polices to address the States concerns. We are currently in discussions with the State to reach an amicable resolution of this matter, but can give no assurance that an amicable resolution will be reached prior to the March 2008 scheduled trial date.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Florida Office of Financial Regulation has filed an administrative action against us alleging that our Florida CSO business model violates state law. A trial before an administrative law judge is scheduled for January 2008. </w:t>
      </w:r>
    </w:p>
    <w:p>
      <w:pPr>
        <w:pStyle w:val="TextBody"/>
        <w:spacing w:before="240" w:after="283"/>
        <w:jc w:val="left"/>
        <w:rPr>
          <w:rFonts w:ascii="Helvetica;Arial;sans-serif" w:hAnsi="Helvetica;Arial;sans-serif"/>
          <w:sz w:val="17"/>
        </w:rPr>
      </w:pPr>
      <w:r>
        <w:rPr>
          <w:rFonts w:ascii="Helvetica;Arial;sans-serif" w:hAnsi="Helvetica;Arial;sans-serif"/>
          <w:b/>
          <w:sz w:val="17"/>
        </w:rPr>
        <w:t>Note P: Quarterly Information (Unaudited)</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3917"/>
        <w:gridCol w:w="320"/>
        <w:gridCol w:w="293"/>
        <w:gridCol w:w="710"/>
        <w:gridCol w:w="215"/>
        <w:gridCol w:w="321"/>
        <w:gridCol w:w="293"/>
        <w:gridCol w:w="710"/>
        <w:gridCol w:w="215"/>
        <w:gridCol w:w="321"/>
        <w:gridCol w:w="292"/>
        <w:gridCol w:w="710"/>
        <w:gridCol w:w="215"/>
        <w:gridCol w:w="321"/>
        <w:gridCol w:w="293"/>
        <w:gridCol w:w="827"/>
        <w:gridCol w:w="232"/>
      </w:tblGrid>
      <w:tr>
        <w:trPr/>
        <w:tc>
          <w:tcPr>
            <w:tcW w:w="391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218" w:type="dxa"/>
            <w:gridSpan w:val="3"/>
            <w:tcBorders>
              <w:bottom w:val="single" w:sz="2" w:space="0" w:color="000000"/>
            </w:tcBorders>
            <w:shd w:fill="auto" w:val="clear"/>
            <w:tcMar>
              <w:bottom w:w="28" w:type="dxa"/>
            </w:tcMar>
            <w:vAlign w:val="bottom"/>
          </w:tcPr>
          <w:p>
            <w:pPr>
              <w:pStyle w:val="TableContents"/>
              <w:spacing w:before="0" w:after="283"/>
              <w:jc w:val="center"/>
              <w:rPr/>
            </w:pPr>
            <w:r>
              <w:rPr/>
              <w:t>First</w:t>
            </w:r>
          </w:p>
        </w:tc>
        <w:tc>
          <w:tcPr>
            <w:tcW w:w="321" w:type="dxa"/>
            <w:tcBorders/>
            <w:shd w:fill="auto" w:val="clear"/>
            <w:vAlign w:val="bottom"/>
          </w:tcPr>
          <w:p>
            <w:pPr>
              <w:pStyle w:val="TableContents"/>
              <w:spacing w:before="0" w:after="283"/>
              <w:rPr/>
            </w:pPr>
            <w:r>
              <w:rPr/>
              <w:t> </w:t>
            </w:r>
          </w:p>
        </w:tc>
        <w:tc>
          <w:tcPr>
            <w:tcW w:w="1218" w:type="dxa"/>
            <w:gridSpan w:val="3"/>
            <w:tcBorders>
              <w:bottom w:val="single" w:sz="2" w:space="0" w:color="000000"/>
            </w:tcBorders>
            <w:shd w:fill="auto" w:val="clear"/>
            <w:tcMar>
              <w:bottom w:w="28" w:type="dxa"/>
            </w:tcMar>
            <w:vAlign w:val="bottom"/>
          </w:tcPr>
          <w:p>
            <w:pPr>
              <w:pStyle w:val="TableContents"/>
              <w:spacing w:before="0" w:after="283"/>
              <w:jc w:val="center"/>
              <w:rPr/>
            </w:pPr>
            <w:r>
              <w:rPr/>
              <w:t>Second</w:t>
            </w:r>
          </w:p>
        </w:tc>
        <w:tc>
          <w:tcPr>
            <w:tcW w:w="321" w:type="dxa"/>
            <w:tcBorders/>
            <w:shd w:fill="auto" w:val="clear"/>
            <w:vAlign w:val="bottom"/>
          </w:tcPr>
          <w:p>
            <w:pPr>
              <w:pStyle w:val="TableContents"/>
              <w:spacing w:before="0" w:after="283"/>
              <w:rPr/>
            </w:pPr>
            <w:r>
              <w:rPr/>
              <w:t> </w:t>
            </w:r>
          </w:p>
        </w:tc>
        <w:tc>
          <w:tcPr>
            <w:tcW w:w="1217" w:type="dxa"/>
            <w:gridSpan w:val="3"/>
            <w:tcBorders>
              <w:bottom w:val="single" w:sz="2" w:space="0" w:color="000000"/>
            </w:tcBorders>
            <w:shd w:fill="auto" w:val="clear"/>
            <w:tcMar>
              <w:bottom w:w="28" w:type="dxa"/>
            </w:tcMar>
            <w:vAlign w:val="bottom"/>
          </w:tcPr>
          <w:p>
            <w:pPr>
              <w:pStyle w:val="TableContents"/>
              <w:spacing w:before="0" w:after="283"/>
              <w:jc w:val="center"/>
              <w:rPr/>
            </w:pPr>
            <w:r>
              <w:rPr/>
              <w:t>Third</w:t>
            </w:r>
          </w:p>
        </w:tc>
        <w:tc>
          <w:tcPr>
            <w:tcW w:w="321" w:type="dxa"/>
            <w:tcBorders/>
            <w:shd w:fill="auto" w:val="clear"/>
            <w:vAlign w:val="bottom"/>
          </w:tcPr>
          <w:p>
            <w:pPr>
              <w:pStyle w:val="TableContents"/>
              <w:spacing w:before="0" w:after="283"/>
              <w:rPr/>
            </w:pPr>
            <w:r>
              <w:rPr/>
              <w:t> </w:t>
            </w:r>
          </w:p>
        </w:tc>
        <w:tc>
          <w:tcPr>
            <w:tcW w:w="1352" w:type="dxa"/>
            <w:gridSpan w:val="3"/>
            <w:tcBorders>
              <w:bottom w:val="single" w:sz="2" w:space="0" w:color="000000"/>
            </w:tcBorders>
            <w:shd w:fill="auto" w:val="clear"/>
            <w:tcMar>
              <w:bottom w:w="28" w:type="dxa"/>
            </w:tcMar>
            <w:vAlign w:val="bottom"/>
          </w:tcPr>
          <w:p>
            <w:pPr>
              <w:pStyle w:val="TableContents"/>
              <w:spacing w:before="0" w:after="283"/>
              <w:jc w:val="center"/>
              <w:rPr/>
            </w:pPr>
            <w:r>
              <w:rPr/>
              <w:t>Fourth</w:t>
            </w:r>
          </w:p>
        </w:tc>
      </w:tr>
      <w:tr>
        <w:trPr/>
        <w:tc>
          <w:tcPr>
            <w:tcW w:w="391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218" w:type="dxa"/>
            <w:gridSpan w:val="3"/>
            <w:tcBorders>
              <w:bottom w:val="single" w:sz="2" w:space="0" w:color="000000"/>
            </w:tcBorders>
            <w:shd w:fill="auto" w:val="clear"/>
            <w:tcMar>
              <w:bottom w:w="28" w:type="dxa"/>
            </w:tcMar>
            <w:vAlign w:val="bottom"/>
          </w:tcPr>
          <w:p>
            <w:pPr>
              <w:pStyle w:val="TableContents"/>
              <w:spacing w:before="0" w:after="283"/>
              <w:jc w:val="center"/>
              <w:rPr/>
            </w:pPr>
            <w:r>
              <w:rPr/>
              <w:t>Quarter</w:t>
            </w:r>
          </w:p>
        </w:tc>
        <w:tc>
          <w:tcPr>
            <w:tcW w:w="321" w:type="dxa"/>
            <w:tcBorders/>
            <w:shd w:fill="auto" w:val="clear"/>
            <w:vAlign w:val="bottom"/>
          </w:tcPr>
          <w:p>
            <w:pPr>
              <w:pStyle w:val="TableContents"/>
              <w:spacing w:before="0" w:after="283"/>
              <w:rPr/>
            </w:pPr>
            <w:r>
              <w:rPr/>
              <w:t> </w:t>
            </w:r>
          </w:p>
        </w:tc>
        <w:tc>
          <w:tcPr>
            <w:tcW w:w="1218" w:type="dxa"/>
            <w:gridSpan w:val="3"/>
            <w:tcBorders>
              <w:bottom w:val="single" w:sz="2" w:space="0" w:color="000000"/>
            </w:tcBorders>
            <w:shd w:fill="auto" w:val="clear"/>
            <w:tcMar>
              <w:bottom w:w="28" w:type="dxa"/>
            </w:tcMar>
            <w:vAlign w:val="bottom"/>
          </w:tcPr>
          <w:p>
            <w:pPr>
              <w:pStyle w:val="TableContents"/>
              <w:spacing w:before="0" w:after="283"/>
              <w:jc w:val="center"/>
              <w:rPr/>
            </w:pPr>
            <w:r>
              <w:rPr/>
              <w:t>Quarter</w:t>
            </w:r>
          </w:p>
        </w:tc>
        <w:tc>
          <w:tcPr>
            <w:tcW w:w="321" w:type="dxa"/>
            <w:tcBorders/>
            <w:shd w:fill="auto" w:val="clear"/>
            <w:vAlign w:val="bottom"/>
          </w:tcPr>
          <w:p>
            <w:pPr>
              <w:pStyle w:val="TableContents"/>
              <w:spacing w:before="0" w:after="283"/>
              <w:rPr/>
            </w:pPr>
            <w:r>
              <w:rPr/>
              <w:t> </w:t>
            </w:r>
          </w:p>
        </w:tc>
        <w:tc>
          <w:tcPr>
            <w:tcW w:w="1217" w:type="dxa"/>
            <w:gridSpan w:val="3"/>
            <w:tcBorders>
              <w:bottom w:val="single" w:sz="2" w:space="0" w:color="000000"/>
            </w:tcBorders>
            <w:shd w:fill="auto" w:val="clear"/>
            <w:tcMar>
              <w:bottom w:w="28" w:type="dxa"/>
            </w:tcMar>
            <w:vAlign w:val="bottom"/>
          </w:tcPr>
          <w:p>
            <w:pPr>
              <w:pStyle w:val="TableContents"/>
              <w:spacing w:before="0" w:after="283"/>
              <w:jc w:val="center"/>
              <w:rPr/>
            </w:pPr>
            <w:r>
              <w:rPr/>
              <w:t>Quarter</w:t>
            </w:r>
          </w:p>
        </w:tc>
        <w:tc>
          <w:tcPr>
            <w:tcW w:w="321" w:type="dxa"/>
            <w:tcBorders/>
            <w:shd w:fill="auto" w:val="clear"/>
            <w:vAlign w:val="bottom"/>
          </w:tcPr>
          <w:p>
            <w:pPr>
              <w:pStyle w:val="TableContents"/>
              <w:spacing w:before="0" w:after="283"/>
              <w:rPr/>
            </w:pPr>
            <w:r>
              <w:rPr/>
              <w:t> </w:t>
            </w:r>
          </w:p>
        </w:tc>
        <w:tc>
          <w:tcPr>
            <w:tcW w:w="1352" w:type="dxa"/>
            <w:gridSpan w:val="3"/>
            <w:tcBorders>
              <w:bottom w:val="single" w:sz="2" w:space="0" w:color="000000"/>
            </w:tcBorders>
            <w:shd w:fill="auto" w:val="clear"/>
            <w:tcMar>
              <w:bottom w:w="28" w:type="dxa"/>
            </w:tcMar>
            <w:vAlign w:val="bottom"/>
          </w:tcPr>
          <w:p>
            <w:pPr>
              <w:pStyle w:val="TableContents"/>
              <w:spacing w:before="0" w:after="283"/>
              <w:jc w:val="center"/>
              <w:rPr/>
            </w:pPr>
            <w:r>
              <w:rPr/>
              <w:t>Quarter</w:t>
            </w:r>
          </w:p>
        </w:tc>
      </w:tr>
      <w:tr>
        <w:trPr/>
        <w:tc>
          <w:tcPr>
            <w:tcW w:w="391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5968" w:type="dxa"/>
            <w:gridSpan w:val="15"/>
            <w:tcBorders/>
            <w:shd w:fill="auto" w:val="clear"/>
            <w:vAlign w:val="bottom"/>
          </w:tcPr>
          <w:p>
            <w:pPr>
              <w:pStyle w:val="TableContents"/>
              <w:spacing w:before="0" w:after="283"/>
              <w:jc w:val="center"/>
              <w:rPr>
                <w:i/>
              </w:rPr>
            </w:pPr>
            <w:r>
              <w:rPr>
                <w:i/>
              </w:rPr>
              <w:t>(In thousands, except per share amounts)</w:t>
            </w:r>
          </w:p>
        </w:tc>
      </w:tr>
      <w:tr>
        <w:trPr/>
        <w:tc>
          <w:tcPr>
            <w:tcW w:w="3917" w:type="dxa"/>
            <w:tcBorders/>
            <w:shd w:fill="CCEEFF" w:val="clear"/>
            <w:vAlign w:val="bottom"/>
          </w:tcPr>
          <w:p>
            <w:pPr>
              <w:pStyle w:val="TableContents"/>
              <w:spacing w:before="0" w:after="0"/>
              <w:ind w:left="225" w:right="0" w:hanging="225"/>
              <w:rPr>
                <w:b/>
              </w:rPr>
            </w:pPr>
            <w:r>
              <w:rPr>
                <w:b/>
              </w:rPr>
              <w:t>Year Ended September 30, 2006</w:t>
            </w:r>
          </w:p>
        </w:tc>
        <w:tc>
          <w:tcPr>
            <w:tcW w:w="32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225" w:right="0" w:hanging="225"/>
              <w:rPr/>
            </w:pPr>
            <w:r>
              <w:rPr/>
              <w:t> </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225" w:right="0" w:hanging="225"/>
              <w:rPr/>
            </w:pPr>
            <w:r>
              <w:rPr/>
              <w:t>Total revenues</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w:t>
            </w:r>
          </w:p>
        </w:tc>
        <w:tc>
          <w:tcPr>
            <w:tcW w:w="710" w:type="dxa"/>
            <w:tcBorders/>
            <w:shd w:fill="auto" w:val="clear"/>
            <w:vAlign w:val="bottom"/>
          </w:tcPr>
          <w:p>
            <w:pPr>
              <w:pStyle w:val="TableContents"/>
              <w:spacing w:before="0" w:after="283"/>
              <w:jc w:val="right"/>
              <w:rPr/>
            </w:pPr>
            <w:r>
              <w:rPr/>
              <w:t>75,770</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w:t>
            </w:r>
          </w:p>
        </w:tc>
        <w:tc>
          <w:tcPr>
            <w:tcW w:w="710" w:type="dxa"/>
            <w:tcBorders/>
            <w:shd w:fill="auto" w:val="clear"/>
            <w:vAlign w:val="bottom"/>
          </w:tcPr>
          <w:p>
            <w:pPr>
              <w:pStyle w:val="TableContents"/>
              <w:spacing w:before="0" w:after="283"/>
              <w:jc w:val="right"/>
              <w:rPr/>
            </w:pPr>
            <w:r>
              <w:rPr/>
              <w:t>78,941</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right"/>
              <w:rPr/>
            </w:pPr>
            <w:r>
              <w:rPr/>
              <w:t>$</w:t>
            </w:r>
          </w:p>
        </w:tc>
        <w:tc>
          <w:tcPr>
            <w:tcW w:w="710" w:type="dxa"/>
            <w:tcBorders/>
            <w:shd w:fill="auto" w:val="clear"/>
            <w:vAlign w:val="bottom"/>
          </w:tcPr>
          <w:p>
            <w:pPr>
              <w:pStyle w:val="TableContents"/>
              <w:spacing w:before="0" w:after="283"/>
              <w:jc w:val="right"/>
              <w:rPr/>
            </w:pPr>
            <w:r>
              <w:rPr/>
              <w:t>73,786</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w:t>
            </w:r>
          </w:p>
        </w:tc>
        <w:tc>
          <w:tcPr>
            <w:tcW w:w="827" w:type="dxa"/>
            <w:tcBorders/>
            <w:shd w:fill="auto" w:val="clear"/>
            <w:vAlign w:val="bottom"/>
          </w:tcPr>
          <w:p>
            <w:pPr>
              <w:pStyle w:val="TableContents"/>
              <w:spacing w:before="0" w:after="283"/>
              <w:jc w:val="right"/>
              <w:rPr/>
            </w:pPr>
            <w:r>
              <w:rPr/>
              <w:t>87,355</w:t>
            </w:r>
          </w:p>
        </w:tc>
        <w:tc>
          <w:tcPr>
            <w:tcW w:w="232" w:type="dxa"/>
            <w:tcBorders/>
            <w:shd w:fill="auto" w:val="clear"/>
            <w:vAlign w:val="bottom"/>
          </w:tcPr>
          <w:p>
            <w:pPr>
              <w:pStyle w:val="TableContents"/>
              <w:spacing w:before="0" w:after="283"/>
              <w:rPr/>
            </w:pPr>
            <w:r>
              <w:rPr/>
              <w:t> </w:t>
            </w:r>
          </w:p>
        </w:tc>
      </w:tr>
      <w:tr>
        <w:trPr/>
        <w:tc>
          <w:tcPr>
            <w:tcW w:w="3917" w:type="dxa"/>
            <w:tcBorders/>
            <w:shd w:fill="CCEEFF" w:val="clear"/>
            <w:vAlign w:val="bottom"/>
          </w:tcPr>
          <w:p>
            <w:pPr>
              <w:pStyle w:val="TableContents"/>
              <w:spacing w:before="0" w:after="0"/>
              <w:ind w:left="225" w:right="0" w:hanging="225"/>
              <w:rPr/>
            </w:pPr>
            <w:r>
              <w:rPr/>
              <w:t>Net revenues</w:t>
            </w:r>
          </w:p>
        </w:tc>
        <w:tc>
          <w:tcPr>
            <w:tcW w:w="32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pPr>
            <w:r>
              <w:rPr/>
              <w:t>50,109</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pPr>
            <w:r>
              <w:rPr/>
              <w:t>50,604</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pPr>
            <w:r>
              <w:rPr/>
              <w:t>50,088</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58,178</w:t>
            </w:r>
          </w:p>
        </w:tc>
        <w:tc>
          <w:tcPr>
            <w:tcW w:w="232" w:type="dxa"/>
            <w:tcBorders/>
            <w:shd w:fill="CCEEFF"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225" w:right="0" w:hanging="225"/>
              <w:rPr/>
            </w:pPr>
            <w:r>
              <w:rPr/>
              <w:t>Net income</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pPr>
            <w:r>
              <w:rPr/>
              <w:t>6,756</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pPr>
            <w:r>
              <w:rPr/>
              <w:t>7,727</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pPr>
            <w:r>
              <w:rPr/>
              <w:t>5,608</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9,168</w:t>
            </w:r>
          </w:p>
        </w:tc>
        <w:tc>
          <w:tcPr>
            <w:tcW w:w="232" w:type="dxa"/>
            <w:tcBorders/>
            <w:shd w:fill="auto"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225" w:right="0" w:hanging="225"/>
              <w:rPr/>
            </w:pPr>
            <w:r>
              <w:rPr/>
              <w:t> </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917" w:type="dxa"/>
            <w:tcBorders/>
            <w:shd w:fill="CCEEFF" w:val="clear"/>
            <w:vAlign w:val="bottom"/>
          </w:tcPr>
          <w:p>
            <w:pPr>
              <w:pStyle w:val="TableContents"/>
              <w:spacing w:before="0" w:after="0"/>
              <w:ind w:left="225" w:right="0" w:hanging="225"/>
              <w:rPr/>
            </w:pPr>
            <w:r>
              <w:rPr/>
              <w:t>Earnings per common share:</w:t>
            </w:r>
          </w:p>
        </w:tc>
        <w:tc>
          <w:tcPr>
            <w:tcW w:w="32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450" w:right="0" w:hanging="225"/>
              <w:rPr/>
            </w:pPr>
            <w:r>
              <w:rPr/>
              <w:t>Basic</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w:t>
            </w:r>
          </w:p>
        </w:tc>
        <w:tc>
          <w:tcPr>
            <w:tcW w:w="710" w:type="dxa"/>
            <w:tcBorders/>
            <w:shd w:fill="auto" w:val="clear"/>
            <w:vAlign w:val="bottom"/>
          </w:tcPr>
          <w:p>
            <w:pPr>
              <w:pStyle w:val="TableContents"/>
              <w:spacing w:before="0" w:after="283"/>
              <w:jc w:val="right"/>
              <w:rPr/>
            </w:pPr>
            <w:r>
              <w:rPr/>
              <w:t>0.17</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w:t>
            </w:r>
          </w:p>
        </w:tc>
        <w:tc>
          <w:tcPr>
            <w:tcW w:w="710" w:type="dxa"/>
            <w:tcBorders/>
            <w:shd w:fill="auto" w:val="clear"/>
            <w:vAlign w:val="bottom"/>
          </w:tcPr>
          <w:p>
            <w:pPr>
              <w:pStyle w:val="TableContents"/>
              <w:spacing w:before="0" w:after="283"/>
              <w:jc w:val="right"/>
              <w:rPr/>
            </w:pPr>
            <w:r>
              <w:rPr/>
              <w:t>0.20</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right"/>
              <w:rPr/>
            </w:pPr>
            <w:r>
              <w:rPr/>
              <w:t>$</w:t>
            </w:r>
          </w:p>
        </w:tc>
        <w:tc>
          <w:tcPr>
            <w:tcW w:w="710" w:type="dxa"/>
            <w:tcBorders/>
            <w:shd w:fill="auto" w:val="clear"/>
            <w:vAlign w:val="bottom"/>
          </w:tcPr>
          <w:p>
            <w:pPr>
              <w:pStyle w:val="TableContents"/>
              <w:spacing w:before="0" w:after="283"/>
              <w:jc w:val="right"/>
              <w:rPr/>
            </w:pPr>
            <w:r>
              <w:rPr/>
              <w:t>0.14</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w:t>
            </w:r>
          </w:p>
        </w:tc>
        <w:tc>
          <w:tcPr>
            <w:tcW w:w="827" w:type="dxa"/>
            <w:tcBorders/>
            <w:shd w:fill="auto" w:val="clear"/>
            <w:vAlign w:val="bottom"/>
          </w:tcPr>
          <w:p>
            <w:pPr>
              <w:pStyle w:val="TableContents"/>
              <w:spacing w:before="0" w:after="283"/>
              <w:jc w:val="right"/>
              <w:rPr/>
            </w:pPr>
            <w:r>
              <w:rPr/>
              <w:t>0.23</w:t>
            </w:r>
          </w:p>
        </w:tc>
        <w:tc>
          <w:tcPr>
            <w:tcW w:w="232" w:type="dxa"/>
            <w:tcBorders/>
            <w:shd w:fill="auto" w:val="clear"/>
            <w:vAlign w:val="bottom"/>
          </w:tcPr>
          <w:p>
            <w:pPr>
              <w:pStyle w:val="TableContents"/>
              <w:spacing w:before="0" w:after="283"/>
              <w:rPr/>
            </w:pPr>
            <w:r>
              <w:rPr/>
              <w:t> </w:t>
            </w:r>
          </w:p>
        </w:tc>
      </w:tr>
      <w:tr>
        <w:trPr/>
        <w:tc>
          <w:tcPr>
            <w:tcW w:w="3917" w:type="dxa"/>
            <w:tcBorders/>
            <w:shd w:fill="CCEEFF" w:val="clear"/>
            <w:vAlign w:val="bottom"/>
          </w:tcPr>
          <w:p>
            <w:pPr>
              <w:pStyle w:val="TableContents"/>
              <w:spacing w:before="0" w:after="0"/>
              <w:ind w:left="450" w:right="0" w:hanging="225"/>
              <w:rPr/>
            </w:pPr>
            <w:r>
              <w:rPr/>
              <w:t>Diluted</w:t>
            </w:r>
          </w:p>
        </w:tc>
        <w:tc>
          <w:tcPr>
            <w:tcW w:w="32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w:t>
            </w:r>
          </w:p>
        </w:tc>
        <w:tc>
          <w:tcPr>
            <w:tcW w:w="710" w:type="dxa"/>
            <w:tcBorders/>
            <w:shd w:fill="CCEEFF" w:val="clear"/>
            <w:vAlign w:val="bottom"/>
          </w:tcPr>
          <w:p>
            <w:pPr>
              <w:pStyle w:val="TableContents"/>
              <w:spacing w:before="0" w:after="283"/>
              <w:jc w:val="right"/>
              <w:rPr/>
            </w:pPr>
            <w:r>
              <w:rPr/>
              <w:t>0.17</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w:t>
            </w:r>
          </w:p>
        </w:tc>
        <w:tc>
          <w:tcPr>
            <w:tcW w:w="710" w:type="dxa"/>
            <w:tcBorders/>
            <w:shd w:fill="CCEEFF" w:val="clear"/>
            <w:vAlign w:val="bottom"/>
          </w:tcPr>
          <w:p>
            <w:pPr>
              <w:pStyle w:val="TableContents"/>
              <w:spacing w:before="0" w:after="283"/>
              <w:jc w:val="right"/>
              <w:rPr/>
            </w:pPr>
            <w:r>
              <w:rPr/>
              <w:t>0.19</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pPr>
            <w:r>
              <w:rPr/>
              <w:t>$</w:t>
            </w:r>
          </w:p>
        </w:tc>
        <w:tc>
          <w:tcPr>
            <w:tcW w:w="710" w:type="dxa"/>
            <w:tcBorders/>
            <w:shd w:fill="CCEEFF" w:val="clear"/>
            <w:vAlign w:val="bottom"/>
          </w:tcPr>
          <w:p>
            <w:pPr>
              <w:pStyle w:val="TableContents"/>
              <w:spacing w:before="0" w:after="283"/>
              <w:jc w:val="right"/>
              <w:rPr/>
            </w:pPr>
            <w:r>
              <w:rPr/>
              <w:t>0.13</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w:t>
            </w:r>
          </w:p>
        </w:tc>
        <w:tc>
          <w:tcPr>
            <w:tcW w:w="827" w:type="dxa"/>
            <w:tcBorders/>
            <w:shd w:fill="CCEEFF" w:val="clear"/>
            <w:vAlign w:val="bottom"/>
          </w:tcPr>
          <w:p>
            <w:pPr>
              <w:pStyle w:val="TableContents"/>
              <w:spacing w:before="0" w:after="283"/>
              <w:jc w:val="right"/>
              <w:rPr/>
            </w:pPr>
            <w:r>
              <w:rPr/>
              <w:t>0.21</w:t>
            </w:r>
          </w:p>
        </w:tc>
        <w:tc>
          <w:tcPr>
            <w:tcW w:w="232" w:type="dxa"/>
            <w:tcBorders/>
            <w:shd w:fill="CCEEFF"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225" w:right="0" w:hanging="225"/>
              <w:rPr/>
            </w:pPr>
            <w:r>
              <w:rPr/>
              <w:t> </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225" w:right="0" w:hanging="225"/>
              <w:rPr>
                <w:b/>
              </w:rPr>
            </w:pPr>
            <w:r>
              <w:rPr>
                <w:b/>
              </w:rPr>
              <w:t>Year Ended September 30, 2007</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225" w:right="0" w:hanging="225"/>
              <w:rPr/>
            </w:pPr>
            <w:r>
              <w:rPr/>
              <w:t> </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917" w:type="dxa"/>
            <w:tcBorders/>
            <w:shd w:fill="CCEEFF" w:val="clear"/>
            <w:vAlign w:val="bottom"/>
          </w:tcPr>
          <w:p>
            <w:pPr>
              <w:pStyle w:val="TableContents"/>
              <w:spacing w:before="0" w:after="0"/>
              <w:ind w:left="225" w:right="0" w:hanging="225"/>
              <w:rPr/>
            </w:pPr>
            <w:r>
              <w:rPr/>
              <w:t>Total revenues</w:t>
            </w:r>
          </w:p>
        </w:tc>
        <w:tc>
          <w:tcPr>
            <w:tcW w:w="32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w:t>
            </w:r>
          </w:p>
        </w:tc>
        <w:tc>
          <w:tcPr>
            <w:tcW w:w="710" w:type="dxa"/>
            <w:tcBorders/>
            <w:shd w:fill="CCEEFF" w:val="clear"/>
            <w:vAlign w:val="bottom"/>
          </w:tcPr>
          <w:p>
            <w:pPr>
              <w:pStyle w:val="TableContents"/>
              <w:spacing w:before="0" w:after="283"/>
              <w:jc w:val="right"/>
              <w:rPr/>
            </w:pPr>
            <w:r>
              <w:rPr/>
              <w:t>91,687</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w:t>
            </w:r>
          </w:p>
        </w:tc>
        <w:tc>
          <w:tcPr>
            <w:tcW w:w="710" w:type="dxa"/>
            <w:tcBorders/>
            <w:shd w:fill="CCEEFF" w:val="clear"/>
            <w:vAlign w:val="bottom"/>
          </w:tcPr>
          <w:p>
            <w:pPr>
              <w:pStyle w:val="TableContents"/>
              <w:spacing w:before="0" w:after="283"/>
              <w:jc w:val="right"/>
              <w:rPr/>
            </w:pPr>
            <w:r>
              <w:rPr/>
              <w:t>89,643</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pPr>
            <w:r>
              <w:rPr/>
              <w:t>$</w:t>
            </w:r>
          </w:p>
        </w:tc>
        <w:tc>
          <w:tcPr>
            <w:tcW w:w="710" w:type="dxa"/>
            <w:tcBorders/>
            <w:shd w:fill="CCEEFF" w:val="clear"/>
            <w:vAlign w:val="bottom"/>
          </w:tcPr>
          <w:p>
            <w:pPr>
              <w:pStyle w:val="TableContents"/>
              <w:spacing w:before="0" w:after="283"/>
              <w:jc w:val="right"/>
              <w:rPr/>
            </w:pPr>
            <w:r>
              <w:rPr/>
              <w:t>86,993</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w:t>
            </w:r>
          </w:p>
        </w:tc>
        <w:tc>
          <w:tcPr>
            <w:tcW w:w="827" w:type="dxa"/>
            <w:tcBorders/>
            <w:shd w:fill="CCEEFF" w:val="clear"/>
            <w:vAlign w:val="bottom"/>
          </w:tcPr>
          <w:p>
            <w:pPr>
              <w:pStyle w:val="TableContents"/>
              <w:spacing w:before="0" w:after="283"/>
              <w:jc w:val="right"/>
              <w:rPr/>
            </w:pPr>
            <w:r>
              <w:rPr/>
              <w:t>103,892</w:t>
            </w:r>
          </w:p>
        </w:tc>
        <w:tc>
          <w:tcPr>
            <w:tcW w:w="232" w:type="dxa"/>
            <w:tcBorders/>
            <w:shd w:fill="CCEEFF"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225" w:right="0" w:hanging="225"/>
              <w:rPr/>
            </w:pPr>
            <w:r>
              <w:rPr/>
              <w:t>Net revenues</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pPr>
            <w:r>
              <w:rPr/>
              <w:t>61,864</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pPr>
            <w:r>
              <w:rPr/>
              <w:t>59,269</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pPr>
            <w:r>
              <w:rPr/>
              <w:t>61,572</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71,503</w:t>
            </w:r>
          </w:p>
        </w:tc>
        <w:tc>
          <w:tcPr>
            <w:tcW w:w="232" w:type="dxa"/>
            <w:tcBorders/>
            <w:shd w:fill="auto" w:val="clear"/>
            <w:vAlign w:val="bottom"/>
          </w:tcPr>
          <w:p>
            <w:pPr>
              <w:pStyle w:val="TableContents"/>
              <w:spacing w:before="0" w:after="283"/>
              <w:rPr/>
            </w:pPr>
            <w:r>
              <w:rPr/>
              <w:t> </w:t>
            </w:r>
          </w:p>
        </w:tc>
      </w:tr>
      <w:tr>
        <w:trPr/>
        <w:tc>
          <w:tcPr>
            <w:tcW w:w="3917" w:type="dxa"/>
            <w:tcBorders/>
            <w:shd w:fill="CCEEFF" w:val="clear"/>
            <w:vAlign w:val="bottom"/>
          </w:tcPr>
          <w:p>
            <w:pPr>
              <w:pStyle w:val="TableContents"/>
              <w:spacing w:before="0" w:after="0"/>
              <w:ind w:left="225" w:right="0" w:hanging="225"/>
              <w:rPr/>
            </w:pPr>
            <w:r>
              <w:rPr/>
              <w:t>Net income</w:t>
            </w:r>
          </w:p>
        </w:tc>
        <w:tc>
          <w:tcPr>
            <w:tcW w:w="32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pPr>
            <w:r>
              <w:rPr/>
              <w:t>9,761</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pPr>
            <w:r>
              <w:rPr/>
              <w:t>10,196</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pPr>
            <w:r>
              <w:rPr/>
              <w:t>6,762</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11,155</w:t>
            </w:r>
          </w:p>
        </w:tc>
        <w:tc>
          <w:tcPr>
            <w:tcW w:w="232" w:type="dxa"/>
            <w:tcBorders/>
            <w:shd w:fill="CCEEFF"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225" w:right="0" w:hanging="225"/>
              <w:rPr/>
            </w:pPr>
            <w:r>
              <w:rPr/>
              <w:t> </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225" w:right="0" w:hanging="225"/>
              <w:rPr/>
            </w:pPr>
            <w:r>
              <w:rPr/>
              <w:t>Earnings per common share:</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3917" w:type="dxa"/>
            <w:tcBorders/>
            <w:shd w:fill="CCEEFF" w:val="clear"/>
            <w:vAlign w:val="bottom"/>
          </w:tcPr>
          <w:p>
            <w:pPr>
              <w:pStyle w:val="TableContents"/>
              <w:spacing w:before="0" w:after="0"/>
              <w:ind w:left="450" w:right="0" w:hanging="225"/>
              <w:rPr/>
            </w:pPr>
            <w:r>
              <w:rPr/>
              <w:t>Basic</w:t>
            </w:r>
          </w:p>
        </w:tc>
        <w:tc>
          <w:tcPr>
            <w:tcW w:w="32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w:t>
            </w:r>
          </w:p>
        </w:tc>
        <w:tc>
          <w:tcPr>
            <w:tcW w:w="710" w:type="dxa"/>
            <w:tcBorders/>
            <w:shd w:fill="CCEEFF" w:val="clear"/>
            <w:vAlign w:val="bottom"/>
          </w:tcPr>
          <w:p>
            <w:pPr>
              <w:pStyle w:val="TableContents"/>
              <w:spacing w:before="0" w:after="283"/>
              <w:jc w:val="right"/>
              <w:rPr/>
            </w:pPr>
            <w:r>
              <w:rPr/>
              <w:t>0.24</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w:t>
            </w:r>
          </w:p>
        </w:tc>
        <w:tc>
          <w:tcPr>
            <w:tcW w:w="710" w:type="dxa"/>
            <w:tcBorders/>
            <w:shd w:fill="CCEEFF" w:val="clear"/>
            <w:vAlign w:val="bottom"/>
          </w:tcPr>
          <w:p>
            <w:pPr>
              <w:pStyle w:val="TableContents"/>
              <w:spacing w:before="0" w:after="283"/>
              <w:jc w:val="right"/>
              <w:rPr/>
            </w:pPr>
            <w:r>
              <w:rPr/>
              <w:t>0.25</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pPr>
            <w:r>
              <w:rPr/>
              <w:t>$</w:t>
            </w:r>
          </w:p>
        </w:tc>
        <w:tc>
          <w:tcPr>
            <w:tcW w:w="710" w:type="dxa"/>
            <w:tcBorders/>
            <w:shd w:fill="CCEEFF" w:val="clear"/>
            <w:vAlign w:val="bottom"/>
          </w:tcPr>
          <w:p>
            <w:pPr>
              <w:pStyle w:val="TableContents"/>
              <w:spacing w:before="0" w:after="283"/>
              <w:jc w:val="right"/>
              <w:rPr/>
            </w:pPr>
            <w:r>
              <w:rPr/>
              <w:t>0.16</w:t>
            </w:r>
          </w:p>
        </w:tc>
        <w:tc>
          <w:tcPr>
            <w:tcW w:w="21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jc w:val="right"/>
              <w:rPr/>
            </w:pPr>
            <w:r>
              <w:rPr/>
              <w:t>$</w:t>
            </w:r>
          </w:p>
        </w:tc>
        <w:tc>
          <w:tcPr>
            <w:tcW w:w="827" w:type="dxa"/>
            <w:tcBorders/>
            <w:shd w:fill="CCEEFF" w:val="clear"/>
            <w:vAlign w:val="bottom"/>
          </w:tcPr>
          <w:p>
            <w:pPr>
              <w:pStyle w:val="TableContents"/>
              <w:spacing w:before="0" w:after="283"/>
              <w:jc w:val="right"/>
              <w:rPr/>
            </w:pPr>
            <w:r>
              <w:rPr/>
              <w:t>0.27</w:t>
            </w:r>
          </w:p>
        </w:tc>
        <w:tc>
          <w:tcPr>
            <w:tcW w:w="232" w:type="dxa"/>
            <w:tcBorders/>
            <w:shd w:fill="CCEEFF" w:val="clear"/>
            <w:vAlign w:val="bottom"/>
          </w:tcPr>
          <w:p>
            <w:pPr>
              <w:pStyle w:val="TableContents"/>
              <w:spacing w:before="0" w:after="283"/>
              <w:rPr/>
            </w:pPr>
            <w:r>
              <w:rPr/>
              <w:t> </w:t>
            </w:r>
          </w:p>
        </w:tc>
      </w:tr>
      <w:tr>
        <w:trPr/>
        <w:tc>
          <w:tcPr>
            <w:tcW w:w="3917" w:type="dxa"/>
            <w:tcBorders/>
            <w:shd w:fill="auto" w:val="clear"/>
            <w:vAlign w:val="bottom"/>
          </w:tcPr>
          <w:p>
            <w:pPr>
              <w:pStyle w:val="TableContents"/>
              <w:spacing w:before="0" w:after="0"/>
              <w:ind w:left="450" w:right="0" w:hanging="225"/>
              <w:rPr/>
            </w:pPr>
            <w:r>
              <w:rPr/>
              <w:t>Diluted</w:t>
            </w:r>
          </w:p>
        </w:tc>
        <w:tc>
          <w:tcPr>
            <w:tcW w:w="32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w:t>
            </w:r>
          </w:p>
        </w:tc>
        <w:tc>
          <w:tcPr>
            <w:tcW w:w="710" w:type="dxa"/>
            <w:tcBorders/>
            <w:shd w:fill="auto" w:val="clear"/>
            <w:vAlign w:val="bottom"/>
          </w:tcPr>
          <w:p>
            <w:pPr>
              <w:pStyle w:val="TableContents"/>
              <w:spacing w:before="0" w:after="283"/>
              <w:jc w:val="right"/>
              <w:rPr/>
            </w:pPr>
            <w:r>
              <w:rPr/>
              <w:t>0.23</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w:t>
            </w:r>
          </w:p>
        </w:tc>
        <w:tc>
          <w:tcPr>
            <w:tcW w:w="710" w:type="dxa"/>
            <w:tcBorders/>
            <w:shd w:fill="auto" w:val="clear"/>
            <w:vAlign w:val="bottom"/>
          </w:tcPr>
          <w:p>
            <w:pPr>
              <w:pStyle w:val="TableContents"/>
              <w:spacing w:before="0" w:after="283"/>
              <w:jc w:val="right"/>
              <w:rPr/>
            </w:pPr>
            <w:r>
              <w:rPr/>
              <w:t>0.23</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right"/>
              <w:rPr/>
            </w:pPr>
            <w:r>
              <w:rPr/>
              <w:t>$</w:t>
            </w:r>
          </w:p>
        </w:tc>
        <w:tc>
          <w:tcPr>
            <w:tcW w:w="710" w:type="dxa"/>
            <w:tcBorders/>
            <w:shd w:fill="auto" w:val="clear"/>
            <w:vAlign w:val="bottom"/>
          </w:tcPr>
          <w:p>
            <w:pPr>
              <w:pStyle w:val="TableContents"/>
              <w:spacing w:before="0" w:after="283"/>
              <w:jc w:val="right"/>
              <w:rPr/>
            </w:pPr>
            <w:r>
              <w:rPr/>
              <w:t>0.16</w:t>
            </w:r>
          </w:p>
        </w:tc>
        <w:tc>
          <w:tcPr>
            <w:tcW w:w="21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pPr>
            <w:r>
              <w:rPr/>
              <w:t>$</w:t>
            </w:r>
          </w:p>
        </w:tc>
        <w:tc>
          <w:tcPr>
            <w:tcW w:w="827" w:type="dxa"/>
            <w:tcBorders/>
            <w:shd w:fill="auto" w:val="clear"/>
            <w:vAlign w:val="bottom"/>
          </w:tcPr>
          <w:p>
            <w:pPr>
              <w:pStyle w:val="TableContents"/>
              <w:spacing w:before="0" w:after="283"/>
              <w:jc w:val="right"/>
              <w:rPr/>
            </w:pPr>
            <w:r>
              <w:rPr/>
              <w:t>0.26</w:t>
            </w:r>
          </w:p>
        </w:tc>
        <w:tc>
          <w:tcPr>
            <w:tcW w:w="232" w:type="dxa"/>
            <w:tcBorders/>
            <w:shd w:fill="auto"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the fourth quarter of fiscal 2006, we decreased our estimate of the effective tax rate for the fiscal year ending September 30, 2006 from 36.4% to 35.7%. The decrease was primarily due to the reduction of expected state income taxes following legislative changes in Texas, partially offset by a valuation allowance placed on a capital loss carry-forward we believe is unlikely of realization. The decrease in the effective income tax rate increased net income in the quarter ended September 30, 2006 by $319,000.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the first three quarters of fiscal 2007, we increased our estimate of the effective tax rate to 37.0%, primarily due to a legislative change increasing our expected taxes in Texas beginning in 2007. In the fourth quarter of fiscal 2007, we decreased our estimate of the effective tax rate for the fiscal year to 36.8%. The decrease was primarily due to an increase in the expected deduction for disqualifying dispositions of incentive stock options that previously were expected to be non-deductible. The decrease in the effective income tax rate increased net income in the quarter ended September 30, 2007 by $120,000. </w:t>
      </w:r>
    </w:p>
    <w:p>
      <w:pPr>
        <w:pStyle w:val="TextBody"/>
        <w:jc w:val="center"/>
        <w:rPr>
          <w:rFonts w:ascii="Helvetica;Arial;sans-serif" w:hAnsi="Helvetica;Arial;sans-serif"/>
          <w:sz w:val="17"/>
        </w:rPr>
      </w:pPr>
      <w:r>
        <w:rPr>
          <w:rFonts w:ascii="Helvetica;Arial;sans-serif" w:hAnsi="Helvetica;Arial;sans-serif"/>
          <w:sz w:val="17"/>
        </w:rPr>
        <w:t xml:space="preserve">68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Note Q: Comprehensive Income</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Comprehensive income includes net income and other revenues, expenses, gains and losses that are excluded from net income but are included as a component of total stockholders equity. Comprehensive income for fiscal 2005, 2006 and 2007 was $14.7 million, $29.7 million and $39.3 million. The difference between comprehensive income and net income results primarily from the effect of foreign currency translation adjustments determined in accordance with SFAS No. 52, Foreign Currency Translation. The accumulated balance of foreign currency activity excluded from net income of $4.0 million is presented, net of tax of $1.4 million, in the consolidated balance sheets as Accumulated other comprehensive income. </w:t>
      </w:r>
    </w:p>
    <w:p>
      <w:pPr>
        <w:pStyle w:val="TextBody"/>
        <w:spacing w:before="240" w:after="283"/>
        <w:jc w:val="left"/>
        <w:rPr>
          <w:rFonts w:ascii="Helvetica;Arial;sans-serif" w:hAnsi="Helvetica;Arial;sans-serif"/>
          <w:sz w:val="17"/>
        </w:rPr>
      </w:pPr>
      <w:r>
        <w:rPr>
          <w:rFonts w:ascii="Helvetica;Arial;sans-serif" w:hAnsi="Helvetica;Arial;sans-serif"/>
          <w:b/>
          <w:sz w:val="17"/>
        </w:rPr>
        <w:t>Note R: Operating Segment Information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Prior to October 1, 2006, we had a single reportable segment. Effective October 1, 2006, we reorganized our business and internal reporting to manage it as two reportable segments with operating results reported separately for each segment. The two reportable segments are: </w:t>
      </w:r>
    </w:p>
    <w:tbl>
      <w:tblPr>
        <w:tblW w:w="5000" w:type="pct"/>
        <w:jc w:val="left"/>
        <w:tblInd w:w="0" w:type="dxa"/>
        <w:tblCellMar>
          <w:top w:w="0" w:type="dxa"/>
          <w:left w:w="0" w:type="dxa"/>
          <w:bottom w:w="0" w:type="dxa"/>
          <w:right w:w="0" w:type="dxa"/>
        </w:tblCellMar>
      </w:tblPr>
      <w:tblGrid>
        <w:gridCol w:w="202"/>
        <w:gridCol w:w="305"/>
        <w:gridCol w:w="101"/>
        <w:gridCol w:w="9597"/>
      </w:tblGrid>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EZPAWN Operations: This segment offers pawn loans and related sales in all 294 domestic and four Mexico pawn stores and offers signature loans in six EZMONEY stores and 75 of our domestic pawn stores.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EZMONEY Operations: This segment offers signature loans in 427 of our EZMONEY stores.</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There are no inter-segment revenues, and the amounts below were determined in accordance with the same accounting principles used in our consolidated financial statements. The following tables present operating segment information: </w:t>
      </w:r>
    </w:p>
    <w:tbl>
      <w:tblPr>
        <w:tblW w:w="5000" w:type="pct"/>
        <w:jc w:val="center"/>
        <w:tblInd w:w="0" w:type="dxa"/>
        <w:tblCellMar>
          <w:top w:w="0" w:type="dxa"/>
          <w:left w:w="0" w:type="dxa"/>
          <w:bottom w:w="0" w:type="dxa"/>
          <w:right w:w="0" w:type="dxa"/>
        </w:tblCellMar>
      </w:tblPr>
      <w:tblGrid>
        <w:gridCol w:w="5086"/>
        <w:gridCol w:w="370"/>
        <w:gridCol w:w="175"/>
        <w:gridCol w:w="963"/>
        <w:gridCol w:w="107"/>
        <w:gridCol w:w="370"/>
        <w:gridCol w:w="193"/>
        <w:gridCol w:w="1062"/>
        <w:gridCol w:w="107"/>
        <w:gridCol w:w="370"/>
        <w:gridCol w:w="198"/>
        <w:gridCol w:w="1089"/>
        <w:gridCol w:w="115"/>
      </w:tblGrid>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jc w:val="right"/>
              <w:rPr/>
            </w:pPr>
            <w:r>
              <w:rPr/>
              <w:t>EZPAWN</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jc w:val="right"/>
              <w:rPr/>
            </w:pPr>
            <w:r>
              <w:rPr/>
              <w:t>EZMONEY</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38"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right"/>
              <w:rPr/>
            </w:pPr>
            <w:r>
              <w:rPr/>
              <w:t>Consolidated</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4634" w:type="dxa"/>
            <w:gridSpan w:val="10"/>
            <w:tcBorders/>
            <w:shd w:fill="auto" w:val="clear"/>
            <w:vAlign w:val="bottom"/>
          </w:tcPr>
          <w:p>
            <w:pPr>
              <w:pStyle w:val="TableContents"/>
              <w:spacing w:before="0" w:after="283"/>
              <w:jc w:val="center"/>
              <w:rPr>
                <w:i/>
              </w:rPr>
            </w:pPr>
            <w:r>
              <w:rPr>
                <w:i/>
              </w:rPr>
              <w:t>(in thousands)</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Year Ended September 30, 2007:</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Revenues:</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Sales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63" w:type="dxa"/>
            <w:tcBorders/>
            <w:shd w:fill="CCEEFF" w:val="clear"/>
            <w:vAlign w:val="bottom"/>
          </w:tcPr>
          <w:p>
            <w:pPr>
              <w:pStyle w:val="TableContents"/>
              <w:spacing w:before="0" w:after="283"/>
              <w:jc w:val="right"/>
              <w:rPr/>
            </w:pPr>
            <w:r>
              <w:rPr/>
              <w:t>192,987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62"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089" w:type="dxa"/>
            <w:tcBorders/>
            <w:shd w:fill="CCEEFF" w:val="clear"/>
            <w:vAlign w:val="bottom"/>
          </w:tcPr>
          <w:p>
            <w:pPr>
              <w:pStyle w:val="TableContents"/>
              <w:spacing w:before="0" w:after="283"/>
              <w:jc w:val="right"/>
              <w:rPr/>
            </w:pPr>
            <w:r>
              <w:rPr/>
              <w:t>192,987</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Pawn service charges</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73,551</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73,551</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Signature loan fees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3,314</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101,033</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104,347</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Other</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1,330</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1,330</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revenues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271,182</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101,033</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372,215</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Cost of goods sold</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118,007</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118,007</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Net revenues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153,175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101,033</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254,208</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Store operating expenses:</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Operations expense</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87,555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41,047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128,602</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Signature loan bad debt</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1,390</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27,118</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28,508</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store operating expenses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88,945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68,165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157,110</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bottom"/>
          </w:tcPr>
          <w:p>
            <w:pPr>
              <w:pStyle w:val="TableContents"/>
              <w:spacing w:before="0" w:after="0"/>
              <w:ind w:left="675" w:right="0" w:hanging="225"/>
              <w:rPr/>
            </w:pPr>
            <w:r>
              <w:rPr/>
              <w:t>Store operating income</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64,230</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62" w:type="dxa"/>
            <w:tcBorders/>
            <w:shd w:fill="auto" w:val="clear"/>
            <w:vAlign w:val="bottom"/>
          </w:tcPr>
          <w:p>
            <w:pPr>
              <w:pStyle w:val="TableContents"/>
              <w:spacing w:before="0" w:after="283"/>
              <w:jc w:val="right"/>
              <w:rPr/>
            </w:pPr>
            <w:r>
              <w:rPr/>
              <w:t>32,868</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089" w:type="dxa"/>
            <w:tcBorders/>
            <w:shd w:fill="auto" w:val="clear"/>
            <w:vAlign w:val="bottom"/>
          </w:tcPr>
          <w:p>
            <w:pPr>
              <w:pStyle w:val="TableContents"/>
              <w:spacing w:before="0" w:after="283"/>
              <w:jc w:val="right"/>
              <w:rPr/>
            </w:pPr>
            <w:r>
              <w:rPr/>
              <w:t>97,098</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69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5086"/>
        <w:gridCol w:w="370"/>
        <w:gridCol w:w="175"/>
        <w:gridCol w:w="963"/>
        <w:gridCol w:w="107"/>
        <w:gridCol w:w="370"/>
        <w:gridCol w:w="212"/>
        <w:gridCol w:w="1043"/>
        <w:gridCol w:w="107"/>
        <w:gridCol w:w="370"/>
        <w:gridCol w:w="198"/>
        <w:gridCol w:w="1089"/>
        <w:gridCol w:w="115"/>
      </w:tblGrid>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jc w:val="right"/>
              <w:rPr/>
            </w:pPr>
            <w:r>
              <w:rPr/>
              <w:t>EZPAWN</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jc w:val="right"/>
              <w:rPr/>
            </w:pPr>
            <w:r>
              <w:rPr/>
              <w:t>EZMONEY</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38"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right"/>
              <w:rPr/>
            </w:pPr>
            <w:r>
              <w:rPr/>
              <w:t>Consolidated</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4634" w:type="dxa"/>
            <w:gridSpan w:val="10"/>
            <w:tcBorders/>
            <w:shd w:fill="auto" w:val="clear"/>
            <w:vAlign w:val="bottom"/>
          </w:tcPr>
          <w:p>
            <w:pPr>
              <w:pStyle w:val="TableContents"/>
              <w:spacing w:before="0" w:after="283"/>
              <w:jc w:val="center"/>
              <w:rPr>
                <w:i/>
              </w:rPr>
            </w:pPr>
            <w:r>
              <w:rPr>
                <w:i/>
              </w:rPr>
              <w:t>(in thousands)</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Year Ended September 30, 2006:</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Revenues:</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pPr>
            <w:r>
              <w:rPr/>
              <w:t>Sales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63" w:type="dxa"/>
            <w:tcBorders/>
            <w:shd w:fill="CCEEFF" w:val="clear"/>
            <w:vAlign w:val="bottom"/>
          </w:tcPr>
          <w:p>
            <w:pPr>
              <w:pStyle w:val="TableContents"/>
              <w:spacing w:before="0" w:after="283"/>
              <w:jc w:val="right"/>
              <w:rPr/>
            </w:pPr>
            <w:r>
              <w:rPr/>
              <w:t>177,424</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089" w:type="dxa"/>
            <w:tcBorders/>
            <w:shd w:fill="CCEEFF" w:val="clear"/>
            <w:vAlign w:val="bottom"/>
          </w:tcPr>
          <w:p>
            <w:pPr>
              <w:pStyle w:val="TableContents"/>
              <w:spacing w:before="0" w:after="283"/>
              <w:jc w:val="right"/>
              <w:rPr/>
            </w:pPr>
            <w:r>
              <w:rPr/>
              <w:t>177,424</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Pawn service charges</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65,325</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65,325</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pPr>
            <w:r>
              <w:rPr/>
              <w:t>Signature loan fees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3,155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68,685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71,840</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Other</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1,263</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1,263</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pPr>
            <w:r>
              <w:rPr/>
              <w:t>Total revenues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247,167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68,685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315,852</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Cost of goods sold</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106,873</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106,873</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pPr>
            <w:r>
              <w:rPr/>
              <w:t>Net revenues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140,294</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68,685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208,979</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Store operating expenses:</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pPr>
            <w:r>
              <w:rPr/>
              <w:t>Operations expense</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84,830</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26,908</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111,738</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Signature loan bad debt</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1,286</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16,611</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17,897</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pPr>
            <w:r>
              <w:rPr/>
              <w:t>Total store operating expenses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86,116</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43,519</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129,635</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Store operating income</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54,178</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25,166</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089" w:type="dxa"/>
            <w:tcBorders/>
            <w:shd w:fill="auto" w:val="clear"/>
            <w:vAlign w:val="bottom"/>
          </w:tcPr>
          <w:p>
            <w:pPr>
              <w:pStyle w:val="TableContents"/>
              <w:spacing w:before="0" w:after="283"/>
              <w:jc w:val="right"/>
              <w:rPr/>
            </w:pPr>
            <w:r>
              <w:rPr/>
              <w:t>79,344</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Year Ended September 30, 2005:</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Revenues:</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Sales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963" w:type="dxa"/>
            <w:tcBorders/>
            <w:shd w:fill="CCEEFF" w:val="clear"/>
            <w:vAlign w:val="bottom"/>
          </w:tcPr>
          <w:p>
            <w:pPr>
              <w:pStyle w:val="TableContents"/>
              <w:spacing w:before="0" w:after="283"/>
              <w:jc w:val="right"/>
              <w:rPr/>
            </w:pPr>
            <w:r>
              <w:rPr/>
              <w:t>148,410</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089" w:type="dxa"/>
            <w:tcBorders/>
            <w:shd w:fill="CCEEFF" w:val="clear"/>
            <w:vAlign w:val="bottom"/>
          </w:tcPr>
          <w:p>
            <w:pPr>
              <w:pStyle w:val="TableContents"/>
              <w:spacing w:before="0" w:after="283"/>
              <w:jc w:val="right"/>
              <w:rPr/>
            </w:pPr>
            <w:r>
              <w:rPr/>
              <w:t>148,410</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Pawn service charges</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62,274</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62,274</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Signature loan fees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5,664</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36,536</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42,200</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Other</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1,275</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1,275</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revenues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217,623</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36,536</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254,159</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Cost of goods sold</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90,678</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90,678</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Net revenues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126,945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36,536</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163,481</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Store operating expenses:</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Operations expense</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81,406</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15,673</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97,079</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Signature loan bad debt</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pPr>
            <w:r>
              <w:rPr/>
              <w:t>1,346</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11,654</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13,000</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store operating expenses</w:t>
            </w:r>
          </w:p>
        </w:tc>
        <w:tc>
          <w:tcPr>
            <w:tcW w:w="37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pPr>
            <w:r>
              <w:rPr/>
              <w:t>82,752</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27,327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110,079</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bottom"/>
          </w:tcPr>
          <w:p>
            <w:pPr>
              <w:pStyle w:val="TableContents"/>
              <w:spacing w:before="0" w:after="0"/>
              <w:ind w:left="675" w:right="0" w:hanging="225"/>
              <w:rPr/>
            </w:pPr>
            <w:r>
              <w:rPr/>
              <w:t>Store operating income</w:t>
            </w:r>
          </w:p>
        </w:tc>
        <w:tc>
          <w:tcPr>
            <w:tcW w:w="37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963" w:type="dxa"/>
            <w:tcBorders/>
            <w:shd w:fill="auto" w:val="clear"/>
            <w:vAlign w:val="bottom"/>
          </w:tcPr>
          <w:p>
            <w:pPr>
              <w:pStyle w:val="TableContents"/>
              <w:spacing w:before="0" w:after="283"/>
              <w:jc w:val="right"/>
              <w:rPr/>
            </w:pPr>
            <w:r>
              <w:rPr/>
              <w:t>44,193</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9,209</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089" w:type="dxa"/>
            <w:tcBorders/>
            <w:shd w:fill="auto" w:val="clear"/>
            <w:vAlign w:val="bottom"/>
          </w:tcPr>
          <w:p>
            <w:pPr>
              <w:pStyle w:val="TableContents"/>
              <w:spacing w:before="0" w:after="283"/>
              <w:jc w:val="right"/>
              <w:rPr/>
            </w:pPr>
            <w:r>
              <w:rPr/>
              <w:t>53,402</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reconciles store operating income, as shown above, to our consolidated income before income taxes: </w:t>
      </w:r>
    </w:p>
    <w:tbl>
      <w:tblPr>
        <w:tblW w:w="5000" w:type="pct"/>
        <w:jc w:val="center"/>
        <w:tblInd w:w="0" w:type="dxa"/>
        <w:tblCellMar>
          <w:top w:w="0" w:type="dxa"/>
          <w:left w:w="0" w:type="dxa"/>
          <w:bottom w:w="0" w:type="dxa"/>
          <w:right w:w="0" w:type="dxa"/>
        </w:tblCellMar>
      </w:tblPr>
      <w:tblGrid>
        <w:gridCol w:w="5957"/>
        <w:gridCol w:w="450"/>
        <w:gridCol w:w="141"/>
        <w:gridCol w:w="700"/>
        <w:gridCol w:w="123"/>
        <w:gridCol w:w="450"/>
        <w:gridCol w:w="141"/>
        <w:gridCol w:w="700"/>
        <w:gridCol w:w="123"/>
        <w:gridCol w:w="450"/>
        <w:gridCol w:w="140"/>
        <w:gridCol w:w="700"/>
        <w:gridCol w:w="130"/>
      </w:tblGrid>
      <w:tr>
        <w:trPr/>
        <w:tc>
          <w:tcPr>
            <w:tcW w:w="595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595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668" w:type="dxa"/>
            <w:gridSpan w:val="10"/>
            <w:tcBorders>
              <w:bottom w:val="single" w:sz="2" w:space="0" w:color="000000"/>
            </w:tcBorders>
            <w:shd w:fill="auto" w:val="clear"/>
            <w:tcMar>
              <w:bottom w:w="28" w:type="dxa"/>
            </w:tcMar>
            <w:vAlign w:val="bottom"/>
          </w:tcPr>
          <w:p>
            <w:pPr>
              <w:pStyle w:val="TableContents"/>
              <w:spacing w:before="0" w:after="283"/>
              <w:jc w:val="center"/>
              <w:rPr/>
            </w:pPr>
            <w:r>
              <w:rPr/>
              <w:t>Year Ended September 30,</w:t>
            </w:r>
          </w:p>
        </w:tc>
        <w:tc>
          <w:tcPr>
            <w:tcW w:w="130" w:type="dxa"/>
            <w:tcBorders/>
            <w:shd w:fill="auto" w:val="clear"/>
            <w:vAlign w:val="bottom"/>
          </w:tcPr>
          <w:p>
            <w:pPr>
              <w:pStyle w:val="TableContents"/>
              <w:spacing w:before="0" w:after="283"/>
              <w:rPr/>
            </w:pPr>
            <w:r>
              <w:rPr/>
              <w:t> </w:t>
            </w:r>
          </w:p>
        </w:tc>
      </w:tr>
      <w:tr>
        <w:trPr/>
        <w:tc>
          <w:tcPr>
            <w:tcW w:w="595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right"/>
              <w:rPr/>
            </w:pPr>
            <w:r>
              <w:rPr/>
              <w:t>2005</w:t>
            </w:r>
          </w:p>
        </w:tc>
        <w:tc>
          <w:tcPr>
            <w:tcW w:w="12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2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840"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30" w:type="dxa"/>
            <w:tcBorders/>
            <w:shd w:fill="auto" w:val="clear"/>
            <w:vAlign w:val="bottom"/>
          </w:tcPr>
          <w:p>
            <w:pPr>
              <w:pStyle w:val="TableContents"/>
              <w:spacing w:before="0" w:after="283"/>
              <w:rPr/>
            </w:pPr>
            <w:r>
              <w:rPr/>
              <w:t> </w:t>
            </w:r>
          </w:p>
        </w:tc>
      </w:tr>
      <w:tr>
        <w:trPr/>
        <w:tc>
          <w:tcPr>
            <w:tcW w:w="595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3668" w:type="dxa"/>
            <w:gridSpan w:val="10"/>
            <w:tcBorders/>
            <w:shd w:fill="auto" w:val="clear"/>
            <w:vAlign w:val="bottom"/>
          </w:tcPr>
          <w:p>
            <w:pPr>
              <w:pStyle w:val="TableContents"/>
              <w:spacing w:before="0" w:after="283"/>
              <w:jc w:val="center"/>
              <w:rPr>
                <w:i/>
              </w:rPr>
            </w:pPr>
            <w:r>
              <w:rPr>
                <w:i/>
              </w:rPr>
              <w:t>(in thousands)</w:t>
            </w:r>
          </w:p>
        </w:tc>
        <w:tc>
          <w:tcPr>
            <w:tcW w:w="130" w:type="dxa"/>
            <w:tcBorders/>
            <w:shd w:fill="auto" w:val="clear"/>
            <w:vAlign w:val="bottom"/>
          </w:tcPr>
          <w:p>
            <w:pPr>
              <w:pStyle w:val="TableContents"/>
              <w:spacing w:before="0" w:after="283"/>
              <w:rPr/>
            </w:pPr>
            <w:r>
              <w:rPr/>
              <w:t> </w:t>
            </w:r>
          </w:p>
        </w:tc>
      </w:tr>
      <w:tr>
        <w:trPr/>
        <w:tc>
          <w:tcPr>
            <w:tcW w:w="5957" w:type="dxa"/>
            <w:tcBorders/>
            <w:shd w:fill="CCEEFF" w:val="clear"/>
            <w:vAlign w:val="bottom"/>
          </w:tcPr>
          <w:p>
            <w:pPr>
              <w:pStyle w:val="TableContents"/>
              <w:spacing w:before="0" w:after="0"/>
              <w:ind w:left="225" w:right="0" w:hanging="225"/>
              <w:rPr/>
            </w:pPr>
            <w:r>
              <w:rPr/>
              <w:t>Consolidated store operating income</w:t>
            </w:r>
          </w:p>
        </w:tc>
        <w:tc>
          <w:tcPr>
            <w:tcW w:w="45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53,402</w:t>
            </w:r>
          </w:p>
        </w:tc>
        <w:tc>
          <w:tcPr>
            <w:tcW w:w="123"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79,344</w:t>
            </w:r>
          </w:p>
        </w:tc>
        <w:tc>
          <w:tcPr>
            <w:tcW w:w="123"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97,098</w:t>
            </w:r>
          </w:p>
        </w:tc>
        <w:tc>
          <w:tcPr>
            <w:tcW w:w="130" w:type="dxa"/>
            <w:tcBorders/>
            <w:shd w:fill="CCEEFF" w:val="clear"/>
            <w:vAlign w:val="bottom"/>
          </w:tcPr>
          <w:p>
            <w:pPr>
              <w:pStyle w:val="TableContents"/>
              <w:spacing w:before="0" w:after="283"/>
              <w:rPr/>
            </w:pPr>
            <w:r>
              <w:rPr/>
              <w:t> </w:t>
            </w:r>
          </w:p>
        </w:tc>
      </w:tr>
      <w:tr>
        <w:trPr/>
        <w:tc>
          <w:tcPr>
            <w:tcW w:w="5957" w:type="dxa"/>
            <w:tcBorders/>
            <w:shd w:fill="auto" w:val="clear"/>
            <w:vAlign w:val="bottom"/>
          </w:tcPr>
          <w:p>
            <w:pPr>
              <w:pStyle w:val="TableContents"/>
              <w:spacing w:before="0" w:after="0"/>
              <w:ind w:left="225" w:right="0" w:hanging="225"/>
              <w:rPr/>
            </w:pPr>
            <w:r>
              <w:rPr/>
              <w:t>Administrative expenses</w:t>
            </w:r>
          </w:p>
        </w:tc>
        <w:tc>
          <w:tcPr>
            <w:tcW w:w="45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23,067</w:t>
            </w:r>
          </w:p>
        </w:tc>
        <w:tc>
          <w:tcPr>
            <w:tcW w:w="12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27,749</w:t>
            </w:r>
          </w:p>
        </w:tc>
        <w:tc>
          <w:tcPr>
            <w:tcW w:w="12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31,749</w:t>
            </w:r>
          </w:p>
        </w:tc>
        <w:tc>
          <w:tcPr>
            <w:tcW w:w="130" w:type="dxa"/>
            <w:tcBorders/>
            <w:shd w:fill="auto" w:val="clear"/>
            <w:vAlign w:val="bottom"/>
          </w:tcPr>
          <w:p>
            <w:pPr>
              <w:pStyle w:val="TableContents"/>
              <w:spacing w:before="0" w:after="283"/>
              <w:rPr/>
            </w:pPr>
            <w:r>
              <w:rPr/>
              <w:t> </w:t>
            </w:r>
          </w:p>
        </w:tc>
      </w:tr>
      <w:tr>
        <w:trPr/>
        <w:tc>
          <w:tcPr>
            <w:tcW w:w="5957" w:type="dxa"/>
            <w:tcBorders/>
            <w:shd w:fill="CCEEFF" w:val="clear"/>
            <w:vAlign w:val="bottom"/>
          </w:tcPr>
          <w:p>
            <w:pPr>
              <w:pStyle w:val="TableContents"/>
              <w:spacing w:before="0" w:after="0"/>
              <w:ind w:left="225" w:right="0" w:hanging="225"/>
              <w:rPr/>
            </w:pPr>
            <w:r>
              <w:rPr/>
              <w:t>Depreciation and amortization</w:t>
            </w:r>
          </w:p>
        </w:tc>
        <w:tc>
          <w:tcPr>
            <w:tcW w:w="45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8,104</w:t>
            </w:r>
          </w:p>
        </w:tc>
        <w:tc>
          <w:tcPr>
            <w:tcW w:w="123"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8,610</w:t>
            </w:r>
          </w:p>
        </w:tc>
        <w:tc>
          <w:tcPr>
            <w:tcW w:w="123"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9,812</w:t>
            </w:r>
          </w:p>
        </w:tc>
        <w:tc>
          <w:tcPr>
            <w:tcW w:w="130" w:type="dxa"/>
            <w:tcBorders/>
            <w:shd w:fill="CCEEFF" w:val="clear"/>
            <w:vAlign w:val="bottom"/>
          </w:tcPr>
          <w:p>
            <w:pPr>
              <w:pStyle w:val="TableContents"/>
              <w:spacing w:before="0" w:after="283"/>
              <w:rPr/>
            </w:pPr>
            <w:r>
              <w:rPr/>
              <w:t> </w:t>
            </w:r>
          </w:p>
        </w:tc>
      </w:tr>
      <w:tr>
        <w:trPr/>
        <w:tc>
          <w:tcPr>
            <w:tcW w:w="5957" w:type="dxa"/>
            <w:tcBorders/>
            <w:shd w:fill="auto" w:val="clear"/>
            <w:vAlign w:val="bottom"/>
          </w:tcPr>
          <w:p>
            <w:pPr>
              <w:pStyle w:val="TableContents"/>
              <w:spacing w:before="0" w:after="0"/>
              <w:ind w:left="225" w:right="0" w:hanging="225"/>
              <w:rPr/>
            </w:pPr>
            <w:r>
              <w:rPr/>
              <w:t>Interest income</w:t>
            </w:r>
          </w:p>
        </w:tc>
        <w:tc>
          <w:tcPr>
            <w:tcW w:w="45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(245</w:t>
            </w:r>
          </w:p>
        </w:tc>
        <w:tc>
          <w:tcPr>
            <w:tcW w:w="123"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(520</w:t>
            </w:r>
          </w:p>
        </w:tc>
        <w:tc>
          <w:tcPr>
            <w:tcW w:w="123"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(1,654</w:t>
            </w:r>
          </w:p>
        </w:tc>
        <w:tc>
          <w:tcPr>
            <w:tcW w:w="130" w:type="dxa"/>
            <w:tcBorders/>
            <w:shd w:fill="auto" w:val="clear"/>
            <w:vAlign w:val="bottom"/>
          </w:tcPr>
          <w:p>
            <w:pPr>
              <w:pStyle w:val="TableContents"/>
              <w:spacing w:before="0" w:after="283"/>
              <w:rPr/>
            </w:pPr>
            <w:r>
              <w:rPr/>
              <w:t>)</w:t>
            </w:r>
          </w:p>
        </w:tc>
      </w:tr>
      <w:tr>
        <w:trPr/>
        <w:tc>
          <w:tcPr>
            <w:tcW w:w="5957" w:type="dxa"/>
            <w:tcBorders/>
            <w:shd w:fill="CCEEFF" w:val="clear"/>
            <w:vAlign w:val="bottom"/>
          </w:tcPr>
          <w:p>
            <w:pPr>
              <w:pStyle w:val="TableContents"/>
              <w:spacing w:before="0" w:after="0"/>
              <w:ind w:left="225" w:right="0" w:hanging="225"/>
              <w:rPr/>
            </w:pPr>
            <w:r>
              <w:rPr/>
              <w:t>Interest expense</w:t>
            </w:r>
          </w:p>
        </w:tc>
        <w:tc>
          <w:tcPr>
            <w:tcW w:w="45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1,520</w:t>
            </w:r>
          </w:p>
        </w:tc>
        <w:tc>
          <w:tcPr>
            <w:tcW w:w="123"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441</w:t>
            </w:r>
          </w:p>
        </w:tc>
        <w:tc>
          <w:tcPr>
            <w:tcW w:w="123"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281</w:t>
            </w:r>
          </w:p>
        </w:tc>
        <w:tc>
          <w:tcPr>
            <w:tcW w:w="130" w:type="dxa"/>
            <w:tcBorders/>
            <w:shd w:fill="CCEEFF" w:val="clear"/>
            <w:vAlign w:val="bottom"/>
          </w:tcPr>
          <w:p>
            <w:pPr>
              <w:pStyle w:val="TableContents"/>
              <w:spacing w:before="0" w:after="283"/>
              <w:rPr/>
            </w:pPr>
            <w:r>
              <w:rPr/>
              <w:t> </w:t>
            </w:r>
          </w:p>
        </w:tc>
      </w:tr>
      <w:tr>
        <w:trPr/>
        <w:tc>
          <w:tcPr>
            <w:tcW w:w="5957" w:type="dxa"/>
            <w:tcBorders/>
            <w:shd w:fill="auto" w:val="clear"/>
            <w:vAlign w:val="bottom"/>
          </w:tcPr>
          <w:p>
            <w:pPr>
              <w:pStyle w:val="TableContents"/>
              <w:spacing w:before="0" w:after="0"/>
              <w:ind w:left="225" w:right="0" w:hanging="225"/>
              <w:rPr/>
            </w:pPr>
            <w:r>
              <w:rPr/>
              <w:t>Equity in net income of unconsolidated affiliate</w:t>
            </w:r>
          </w:p>
        </w:tc>
        <w:tc>
          <w:tcPr>
            <w:tcW w:w="45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(2,173</w:t>
            </w:r>
          </w:p>
        </w:tc>
        <w:tc>
          <w:tcPr>
            <w:tcW w:w="123"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(2,433</w:t>
            </w:r>
          </w:p>
        </w:tc>
        <w:tc>
          <w:tcPr>
            <w:tcW w:w="123"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(2,945</w:t>
            </w:r>
          </w:p>
        </w:tc>
        <w:tc>
          <w:tcPr>
            <w:tcW w:w="130" w:type="dxa"/>
            <w:tcBorders/>
            <w:shd w:fill="auto" w:val="clear"/>
            <w:vAlign w:val="bottom"/>
          </w:tcPr>
          <w:p>
            <w:pPr>
              <w:pStyle w:val="TableContents"/>
              <w:spacing w:before="0" w:after="283"/>
              <w:rPr/>
            </w:pPr>
            <w:r>
              <w:rPr/>
              <w:t>)</w:t>
            </w:r>
          </w:p>
        </w:tc>
      </w:tr>
      <w:tr>
        <w:trPr/>
        <w:tc>
          <w:tcPr>
            <w:tcW w:w="5957" w:type="dxa"/>
            <w:tcBorders/>
            <w:shd w:fill="CCEEFF" w:val="clear"/>
            <w:vAlign w:val="bottom"/>
          </w:tcPr>
          <w:p>
            <w:pPr>
              <w:pStyle w:val="TableContents"/>
              <w:spacing w:before="0" w:after="0"/>
              <w:ind w:left="225" w:right="0" w:hanging="225"/>
              <w:rPr/>
            </w:pPr>
            <w:r>
              <w:rPr/>
              <w:t>(Gain) / loss on sale / disposal of assets</w:t>
            </w:r>
          </w:p>
        </w:tc>
        <w:tc>
          <w:tcPr>
            <w:tcW w:w="45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79</w:t>
            </w:r>
          </w:p>
        </w:tc>
        <w:tc>
          <w:tcPr>
            <w:tcW w:w="123"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700" w:type="dxa"/>
            <w:tcBorders/>
            <w:shd w:fill="CCEEFF" w:val="clear"/>
            <w:vAlign w:val="bottom"/>
          </w:tcPr>
          <w:p>
            <w:pPr>
              <w:pStyle w:val="TableContents"/>
              <w:spacing w:before="0" w:after="283"/>
              <w:jc w:val="right"/>
              <w:rPr/>
            </w:pPr>
            <w:r>
              <w:rPr/>
              <w:t>(7</w:t>
            </w:r>
          </w:p>
        </w:tc>
        <w:tc>
          <w:tcPr>
            <w:tcW w:w="123" w:type="dxa"/>
            <w:tcBorders/>
            <w:shd w:fill="CCEEFF" w:val="clear"/>
            <w:vAlign w:val="bottom"/>
          </w:tcPr>
          <w:p>
            <w:pPr>
              <w:pStyle w:val="TableContents"/>
              <w:spacing w:before="0" w:after="283"/>
              <w:rPr/>
            </w:pPr>
            <w:r>
              <w:rPr/>
              <w:t>)</w:t>
            </w:r>
          </w:p>
        </w:tc>
        <w:tc>
          <w:tcPr>
            <w:tcW w:w="45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00" w:type="dxa"/>
            <w:tcBorders/>
            <w:shd w:fill="CCEEFF" w:val="clear"/>
            <w:vAlign w:val="bottom"/>
          </w:tcPr>
          <w:p>
            <w:pPr>
              <w:pStyle w:val="TableContents"/>
              <w:spacing w:before="0" w:after="283"/>
              <w:jc w:val="right"/>
              <w:rPr/>
            </w:pPr>
            <w:r>
              <w:rPr/>
              <w:t>(72</w:t>
            </w:r>
          </w:p>
        </w:tc>
        <w:tc>
          <w:tcPr>
            <w:tcW w:w="130" w:type="dxa"/>
            <w:tcBorders/>
            <w:shd w:fill="CCEEFF" w:val="clear"/>
            <w:vAlign w:val="bottom"/>
          </w:tcPr>
          <w:p>
            <w:pPr>
              <w:pStyle w:val="TableContents"/>
              <w:spacing w:before="0" w:after="283"/>
              <w:rPr/>
            </w:pPr>
            <w:r>
              <w:rPr/>
              <w:t>)</w:t>
            </w:r>
          </w:p>
        </w:tc>
      </w:tr>
      <w:tr>
        <w:trPr/>
        <w:tc>
          <w:tcPr>
            <w:tcW w:w="5957"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5957" w:type="dxa"/>
            <w:tcBorders/>
            <w:shd w:fill="auto" w:val="clear"/>
            <w:vAlign w:val="bottom"/>
          </w:tcPr>
          <w:p>
            <w:pPr>
              <w:pStyle w:val="TableContents"/>
              <w:spacing w:before="0" w:after="0"/>
              <w:ind w:left="225" w:right="0" w:hanging="225"/>
              <w:rPr/>
            </w:pPr>
            <w:r>
              <w:rPr/>
              <w:t>Consolidated income before income taxes</w:t>
            </w:r>
          </w:p>
        </w:tc>
        <w:tc>
          <w:tcPr>
            <w:tcW w:w="45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23,050</w:t>
            </w:r>
          </w:p>
        </w:tc>
        <w:tc>
          <w:tcPr>
            <w:tcW w:w="12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45,504</w:t>
            </w:r>
          </w:p>
        </w:tc>
        <w:tc>
          <w:tcPr>
            <w:tcW w:w="12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700" w:type="dxa"/>
            <w:tcBorders/>
            <w:shd w:fill="auto" w:val="clear"/>
            <w:vAlign w:val="bottom"/>
          </w:tcPr>
          <w:p>
            <w:pPr>
              <w:pStyle w:val="TableContents"/>
              <w:spacing w:before="0" w:after="283"/>
              <w:jc w:val="right"/>
              <w:rPr/>
            </w:pPr>
            <w:r>
              <w:rPr/>
              <w:t>59,927</w:t>
            </w:r>
          </w:p>
        </w:tc>
        <w:tc>
          <w:tcPr>
            <w:tcW w:w="130" w:type="dxa"/>
            <w:tcBorders/>
            <w:shd w:fill="auto" w:val="clear"/>
            <w:vAlign w:val="bottom"/>
          </w:tcPr>
          <w:p>
            <w:pPr>
              <w:pStyle w:val="TableContents"/>
              <w:spacing w:before="0" w:after="283"/>
              <w:rPr/>
            </w:pPr>
            <w:r>
              <w:rPr/>
              <w:t> </w:t>
            </w:r>
          </w:p>
        </w:tc>
      </w:tr>
      <w:tr>
        <w:trPr/>
        <w:tc>
          <w:tcPr>
            <w:tcW w:w="5957"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8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70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separately identified segment assets: </w:t>
      </w:r>
    </w:p>
    <w:tbl>
      <w:tblPr>
        <w:tblW w:w="5000" w:type="pct"/>
        <w:jc w:val="center"/>
        <w:tblInd w:w="0" w:type="dxa"/>
        <w:tblCellMar>
          <w:top w:w="0" w:type="dxa"/>
          <w:left w:w="0" w:type="dxa"/>
          <w:bottom w:w="0" w:type="dxa"/>
          <w:right w:w="0" w:type="dxa"/>
        </w:tblCellMar>
      </w:tblPr>
      <w:tblGrid>
        <w:gridCol w:w="5086"/>
        <w:gridCol w:w="370"/>
        <w:gridCol w:w="191"/>
        <w:gridCol w:w="947"/>
        <w:gridCol w:w="107"/>
        <w:gridCol w:w="370"/>
        <w:gridCol w:w="212"/>
        <w:gridCol w:w="1043"/>
        <w:gridCol w:w="107"/>
        <w:gridCol w:w="370"/>
        <w:gridCol w:w="198"/>
        <w:gridCol w:w="1089"/>
        <w:gridCol w:w="115"/>
      </w:tblGrid>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jc w:val="right"/>
              <w:rPr/>
            </w:pPr>
            <w:r>
              <w:rPr/>
              <w:t>EZPAWN</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jc w:val="right"/>
              <w:rPr/>
            </w:pPr>
            <w:r>
              <w:rPr/>
              <w:t>EZMONEY</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38"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right"/>
              <w:rPr/>
            </w:pPr>
            <w:r>
              <w:rPr/>
              <w:t>Consolidated</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4634" w:type="dxa"/>
            <w:gridSpan w:val="10"/>
            <w:tcBorders/>
            <w:shd w:fill="auto" w:val="clear"/>
            <w:vAlign w:val="bottom"/>
          </w:tcPr>
          <w:p>
            <w:pPr>
              <w:pStyle w:val="TableContents"/>
              <w:spacing w:before="0" w:after="283"/>
              <w:jc w:val="center"/>
              <w:rPr>
                <w:i/>
              </w:rPr>
            </w:pPr>
            <w:r>
              <w:rPr>
                <w:i/>
              </w:rPr>
              <w:t>(in thousands)</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Assets at September 30, 2007:</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Pawn loans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60,742</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089" w:type="dxa"/>
            <w:tcBorders/>
            <w:shd w:fill="auto" w:val="clear"/>
            <w:vAlign w:val="bottom"/>
          </w:tcPr>
          <w:p>
            <w:pPr>
              <w:pStyle w:val="TableContents"/>
              <w:spacing w:before="0" w:after="283"/>
              <w:jc w:val="right"/>
              <w:rPr/>
            </w:pPr>
            <w:r>
              <w:rPr/>
              <w:t>60,742</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Payday loans, net</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457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4,357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4,814</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Inventory, net</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37,942</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37,942</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separately identified recorded segment assets</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99,141</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4,357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089" w:type="dxa"/>
            <w:tcBorders/>
            <w:shd w:fill="CCEEFF" w:val="clear"/>
            <w:vAlign w:val="bottom"/>
          </w:tcPr>
          <w:p>
            <w:pPr>
              <w:pStyle w:val="TableContents"/>
              <w:spacing w:before="0" w:after="283"/>
              <w:jc w:val="right"/>
              <w:rPr/>
            </w:pPr>
            <w:r>
              <w:rPr/>
              <w:t>103,498</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center"/>
          </w:tcPr>
          <w:p>
            <w:pPr>
              <w:pStyle w:val="TableContents"/>
              <w:spacing w:before="0" w:after="283"/>
              <w:rPr/>
            </w:pPr>
            <w:r>
              <w:rPr/>
              <w:t> </w:t>
            </w:r>
          </w:p>
        </w:tc>
        <w:tc>
          <w:tcPr>
            <w:tcW w:w="5119" w:type="dxa"/>
            <w:gridSpan w:val="12"/>
            <w:tcBorders/>
            <w:shd w:fill="auto" w:val="clear"/>
          </w:tcPr>
          <w:p>
            <w:pPr>
              <w:pStyle w:val="TableContents"/>
              <w:spacing w:before="0" w:after="283"/>
              <w:rPr>
                <w:sz w:val="4"/>
                <w:szCs w:val="4"/>
              </w:rPr>
            </w:pPr>
            <w:r>
              <w:rPr>
                <w:sz w:val="4"/>
                <w:szCs w:val="4"/>
              </w:rPr>
            </w:r>
          </w:p>
        </w:tc>
      </w:tr>
      <w:tr>
        <w:trPr/>
        <w:tc>
          <w:tcPr>
            <w:tcW w:w="5086" w:type="dxa"/>
            <w:tcBorders/>
            <w:shd w:fill="auto" w:val="clear"/>
            <w:vAlign w:val="bottom"/>
          </w:tcPr>
          <w:p>
            <w:pPr>
              <w:pStyle w:val="TableContents"/>
              <w:spacing w:before="0" w:after="0"/>
              <w:ind w:left="675" w:right="0" w:hanging="225"/>
              <w:rPr/>
            </w:pPr>
            <w:r>
              <w:rPr/>
              <w:t>Brokered loans outstanding from unaffiliated lenders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477</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22,834</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089" w:type="dxa"/>
            <w:tcBorders/>
            <w:shd w:fill="auto" w:val="clear"/>
            <w:vAlign w:val="bottom"/>
          </w:tcPr>
          <w:p>
            <w:pPr>
              <w:pStyle w:val="TableContents"/>
              <w:spacing w:before="0" w:after="283"/>
              <w:jc w:val="right"/>
              <w:rPr/>
            </w:pPr>
            <w:r>
              <w:rPr/>
              <w:t>23,311</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Assets at September 30, 2006:</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Pawn loans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50,304</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089" w:type="dxa"/>
            <w:tcBorders/>
            <w:shd w:fill="auto" w:val="clear"/>
            <w:vAlign w:val="bottom"/>
          </w:tcPr>
          <w:p>
            <w:pPr>
              <w:pStyle w:val="TableContents"/>
              <w:spacing w:before="0" w:after="283"/>
              <w:jc w:val="right"/>
              <w:rPr/>
            </w:pPr>
            <w:r>
              <w:rPr/>
              <w:t>50,304</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Payday loans, net</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465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1,978</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2,443</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Inventory, net</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35,616</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35,616</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separately identified recorded segment assets</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86,385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1,978</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089" w:type="dxa"/>
            <w:tcBorders/>
            <w:shd w:fill="CCEEFF" w:val="clear"/>
            <w:vAlign w:val="bottom"/>
          </w:tcPr>
          <w:p>
            <w:pPr>
              <w:pStyle w:val="TableContents"/>
              <w:spacing w:before="0" w:after="283"/>
              <w:jc w:val="right"/>
              <w:rPr/>
            </w:pPr>
            <w:r>
              <w:rPr/>
              <w:t>88,363</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center"/>
          </w:tcPr>
          <w:p>
            <w:pPr>
              <w:pStyle w:val="TableContents"/>
              <w:spacing w:before="0" w:after="283"/>
              <w:rPr/>
            </w:pPr>
            <w:r>
              <w:rPr/>
              <w:t> </w:t>
            </w:r>
          </w:p>
        </w:tc>
        <w:tc>
          <w:tcPr>
            <w:tcW w:w="5119" w:type="dxa"/>
            <w:gridSpan w:val="12"/>
            <w:tcBorders/>
            <w:shd w:fill="auto" w:val="clear"/>
          </w:tcPr>
          <w:p>
            <w:pPr>
              <w:pStyle w:val="TableContents"/>
              <w:spacing w:before="0" w:after="283"/>
              <w:rPr>
                <w:sz w:val="4"/>
                <w:szCs w:val="4"/>
              </w:rPr>
            </w:pPr>
            <w:r>
              <w:rPr>
                <w:sz w:val="4"/>
                <w:szCs w:val="4"/>
              </w:rPr>
            </w:r>
          </w:p>
        </w:tc>
      </w:tr>
      <w:tr>
        <w:trPr/>
        <w:tc>
          <w:tcPr>
            <w:tcW w:w="5086" w:type="dxa"/>
            <w:tcBorders/>
            <w:shd w:fill="auto" w:val="clear"/>
            <w:vAlign w:val="bottom"/>
          </w:tcPr>
          <w:p>
            <w:pPr>
              <w:pStyle w:val="TableContents"/>
              <w:spacing w:before="0" w:after="0"/>
              <w:ind w:left="675" w:right="0" w:hanging="225"/>
              <w:rPr/>
            </w:pPr>
            <w:r>
              <w:rPr/>
              <w:t>Brokered loans outstanding from unaffiliated lenders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553</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17,657</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089" w:type="dxa"/>
            <w:tcBorders/>
            <w:shd w:fill="auto" w:val="clear"/>
            <w:vAlign w:val="bottom"/>
          </w:tcPr>
          <w:p>
            <w:pPr>
              <w:pStyle w:val="TableContents"/>
              <w:spacing w:before="0" w:after="283"/>
              <w:jc w:val="right"/>
              <w:rPr/>
            </w:pPr>
            <w:r>
              <w:rPr/>
              <w:t>18,210</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Assets at September 30, 2005:</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Pawn loans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52,864</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089" w:type="dxa"/>
            <w:tcBorders/>
            <w:shd w:fill="auto" w:val="clear"/>
            <w:vAlign w:val="bottom"/>
          </w:tcPr>
          <w:p>
            <w:pPr>
              <w:pStyle w:val="TableContents"/>
              <w:spacing w:before="0" w:after="283"/>
              <w:jc w:val="right"/>
              <w:rPr/>
            </w:pPr>
            <w:r>
              <w:rPr/>
              <w:t>52,864</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Payday loans, net</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779</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855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1,634</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Inventory, net</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30,293</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30,293</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separately identified recorded segment assets</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83,936</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855</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089" w:type="dxa"/>
            <w:tcBorders/>
            <w:shd w:fill="CCEEFF" w:val="clear"/>
            <w:vAlign w:val="bottom"/>
          </w:tcPr>
          <w:p>
            <w:pPr>
              <w:pStyle w:val="TableContents"/>
              <w:spacing w:before="0" w:after="283"/>
              <w:jc w:val="right"/>
              <w:rPr/>
            </w:pPr>
            <w:r>
              <w:rPr/>
              <w:t>84,791</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center"/>
          </w:tcPr>
          <w:p>
            <w:pPr>
              <w:pStyle w:val="TableContents"/>
              <w:spacing w:before="0" w:after="283"/>
              <w:rPr/>
            </w:pPr>
            <w:r>
              <w:rPr/>
              <w:t> </w:t>
            </w:r>
          </w:p>
        </w:tc>
        <w:tc>
          <w:tcPr>
            <w:tcW w:w="5119" w:type="dxa"/>
            <w:gridSpan w:val="12"/>
            <w:tcBorders/>
            <w:shd w:fill="auto" w:val="clear"/>
          </w:tcPr>
          <w:p>
            <w:pPr>
              <w:pStyle w:val="TableContents"/>
              <w:spacing w:before="0" w:after="283"/>
              <w:rPr>
                <w:sz w:val="4"/>
                <w:szCs w:val="4"/>
              </w:rPr>
            </w:pPr>
            <w:r>
              <w:rPr>
                <w:sz w:val="4"/>
                <w:szCs w:val="4"/>
              </w:rPr>
            </w:r>
          </w:p>
        </w:tc>
      </w:tr>
      <w:tr>
        <w:trPr/>
        <w:tc>
          <w:tcPr>
            <w:tcW w:w="5086" w:type="dxa"/>
            <w:tcBorders/>
            <w:shd w:fill="auto" w:val="clear"/>
            <w:vAlign w:val="bottom"/>
          </w:tcPr>
          <w:p>
            <w:pPr>
              <w:pStyle w:val="TableContents"/>
              <w:spacing w:before="0" w:after="0"/>
              <w:ind w:left="675" w:right="0" w:hanging="225"/>
              <w:rPr/>
            </w:pPr>
            <w:r>
              <w:rPr/>
              <w:t>Brokered loans outstanding from unaffiliated lenders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14,270</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089" w:type="dxa"/>
            <w:tcBorders/>
            <w:shd w:fill="auto" w:val="clear"/>
            <w:vAlign w:val="bottom"/>
          </w:tcPr>
          <w:p>
            <w:pPr>
              <w:pStyle w:val="TableContents"/>
              <w:spacing w:before="0" w:after="283"/>
              <w:jc w:val="right"/>
              <w:rPr/>
            </w:pPr>
            <w:r>
              <w:rPr/>
              <w:t>14,270</w:t>
            </w:r>
          </w:p>
        </w:tc>
        <w:tc>
          <w:tcPr>
            <w:tcW w:w="115" w:type="dxa"/>
            <w:tcBorders/>
            <w:shd w:fill="auto"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Brokered loans are not recorded as an asset on our balance sheet, as we do not own a participation in the loans made by unaffiliated lenders. We monitor the principal balance of these loans, as our credit service fees and bad debt are directly related to their volume due to the letters of credit we issue on these loans. The balance shown above is the gross principal balance of the loans outstanding. </w:t>
      </w:r>
    </w:p>
    <w:p>
      <w:pPr>
        <w:pStyle w:val="TextBody"/>
        <w:spacing w:before="240" w:after="283"/>
        <w:jc w:val="left"/>
        <w:rPr>
          <w:rFonts w:ascii="Helvetica;Arial;sans-serif" w:hAnsi="Helvetica;Arial;sans-serif"/>
          <w:sz w:val="17"/>
        </w:rPr>
      </w:pPr>
      <w:r>
        <w:rPr>
          <w:rFonts w:ascii="Helvetica;Arial;sans-serif" w:hAnsi="Helvetica;Arial;sans-serif"/>
          <w:b/>
          <w:sz w:val="17"/>
        </w:rPr>
        <w:t>Note S: Subsequent Event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On October 22, 2007, we completed the acquisition of twenty Mexico pawnshops from MMFS Intl., S.A. de C.V, a subsidiary of Mister Money Holdings, Inc. for $15.3 million cash and direct transaction costs. The results of operations from these stores are excluded from our financial statements as the acquisition occurred after the end of the fiscal year. </w:t>
      </w:r>
    </w:p>
    <w:p>
      <w:pPr>
        <w:pStyle w:val="TextBody"/>
        <w:spacing w:before="240" w:after="283"/>
        <w:jc w:val="left"/>
        <w:rPr>
          <w:rFonts w:ascii="Helvetica;Arial;sans-serif" w:hAnsi="Helvetica;Arial;sans-serif"/>
          <w:sz w:val="17"/>
        </w:rPr>
      </w:pPr>
      <w:bookmarkStart w:id="22" w:name="113"/>
      <w:bookmarkEnd w:id="22"/>
      <w:r>
        <w:rPr>
          <w:rFonts w:ascii="Helvetica;Arial;sans-serif" w:hAnsi="Helvetica;Arial;sans-serif"/>
          <w:b/>
          <w:smallCaps/>
          <w:sz w:val="17"/>
        </w:rPr>
        <w:t>Item 9. Changes in and Disagreements with Accountants on Accounting and Financial Disclosure</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had no change in our independent certified public accountants, and no disagreements on accounting or financial disclosure matters with our independent certified public accountants to report under this Item 9. </w:t>
      </w:r>
    </w:p>
    <w:p>
      <w:pPr>
        <w:pStyle w:val="TextBody"/>
        <w:jc w:val="center"/>
        <w:rPr>
          <w:rFonts w:ascii="Helvetica;Arial;sans-serif" w:hAnsi="Helvetica;Arial;sans-serif"/>
          <w:sz w:val="17"/>
        </w:rPr>
      </w:pPr>
      <w:r>
        <w:rPr>
          <w:rFonts w:ascii="Helvetica;Arial;sans-serif" w:hAnsi="Helvetica;Arial;sans-serif"/>
          <w:sz w:val="17"/>
        </w:rPr>
        <w:t xml:space="preserve">71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23" w:name="114"/>
      <w:bookmarkEnd w:id="23"/>
      <w:r>
        <w:rPr>
          <w:rFonts w:ascii="Helvetica;Arial;sans-serif" w:hAnsi="Helvetica;Arial;sans-serif"/>
          <w:b/>
          <w:smallCaps/>
          <w:sz w:val="17"/>
        </w:rPr>
        <w:t>Item 9A. Controls and Procedures</w:t>
      </w:r>
      <w:r>
        <w:rPr>
          <w:rFonts w:ascii="Helvetica;Arial;sans-serif" w:hAnsi="Helvetica;Arial;sans-serif"/>
          <w:sz w:val="17"/>
        </w:rPr>
        <w:t xml:space="preserve"> </w:t>
      </w:r>
    </w:p>
    <w:p>
      <w:pPr>
        <w:pStyle w:val="TextBody"/>
        <w:spacing w:before="360" w:after="283"/>
        <w:jc w:val="center"/>
        <w:rPr>
          <w:rFonts w:ascii="Helvetica;Arial;sans-serif" w:hAnsi="Helvetica;Arial;sans-serif"/>
          <w:sz w:val="17"/>
        </w:rPr>
      </w:pPr>
      <w:r>
        <w:rPr>
          <w:rFonts w:ascii="Helvetica;Arial;sans-serif" w:hAnsi="Helvetica;Arial;sans-serif"/>
          <w:b/>
          <w:i/>
          <w:sz w:val="17"/>
        </w:rPr>
        <w:t>Evaluation of Disclosure Controls and Procedures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Under the supervision and with the participation of our Chief Executive Officer and Chief Financial Officer, we have evaluated the effectiveness of the design and operation of our disclosure controls and procedures (as defined in Rules 13a-15(e) and 15d-15(e) under the Securities Exchange Act of 1934) as of September 30, 2007. Based upon that evaluation, our Chief Executive Officer and Chief Financial Officer concluded that, as of September 30, 2007, our disclosure controls and procedures are effective to ensure that information required to be disclosed in reports we file or submit under the Exchange Act is recorded, processed, summarized and reported within the time periods specified in SEC rules and forms. Disclosure controls and procedures include those controls and procedures that are designed to ensure that information required to be disclosed in the reports that we file or submit under the Exchange Act is accumulated and communicated to our management, including our Chief Executive Officer and Chief Financial Officer, to allow timely decisions regarding required disclosures.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There were no changes in our internal control over financial reporting during the fourth quarter of fiscal 2007 that have materially affected, or are reasonably likely to materially affect, our internal control over financial reporting.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Notwithstanding the foregoing,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Moreover, the design of any system of controls is also based in part upon certain assumptions about the likelihood of future events. </w:t>
      </w:r>
    </w:p>
    <w:p>
      <w:pPr>
        <w:pStyle w:val="TextBody"/>
        <w:spacing w:before="360" w:after="283"/>
        <w:jc w:val="center"/>
        <w:rPr>
          <w:rFonts w:ascii="Helvetica;Arial;sans-serif" w:hAnsi="Helvetica;Arial;sans-serif"/>
          <w:sz w:val="17"/>
        </w:rPr>
      </w:pPr>
      <w:r>
        <w:rPr>
          <w:rFonts w:ascii="Helvetica;Arial;sans-serif" w:hAnsi="Helvetica;Arial;sans-serif"/>
          <w:b/>
          <w:i/>
          <w:sz w:val="17"/>
        </w:rPr>
        <w:t>Managements Report on Internal Control Over Financial Reporting</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Management is responsible for establishing and maintaining adequate internal control over financial reporting and for the assessment of the effectiveness of our internal control over financial reporting. This internal control system has been designed to provide reasonable assurance to our management and board of directors regarding the preparation and fair presentation of our published consolidated financial statements.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Management has assessed the effectiveness of our internal control over financial reporting as of September 30, 2007. To make this assessment, management utilized the criteria for effective internal control over financial reporting described in Internal Control  Integrated Framework issued by the Committee of Sponsoring Organizations of the Treadway Commission. Based on this assessment, management believes that, as of September 30, 2007, our internal control over financial reporting is effective based on those criteria.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internal control over financial reporting as of September 30, 2007 has been audited by BDO Seidman, LLP, an independent registered public accounting firm, and their report follows immediately in this Form 10-K. </w:t>
      </w:r>
    </w:p>
    <w:tbl>
      <w:tblPr>
        <w:tblW w:w="5000" w:type="pct"/>
        <w:jc w:val="center"/>
        <w:tblInd w:w="0" w:type="dxa"/>
        <w:tblCellMar>
          <w:top w:w="0" w:type="dxa"/>
          <w:left w:w="0" w:type="dxa"/>
          <w:bottom w:w="0" w:type="dxa"/>
          <w:right w:w="0" w:type="dxa"/>
        </w:tblCellMar>
      </w:tblPr>
      <w:tblGrid>
        <w:gridCol w:w="4082"/>
        <w:gridCol w:w="1020"/>
        <w:gridCol w:w="4082"/>
        <w:gridCol w:w="306"/>
        <w:gridCol w:w="715"/>
      </w:tblGrid>
      <w:tr>
        <w:trPr/>
        <w:tc>
          <w:tcPr>
            <w:tcW w:w="4082"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 </w:t>
            </w:r>
          </w:p>
        </w:tc>
        <w:tc>
          <w:tcPr>
            <w:tcW w:w="4082"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r>
      <w:tr>
        <w:trPr/>
        <w:tc>
          <w:tcPr>
            <w:tcW w:w="4082" w:type="dxa"/>
            <w:tcBorders/>
            <w:shd w:fill="auto" w:val="clear"/>
          </w:tcPr>
          <w:p>
            <w:pPr>
              <w:pStyle w:val="TableContents"/>
              <w:spacing w:before="0" w:after="0"/>
              <w:ind w:left="0" w:right="0" w:hanging="0"/>
              <w:rPr/>
            </w:pPr>
            <w:r>
              <w:rPr/>
              <w:t xml:space="preserve">/s/ Joseph L. Rotunda </w:t>
            </w:r>
          </w:p>
        </w:tc>
        <w:tc>
          <w:tcPr>
            <w:tcW w:w="1020"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 xml:space="preserve">/s/ Dan N. Tonissen </w:t>
            </w:r>
          </w:p>
        </w:tc>
        <w:tc>
          <w:tcPr>
            <w:tcW w:w="306" w:type="dxa"/>
            <w:tcBorders/>
            <w:shd w:fill="auto" w:val="clear"/>
            <w:vAlign w:val="bottom"/>
          </w:tcPr>
          <w:p>
            <w:pPr>
              <w:pStyle w:val="TableContents"/>
              <w:spacing w:before="0" w:after="283"/>
              <w:rPr/>
            </w:pPr>
            <w:r>
              <w:rPr/>
              <w:t> </w:t>
            </w:r>
          </w:p>
        </w:tc>
        <w:tc>
          <w:tcPr>
            <w:tcW w:w="715" w:type="dxa"/>
            <w:tcBorders/>
            <w:shd w:fill="auto" w:val="clear"/>
          </w:tcPr>
          <w:p>
            <w:pPr>
              <w:pStyle w:val="TableContents"/>
              <w:spacing w:before="0" w:after="283"/>
              <w:jc w:val="left"/>
              <w:rPr/>
            </w:pPr>
            <w:r>
              <w:rPr/>
              <w:t> </w:t>
            </w:r>
          </w:p>
        </w:tc>
      </w:tr>
      <w:tr>
        <w:trPr/>
        <w:tc>
          <w:tcPr>
            <w:tcW w:w="4082" w:type="dxa"/>
            <w:tcBorders>
              <w:top w:val="single" w:sz="2" w:space="0" w:color="000000"/>
            </w:tcBorders>
            <w:shd w:fill="auto" w:val="clear"/>
            <w:tcMar>
              <w:top w:w="28" w:type="dxa"/>
            </w:tcMar>
          </w:tcPr>
          <w:p>
            <w:pPr>
              <w:pStyle w:val="TableContents"/>
              <w:spacing w:before="0" w:after="0"/>
              <w:ind w:left="0" w:right="0" w:hanging="0"/>
              <w:rPr/>
            </w:pPr>
            <w:r>
              <w:rPr/>
              <w:t xml:space="preserve">  </w:t>
            </w:r>
          </w:p>
        </w:tc>
        <w:tc>
          <w:tcPr>
            <w:tcW w:w="1020" w:type="dxa"/>
            <w:tcBorders/>
            <w:shd w:fill="auto" w:val="clear"/>
            <w:vAlign w:val="center"/>
          </w:tcPr>
          <w:p>
            <w:pPr>
              <w:pStyle w:val="TableContents"/>
              <w:spacing w:before="0" w:after="283"/>
              <w:rPr/>
            </w:pPr>
            <w:r>
              <w:rPr/>
              <w:t> </w:t>
            </w:r>
          </w:p>
        </w:tc>
        <w:tc>
          <w:tcPr>
            <w:tcW w:w="4082" w:type="dxa"/>
            <w:tcBorders>
              <w:top w:val="single" w:sz="2" w:space="0" w:color="000000"/>
            </w:tcBorders>
            <w:shd w:fill="auto" w:val="clear"/>
            <w:tcMar>
              <w:top w:w="28" w:type="dxa"/>
            </w:tcMar>
          </w:tcPr>
          <w:p>
            <w:pPr>
              <w:pStyle w:val="TableContents"/>
              <w:spacing w:before="0" w:after="283"/>
              <w:jc w:val="left"/>
              <w:rPr/>
            </w:pPr>
            <w:r>
              <w:rPr/>
              <w:t> </w:t>
            </w:r>
          </w:p>
        </w:tc>
        <w:tc>
          <w:tcPr>
            <w:tcW w:w="306" w:type="dxa"/>
            <w:tcBorders/>
            <w:shd w:fill="auto" w:val="clear"/>
            <w:vAlign w:val="center"/>
          </w:tcPr>
          <w:p>
            <w:pPr>
              <w:pStyle w:val="TableContents"/>
              <w:spacing w:before="0" w:after="283"/>
              <w:rPr/>
            </w:pPr>
            <w:r>
              <w:rPr/>
              <w:t> </w:t>
            </w:r>
          </w:p>
        </w:tc>
        <w:tc>
          <w:tcPr>
            <w:tcW w:w="715"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Joseph L. Rotunda </w:t>
            </w:r>
          </w:p>
        </w:tc>
        <w:tc>
          <w:tcPr>
            <w:tcW w:w="1020"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Dan N. Tonissen</w:t>
            </w:r>
          </w:p>
        </w:tc>
        <w:tc>
          <w:tcPr>
            <w:tcW w:w="306" w:type="dxa"/>
            <w:tcBorders/>
            <w:shd w:fill="auto" w:val="clear"/>
            <w:vAlign w:val="bottom"/>
          </w:tcPr>
          <w:p>
            <w:pPr>
              <w:pStyle w:val="TableContents"/>
              <w:spacing w:before="0" w:after="283"/>
              <w:rPr/>
            </w:pPr>
            <w:r>
              <w:rPr/>
              <w:t> </w:t>
            </w:r>
          </w:p>
        </w:tc>
        <w:tc>
          <w:tcPr>
            <w:tcW w:w="715"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President, Chief Executive Officer </w:t>
            </w:r>
          </w:p>
        </w:tc>
        <w:tc>
          <w:tcPr>
            <w:tcW w:w="1020"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Senior Vice President,</w:t>
            </w:r>
          </w:p>
        </w:tc>
        <w:tc>
          <w:tcPr>
            <w:tcW w:w="306" w:type="dxa"/>
            <w:tcBorders/>
            <w:shd w:fill="auto" w:val="clear"/>
            <w:vAlign w:val="bottom"/>
          </w:tcPr>
          <w:p>
            <w:pPr>
              <w:pStyle w:val="TableContents"/>
              <w:spacing w:before="0" w:after="283"/>
              <w:rPr/>
            </w:pPr>
            <w:r>
              <w:rPr/>
              <w:t> </w:t>
            </w:r>
          </w:p>
        </w:tc>
        <w:tc>
          <w:tcPr>
            <w:tcW w:w="715"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&amp; Director </w:t>
            </w:r>
          </w:p>
        </w:tc>
        <w:tc>
          <w:tcPr>
            <w:tcW w:w="1020"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Chief Financial Officer &amp;</w:t>
            </w:r>
          </w:p>
        </w:tc>
        <w:tc>
          <w:tcPr>
            <w:tcW w:w="306" w:type="dxa"/>
            <w:tcBorders/>
            <w:shd w:fill="auto" w:val="clear"/>
            <w:vAlign w:val="bottom"/>
          </w:tcPr>
          <w:p>
            <w:pPr>
              <w:pStyle w:val="TableContents"/>
              <w:spacing w:before="0" w:after="283"/>
              <w:rPr/>
            </w:pPr>
            <w:r>
              <w:rPr/>
              <w:t> </w:t>
            </w:r>
          </w:p>
        </w:tc>
        <w:tc>
          <w:tcPr>
            <w:tcW w:w="715"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October 31, 2007 </w:t>
            </w:r>
          </w:p>
        </w:tc>
        <w:tc>
          <w:tcPr>
            <w:tcW w:w="1020"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Director</w:t>
            </w:r>
          </w:p>
        </w:tc>
        <w:tc>
          <w:tcPr>
            <w:tcW w:w="306" w:type="dxa"/>
            <w:tcBorders/>
            <w:shd w:fill="auto" w:val="clear"/>
            <w:vAlign w:val="bottom"/>
          </w:tcPr>
          <w:p>
            <w:pPr>
              <w:pStyle w:val="TableContents"/>
              <w:spacing w:before="0" w:after="283"/>
              <w:rPr/>
            </w:pPr>
            <w:r>
              <w:rPr/>
              <w:t> </w:t>
            </w:r>
          </w:p>
        </w:tc>
        <w:tc>
          <w:tcPr>
            <w:tcW w:w="715"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  </w:t>
            </w:r>
          </w:p>
        </w:tc>
        <w:tc>
          <w:tcPr>
            <w:tcW w:w="1020"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October 31, 2007</w:t>
            </w:r>
          </w:p>
        </w:tc>
        <w:tc>
          <w:tcPr>
            <w:tcW w:w="306" w:type="dxa"/>
            <w:tcBorders/>
            <w:shd w:fill="auto" w:val="clear"/>
            <w:vAlign w:val="bottom"/>
          </w:tcPr>
          <w:p>
            <w:pPr>
              <w:pStyle w:val="TableContents"/>
              <w:spacing w:before="0" w:after="283"/>
              <w:rPr/>
            </w:pPr>
            <w:r>
              <w:rPr/>
              <w:t> </w:t>
            </w:r>
          </w:p>
        </w:tc>
        <w:tc>
          <w:tcPr>
            <w:tcW w:w="715" w:type="dxa"/>
            <w:tcBorders/>
            <w:shd w:fill="auto" w:val="clear"/>
          </w:tcPr>
          <w:p>
            <w:pPr>
              <w:pStyle w:val="TableContents"/>
              <w:spacing w:before="0" w:after="283"/>
              <w:jc w:val="left"/>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72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Report of Independent Registered Public Accounting Firm</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Board of Directors and Stockholders</w:t>
        <w:br/>
        <w:t>EZCORP, Inc.</w:t>
        <w:br/>
        <w:t xml:space="preserve">Austin, Texas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audited EZCORP, Inc.s internal control over financial reporting as of September 30, 2007, based on criteria established in </w:t>
      </w:r>
      <w:r>
        <w:rPr>
          <w:rFonts w:ascii="Helvetica;Arial;sans-serif" w:hAnsi="Helvetica;Arial;sans-serif"/>
          <w:i/>
          <w:sz w:val="17"/>
        </w:rPr>
        <w:t xml:space="preserve">Internal Control  Integrated Framework </w:t>
      </w:r>
      <w:r>
        <w:rPr>
          <w:rFonts w:ascii="Helvetica;Arial;sans-serif" w:hAnsi="Helvetica;Arial;sans-serif"/>
          <w:sz w:val="17"/>
        </w:rPr>
        <w:t xml:space="preserve">issued by the Committee of Sponsoring Organizations of the Treadway Commission (the COSO criteria). EZCORP, Inc.s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120" w:after="283"/>
        <w:jc w:val="left"/>
        <w:rPr>
          <w:rFonts w:ascii="Helvetica;Arial;sans-serif" w:hAnsi="Helvetica;Arial;sans-serif"/>
          <w:sz w:val="17"/>
        </w:rPr>
      </w:pPr>
      <w:r>
        <w:rPr>
          <w:rFonts w:ascii="Helvetica;Arial;sans-serif" w:hAnsi="Helvetica;Arial;sans-serif"/>
          <w:sz w:val="17"/>
        </w:rPr>
        <w:t>In our opinion, EZCORP, Inc. maintained, in all material respects, effective internal control over financial reporting as of September 30, 2007, based on the COSO criteria</w:t>
      </w:r>
      <w:r>
        <w:rPr>
          <w:rFonts w:ascii="Helvetica;Arial;sans-serif" w:hAnsi="Helvetica;Arial;sans-serif"/>
          <w:i/>
          <w:sz w:val="17"/>
        </w:rPr>
        <w: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also have audited, in accordance with the standards of the Public Company Accounting Oversight Board (United States), the consolidated balance sheets of EZCORP, Inc. and subsidiaries as of September 30, 2006 and 2007 and the related consolidated statements of operations, stockholders equity, and cash flows for each of the three years in the period ended September 30, 2007 and our report dated December 10, 2007 expressed an unqualified opinion thereon.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/s/ BDO Seidman, LLP </w:t>
      </w:r>
    </w:p>
    <w:p>
      <w:pPr>
        <w:pStyle w:val="TextBody"/>
        <w:spacing w:before="120" w:after="283"/>
        <w:jc w:val="left"/>
        <w:rPr>
          <w:rFonts w:ascii="Helvetica;Arial;sans-serif" w:hAnsi="Helvetica;Arial;sans-serif"/>
          <w:sz w:val="17"/>
        </w:rPr>
      </w:pPr>
      <w:r>
        <w:rPr>
          <w:rFonts w:ascii="Helvetica;Arial;sans-serif" w:hAnsi="Helvetica;Arial;sans-serif"/>
          <w:sz w:val="17"/>
        </w:rPr>
        <w:t>Dallas, Texas</w:t>
        <w:br/>
        <w:t xml:space="preserve">December 10, 2007 </w:t>
      </w:r>
    </w:p>
    <w:p>
      <w:pPr>
        <w:pStyle w:val="TextBody"/>
        <w:jc w:val="center"/>
        <w:rPr>
          <w:rFonts w:ascii="Helvetica;Arial;sans-serif" w:hAnsi="Helvetica;Arial;sans-serif"/>
          <w:sz w:val="17"/>
        </w:rPr>
      </w:pPr>
      <w:r>
        <w:rPr>
          <w:rFonts w:ascii="Helvetica;Arial;sans-serif" w:hAnsi="Helvetica;Arial;sans-serif"/>
          <w:sz w:val="17"/>
        </w:rPr>
        <w:t xml:space="preserve">73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bookmarkStart w:id="24" w:name="115"/>
      <w:bookmarkEnd w:id="24"/>
      <w:r>
        <w:rPr>
          <w:rFonts w:ascii="Helvetica;Arial;sans-serif" w:hAnsi="Helvetica;Arial;sans-serif"/>
          <w:b/>
          <w:sz w:val="17"/>
        </w:rPr>
        <w:t>PART III</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bookmarkStart w:id="25" w:name="116"/>
      <w:bookmarkEnd w:id="25"/>
      <w:r>
        <w:rPr>
          <w:rFonts w:ascii="Helvetica;Arial;sans-serif" w:hAnsi="Helvetica;Arial;sans-serif"/>
          <w:b/>
          <w:smallCaps/>
          <w:sz w:val="17"/>
        </w:rPr>
        <w:t>Item 10. Directors and Executive Officers of the Registrant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Our executive officers and directors as of October 31, 2007 were as follows: </w:t>
      </w:r>
    </w:p>
    <w:tbl>
      <w:tblPr>
        <w:tblW w:w="5000" w:type="pct"/>
        <w:jc w:val="center"/>
        <w:tblInd w:w="0" w:type="dxa"/>
        <w:tblCellMar>
          <w:top w:w="0" w:type="dxa"/>
          <w:left w:w="0" w:type="dxa"/>
          <w:bottom w:w="0" w:type="dxa"/>
          <w:right w:w="0" w:type="dxa"/>
        </w:tblCellMar>
      </w:tblPr>
      <w:tblGrid>
        <w:gridCol w:w="4048"/>
        <w:gridCol w:w="469"/>
        <w:gridCol w:w="219"/>
        <w:gridCol w:w="297"/>
        <w:gridCol w:w="220"/>
        <w:gridCol w:w="469"/>
        <w:gridCol w:w="4483"/>
      </w:tblGrid>
      <w:tr>
        <w:trPr/>
        <w:tc>
          <w:tcPr>
            <w:tcW w:w="4048"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4483" w:type="dxa"/>
            <w:tcBorders/>
            <w:shd w:fill="auto" w:val="clear"/>
            <w:vAlign w:val="bottom"/>
          </w:tcPr>
          <w:p>
            <w:pPr>
              <w:pStyle w:val="TableContents"/>
              <w:spacing w:before="0" w:after="283"/>
              <w:rPr/>
            </w:pPr>
            <w:r>
              <w:rPr/>
              <w:t> </w:t>
            </w:r>
          </w:p>
        </w:tc>
      </w:tr>
      <w:tr>
        <w:trPr/>
        <w:tc>
          <w:tcPr>
            <w:tcW w:w="4048" w:type="dxa"/>
            <w:tcBorders>
              <w:bottom w:val="single" w:sz="2" w:space="0" w:color="000000"/>
            </w:tcBorders>
            <w:shd w:fill="auto" w:val="clear"/>
            <w:tcMar>
              <w:bottom w:w="28" w:type="dxa"/>
            </w:tcMar>
            <w:vAlign w:val="bottom"/>
          </w:tcPr>
          <w:p>
            <w:pPr>
              <w:pStyle w:val="TableContents"/>
              <w:spacing w:before="0" w:after="283"/>
              <w:jc w:val="left"/>
              <w:rPr/>
            </w:pPr>
            <w:r>
              <w:rPr/>
              <w:t>Name</w:t>
            </w:r>
          </w:p>
        </w:tc>
        <w:tc>
          <w:tcPr>
            <w:tcW w:w="469" w:type="dxa"/>
            <w:tcBorders/>
            <w:shd w:fill="auto" w:val="clear"/>
            <w:vAlign w:val="bottom"/>
          </w:tcPr>
          <w:p>
            <w:pPr>
              <w:pStyle w:val="TableContents"/>
              <w:spacing w:before="0" w:after="283"/>
              <w:rPr/>
            </w:pPr>
            <w:r>
              <w:rPr/>
              <w:t> </w:t>
            </w:r>
          </w:p>
        </w:tc>
        <w:tc>
          <w:tcPr>
            <w:tcW w:w="736" w:type="dxa"/>
            <w:gridSpan w:val="3"/>
            <w:tcBorders>
              <w:bottom w:val="single" w:sz="2" w:space="0" w:color="000000"/>
            </w:tcBorders>
            <w:shd w:fill="auto" w:val="clear"/>
            <w:tcMar>
              <w:bottom w:w="28" w:type="dxa"/>
            </w:tcMar>
            <w:vAlign w:val="bottom"/>
          </w:tcPr>
          <w:p>
            <w:pPr>
              <w:pStyle w:val="TableContents"/>
              <w:spacing w:before="0" w:after="283"/>
              <w:jc w:val="center"/>
              <w:rPr/>
            </w:pPr>
            <w:r>
              <w:rPr/>
              <w:t>Age</w:t>
            </w:r>
          </w:p>
        </w:tc>
        <w:tc>
          <w:tcPr>
            <w:tcW w:w="469" w:type="dxa"/>
            <w:tcBorders/>
            <w:shd w:fill="auto" w:val="clear"/>
            <w:vAlign w:val="bottom"/>
          </w:tcPr>
          <w:p>
            <w:pPr>
              <w:pStyle w:val="TableContents"/>
              <w:spacing w:before="0" w:after="283"/>
              <w:rPr/>
            </w:pPr>
            <w:r>
              <w:rPr/>
              <w:t> </w:t>
            </w:r>
          </w:p>
        </w:tc>
        <w:tc>
          <w:tcPr>
            <w:tcW w:w="4483" w:type="dxa"/>
            <w:tcBorders>
              <w:bottom w:val="single" w:sz="2" w:space="0" w:color="000000"/>
            </w:tcBorders>
            <w:shd w:fill="auto" w:val="clear"/>
            <w:tcMar>
              <w:bottom w:w="28" w:type="dxa"/>
            </w:tcMar>
            <w:vAlign w:val="bottom"/>
          </w:tcPr>
          <w:p>
            <w:pPr>
              <w:pStyle w:val="TableContents"/>
              <w:spacing w:before="0" w:after="283"/>
              <w:jc w:val="left"/>
              <w:rPr/>
            </w:pPr>
            <w:r>
              <w:rPr/>
              <w:t>Title</w:t>
            </w:r>
          </w:p>
        </w:tc>
      </w:tr>
      <w:tr>
        <w:trPr/>
        <w:tc>
          <w:tcPr>
            <w:tcW w:w="4048" w:type="dxa"/>
            <w:tcBorders/>
            <w:shd w:fill="CCEEFF" w:val="clear"/>
          </w:tcPr>
          <w:p>
            <w:pPr>
              <w:pStyle w:val="TableContents"/>
              <w:spacing w:before="0" w:after="0"/>
              <w:ind w:left="0" w:right="0" w:hanging="0"/>
              <w:rPr/>
            </w:pPr>
            <w:r>
              <w:rPr/>
              <w:t xml:space="preserve">Sterling B. Brinkley (1) </w:t>
            </w:r>
          </w:p>
        </w:tc>
        <w:tc>
          <w:tcPr>
            <w:tcW w:w="469" w:type="dxa"/>
            <w:tcBorders/>
            <w:shd w:fill="CCEEFF" w:val="clear"/>
            <w:vAlign w:val="bottom"/>
          </w:tcPr>
          <w:p>
            <w:pPr>
              <w:pStyle w:val="TableContents"/>
              <w:spacing w:before="0" w:after="283"/>
              <w:rPr/>
            </w:pPr>
            <w:r>
              <w:rPr/>
              <w:t> </w:t>
            </w:r>
          </w:p>
        </w:tc>
        <w:tc>
          <w:tcPr>
            <w:tcW w:w="219" w:type="dxa"/>
            <w:tcBorders/>
            <w:shd w:fill="CCEEFF" w:val="clear"/>
          </w:tcPr>
          <w:p>
            <w:pPr>
              <w:pStyle w:val="TableContents"/>
              <w:spacing w:before="0" w:after="283"/>
              <w:jc w:val="right"/>
              <w:rPr/>
            </w:pPr>
            <w:r>
              <w:rPr/>
              <w:t> </w:t>
            </w:r>
          </w:p>
        </w:tc>
        <w:tc>
          <w:tcPr>
            <w:tcW w:w="297" w:type="dxa"/>
            <w:tcBorders/>
            <w:shd w:fill="CCEEFF" w:val="clear"/>
          </w:tcPr>
          <w:p>
            <w:pPr>
              <w:pStyle w:val="TableContents"/>
              <w:spacing w:before="0" w:after="283"/>
              <w:jc w:val="right"/>
              <w:rPr/>
            </w:pPr>
            <w:r>
              <w:rPr/>
              <w:t>56</w:t>
            </w:r>
          </w:p>
        </w:tc>
        <w:tc>
          <w:tcPr>
            <w:tcW w:w="220" w:type="dxa"/>
            <w:tcBorders/>
            <w:shd w:fill="CCEEFF" w:val="clear"/>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4483" w:type="dxa"/>
            <w:tcBorders/>
            <w:shd w:fill="CCEEFF" w:val="clear"/>
          </w:tcPr>
          <w:p>
            <w:pPr>
              <w:pStyle w:val="TableContents"/>
              <w:spacing w:before="0" w:after="283"/>
              <w:jc w:val="left"/>
              <w:rPr/>
            </w:pPr>
            <w:r>
              <w:rPr/>
              <w:t>Chairman of the Board of Directors</w:t>
            </w:r>
          </w:p>
        </w:tc>
      </w:tr>
      <w:tr>
        <w:trPr/>
        <w:tc>
          <w:tcPr>
            <w:tcW w:w="4048" w:type="dxa"/>
            <w:tcBorders/>
            <w:shd w:fill="auto" w:val="clear"/>
          </w:tcPr>
          <w:p>
            <w:pPr>
              <w:pStyle w:val="TableContents"/>
              <w:spacing w:before="0" w:after="0"/>
              <w:ind w:left="0" w:right="0" w:hanging="0"/>
              <w:rPr/>
            </w:pPr>
            <w:r>
              <w:rPr/>
              <w:t xml:space="preserve">Joseph L. Rotunda (1) (3) </w:t>
            </w:r>
          </w:p>
        </w:tc>
        <w:tc>
          <w:tcPr>
            <w:tcW w:w="469" w:type="dxa"/>
            <w:tcBorders/>
            <w:shd w:fill="auto" w:val="clear"/>
            <w:vAlign w:val="bottom"/>
          </w:tcPr>
          <w:p>
            <w:pPr>
              <w:pStyle w:val="TableContents"/>
              <w:spacing w:before="0" w:after="283"/>
              <w:rPr/>
            </w:pPr>
            <w:r>
              <w:rPr/>
              <w:t> </w:t>
            </w:r>
          </w:p>
        </w:tc>
        <w:tc>
          <w:tcPr>
            <w:tcW w:w="219"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60</w:t>
            </w:r>
          </w:p>
        </w:tc>
        <w:tc>
          <w:tcPr>
            <w:tcW w:w="220" w:type="dxa"/>
            <w:tcBorders/>
            <w:shd w:fill="auto" w:val="clear"/>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jc w:val="left"/>
              <w:rPr/>
            </w:pPr>
            <w:r>
              <w:rPr/>
              <w:t>President, Chief Executive Officer, and Director</w:t>
            </w:r>
          </w:p>
        </w:tc>
      </w:tr>
      <w:tr>
        <w:trPr/>
        <w:tc>
          <w:tcPr>
            <w:tcW w:w="4048" w:type="dxa"/>
            <w:tcBorders/>
            <w:shd w:fill="CCEEFF" w:val="clear"/>
          </w:tcPr>
          <w:p>
            <w:pPr>
              <w:pStyle w:val="TableContents"/>
              <w:spacing w:before="0" w:after="0"/>
              <w:ind w:left="0" w:right="0" w:hanging="0"/>
              <w:rPr/>
            </w:pPr>
            <w:r>
              <w:rPr/>
              <w:t xml:space="preserve">Dan N. Tonissen (1) (3) </w:t>
            </w:r>
          </w:p>
        </w:tc>
        <w:tc>
          <w:tcPr>
            <w:tcW w:w="469" w:type="dxa"/>
            <w:tcBorders/>
            <w:shd w:fill="CCEEFF" w:val="clear"/>
            <w:vAlign w:val="bottom"/>
          </w:tcPr>
          <w:p>
            <w:pPr>
              <w:pStyle w:val="TableContents"/>
              <w:spacing w:before="0" w:after="283"/>
              <w:rPr/>
            </w:pPr>
            <w:r>
              <w:rPr/>
              <w:t> </w:t>
            </w:r>
          </w:p>
        </w:tc>
        <w:tc>
          <w:tcPr>
            <w:tcW w:w="219" w:type="dxa"/>
            <w:tcBorders/>
            <w:shd w:fill="CCEEFF" w:val="clear"/>
          </w:tcPr>
          <w:p>
            <w:pPr>
              <w:pStyle w:val="TableContents"/>
              <w:spacing w:before="0" w:after="283"/>
              <w:jc w:val="right"/>
              <w:rPr/>
            </w:pPr>
            <w:r>
              <w:rPr/>
              <w:t> </w:t>
            </w:r>
          </w:p>
        </w:tc>
        <w:tc>
          <w:tcPr>
            <w:tcW w:w="297" w:type="dxa"/>
            <w:tcBorders/>
            <w:shd w:fill="CCEEFF" w:val="clear"/>
          </w:tcPr>
          <w:p>
            <w:pPr>
              <w:pStyle w:val="TableContents"/>
              <w:spacing w:before="0" w:after="283"/>
              <w:jc w:val="right"/>
              <w:rPr/>
            </w:pPr>
            <w:r>
              <w:rPr/>
              <w:t>57</w:t>
            </w:r>
          </w:p>
        </w:tc>
        <w:tc>
          <w:tcPr>
            <w:tcW w:w="220" w:type="dxa"/>
            <w:tcBorders/>
            <w:shd w:fill="CCEEFF" w:val="clear"/>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4483" w:type="dxa"/>
            <w:tcBorders/>
            <w:shd w:fill="CCEEFF" w:val="clear"/>
          </w:tcPr>
          <w:p>
            <w:pPr>
              <w:pStyle w:val="TableContents"/>
              <w:spacing w:before="0" w:after="283"/>
              <w:jc w:val="left"/>
              <w:rPr/>
            </w:pPr>
            <w:r>
              <w:rPr/>
              <w:t>Senior Vice President, Chief Financial Officer,   Assistant Secretary, and Director</w:t>
            </w:r>
          </w:p>
        </w:tc>
      </w:tr>
      <w:tr>
        <w:trPr/>
        <w:tc>
          <w:tcPr>
            <w:tcW w:w="4048" w:type="dxa"/>
            <w:tcBorders/>
            <w:shd w:fill="auto" w:val="clear"/>
          </w:tcPr>
          <w:p>
            <w:pPr>
              <w:pStyle w:val="TableContents"/>
              <w:spacing w:before="0" w:after="0"/>
              <w:ind w:left="0" w:right="0" w:hanging="0"/>
              <w:rPr/>
            </w:pPr>
            <w:r>
              <w:rPr/>
              <w:t xml:space="preserve">Gary C. Matzner (4) </w:t>
            </w:r>
          </w:p>
        </w:tc>
        <w:tc>
          <w:tcPr>
            <w:tcW w:w="469" w:type="dxa"/>
            <w:tcBorders/>
            <w:shd w:fill="auto" w:val="clear"/>
            <w:vAlign w:val="bottom"/>
          </w:tcPr>
          <w:p>
            <w:pPr>
              <w:pStyle w:val="TableContents"/>
              <w:spacing w:before="0" w:after="283"/>
              <w:rPr/>
            </w:pPr>
            <w:r>
              <w:rPr/>
              <w:t> </w:t>
            </w:r>
          </w:p>
        </w:tc>
        <w:tc>
          <w:tcPr>
            <w:tcW w:w="219"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59</w:t>
            </w:r>
          </w:p>
        </w:tc>
        <w:tc>
          <w:tcPr>
            <w:tcW w:w="220" w:type="dxa"/>
            <w:tcBorders/>
            <w:shd w:fill="auto" w:val="clear"/>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jc w:val="left"/>
              <w:rPr/>
            </w:pPr>
            <w:r>
              <w:rPr/>
              <w:t>Director</w:t>
            </w:r>
          </w:p>
        </w:tc>
      </w:tr>
      <w:tr>
        <w:trPr/>
        <w:tc>
          <w:tcPr>
            <w:tcW w:w="4048" w:type="dxa"/>
            <w:tcBorders/>
            <w:shd w:fill="CCEEFF" w:val="clear"/>
          </w:tcPr>
          <w:p>
            <w:pPr>
              <w:pStyle w:val="TableContents"/>
              <w:spacing w:before="0" w:after="0"/>
              <w:ind w:left="0" w:right="0" w:hanging="0"/>
              <w:rPr/>
            </w:pPr>
            <w:r>
              <w:rPr/>
              <w:t xml:space="preserve">Thomas C. Roberts (2) (4) </w:t>
            </w:r>
          </w:p>
        </w:tc>
        <w:tc>
          <w:tcPr>
            <w:tcW w:w="469" w:type="dxa"/>
            <w:tcBorders/>
            <w:shd w:fill="CCEEFF" w:val="clear"/>
            <w:vAlign w:val="bottom"/>
          </w:tcPr>
          <w:p>
            <w:pPr>
              <w:pStyle w:val="TableContents"/>
              <w:spacing w:before="0" w:after="283"/>
              <w:rPr/>
            </w:pPr>
            <w:r>
              <w:rPr/>
              <w:t> </w:t>
            </w:r>
          </w:p>
        </w:tc>
        <w:tc>
          <w:tcPr>
            <w:tcW w:w="219" w:type="dxa"/>
            <w:tcBorders/>
            <w:shd w:fill="CCEEFF" w:val="clear"/>
          </w:tcPr>
          <w:p>
            <w:pPr>
              <w:pStyle w:val="TableContents"/>
              <w:spacing w:before="0" w:after="283"/>
              <w:jc w:val="right"/>
              <w:rPr/>
            </w:pPr>
            <w:r>
              <w:rPr/>
              <w:t> </w:t>
            </w:r>
          </w:p>
        </w:tc>
        <w:tc>
          <w:tcPr>
            <w:tcW w:w="297" w:type="dxa"/>
            <w:tcBorders/>
            <w:shd w:fill="CCEEFF" w:val="clear"/>
          </w:tcPr>
          <w:p>
            <w:pPr>
              <w:pStyle w:val="TableContents"/>
              <w:spacing w:before="0" w:after="283"/>
              <w:jc w:val="right"/>
              <w:rPr/>
            </w:pPr>
            <w:r>
              <w:rPr/>
              <w:t>65</w:t>
            </w:r>
          </w:p>
        </w:tc>
        <w:tc>
          <w:tcPr>
            <w:tcW w:w="220" w:type="dxa"/>
            <w:tcBorders/>
            <w:shd w:fill="CCEEFF" w:val="clear"/>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4483" w:type="dxa"/>
            <w:tcBorders/>
            <w:shd w:fill="CCEEFF" w:val="clear"/>
          </w:tcPr>
          <w:p>
            <w:pPr>
              <w:pStyle w:val="TableContents"/>
              <w:spacing w:before="0" w:after="283"/>
              <w:jc w:val="left"/>
              <w:rPr/>
            </w:pPr>
            <w:r>
              <w:rPr/>
              <w:t>Director</w:t>
            </w:r>
          </w:p>
        </w:tc>
      </w:tr>
      <w:tr>
        <w:trPr/>
        <w:tc>
          <w:tcPr>
            <w:tcW w:w="4048" w:type="dxa"/>
            <w:tcBorders/>
            <w:shd w:fill="auto" w:val="clear"/>
          </w:tcPr>
          <w:p>
            <w:pPr>
              <w:pStyle w:val="TableContents"/>
              <w:spacing w:before="0" w:after="0"/>
              <w:ind w:left="0" w:right="0" w:hanging="0"/>
              <w:rPr/>
            </w:pPr>
            <w:r>
              <w:rPr/>
              <w:t xml:space="preserve">Richard D. Sage (2) (4) </w:t>
            </w:r>
          </w:p>
        </w:tc>
        <w:tc>
          <w:tcPr>
            <w:tcW w:w="469" w:type="dxa"/>
            <w:tcBorders/>
            <w:shd w:fill="auto" w:val="clear"/>
            <w:vAlign w:val="bottom"/>
          </w:tcPr>
          <w:p>
            <w:pPr>
              <w:pStyle w:val="TableContents"/>
              <w:spacing w:before="0" w:after="283"/>
              <w:rPr/>
            </w:pPr>
            <w:r>
              <w:rPr/>
              <w:t> </w:t>
            </w:r>
          </w:p>
        </w:tc>
        <w:tc>
          <w:tcPr>
            <w:tcW w:w="219"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67</w:t>
            </w:r>
          </w:p>
        </w:tc>
        <w:tc>
          <w:tcPr>
            <w:tcW w:w="220" w:type="dxa"/>
            <w:tcBorders/>
            <w:shd w:fill="auto" w:val="clear"/>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jc w:val="left"/>
              <w:rPr/>
            </w:pPr>
            <w:r>
              <w:rPr/>
              <w:t>Director</w:t>
            </w:r>
          </w:p>
        </w:tc>
      </w:tr>
      <w:tr>
        <w:trPr/>
        <w:tc>
          <w:tcPr>
            <w:tcW w:w="4048" w:type="dxa"/>
            <w:tcBorders/>
            <w:shd w:fill="CCEEFF" w:val="clear"/>
          </w:tcPr>
          <w:p>
            <w:pPr>
              <w:pStyle w:val="TableContents"/>
              <w:spacing w:before="0" w:after="0"/>
              <w:ind w:left="0" w:right="0" w:hanging="0"/>
              <w:rPr/>
            </w:pPr>
            <w:r>
              <w:rPr/>
              <w:t xml:space="preserve">Richard M. Edwards (2) </w:t>
            </w:r>
          </w:p>
        </w:tc>
        <w:tc>
          <w:tcPr>
            <w:tcW w:w="469" w:type="dxa"/>
            <w:tcBorders/>
            <w:shd w:fill="CCEEFF" w:val="clear"/>
            <w:vAlign w:val="bottom"/>
          </w:tcPr>
          <w:p>
            <w:pPr>
              <w:pStyle w:val="TableContents"/>
              <w:spacing w:before="0" w:after="283"/>
              <w:rPr/>
            </w:pPr>
            <w:r>
              <w:rPr/>
              <w:t> </w:t>
            </w:r>
          </w:p>
        </w:tc>
        <w:tc>
          <w:tcPr>
            <w:tcW w:w="219" w:type="dxa"/>
            <w:tcBorders/>
            <w:shd w:fill="CCEEFF" w:val="clear"/>
          </w:tcPr>
          <w:p>
            <w:pPr>
              <w:pStyle w:val="TableContents"/>
              <w:spacing w:before="0" w:after="283"/>
              <w:jc w:val="right"/>
              <w:rPr/>
            </w:pPr>
            <w:r>
              <w:rPr/>
              <w:t> </w:t>
            </w:r>
          </w:p>
        </w:tc>
        <w:tc>
          <w:tcPr>
            <w:tcW w:w="297" w:type="dxa"/>
            <w:tcBorders/>
            <w:shd w:fill="CCEEFF" w:val="clear"/>
          </w:tcPr>
          <w:p>
            <w:pPr>
              <w:pStyle w:val="TableContents"/>
              <w:spacing w:before="0" w:after="283"/>
              <w:jc w:val="right"/>
              <w:rPr/>
            </w:pPr>
            <w:r>
              <w:rPr/>
              <w:t>55</w:t>
            </w:r>
          </w:p>
        </w:tc>
        <w:tc>
          <w:tcPr>
            <w:tcW w:w="220" w:type="dxa"/>
            <w:tcBorders/>
            <w:shd w:fill="CCEEFF" w:val="clear"/>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4483" w:type="dxa"/>
            <w:tcBorders/>
            <w:shd w:fill="CCEEFF" w:val="clear"/>
          </w:tcPr>
          <w:p>
            <w:pPr>
              <w:pStyle w:val="TableContents"/>
              <w:spacing w:before="0" w:after="283"/>
              <w:jc w:val="left"/>
              <w:rPr/>
            </w:pPr>
            <w:r>
              <w:rPr/>
              <w:t>Director</w:t>
            </w:r>
          </w:p>
        </w:tc>
      </w:tr>
      <w:tr>
        <w:trPr/>
        <w:tc>
          <w:tcPr>
            <w:tcW w:w="4048" w:type="dxa"/>
            <w:tcBorders/>
            <w:shd w:fill="auto" w:val="clear"/>
          </w:tcPr>
          <w:p>
            <w:pPr>
              <w:pStyle w:val="TableContents"/>
              <w:spacing w:before="0" w:after="0"/>
              <w:ind w:left="0" w:right="0" w:hanging="0"/>
              <w:rPr/>
            </w:pPr>
            <w:r>
              <w:rPr/>
              <w:t xml:space="preserve">Eric Fosse </w:t>
            </w:r>
          </w:p>
        </w:tc>
        <w:tc>
          <w:tcPr>
            <w:tcW w:w="469" w:type="dxa"/>
            <w:tcBorders/>
            <w:shd w:fill="auto" w:val="clear"/>
            <w:vAlign w:val="bottom"/>
          </w:tcPr>
          <w:p>
            <w:pPr>
              <w:pStyle w:val="TableContents"/>
              <w:spacing w:before="0" w:after="283"/>
              <w:rPr/>
            </w:pPr>
            <w:r>
              <w:rPr/>
              <w:t> </w:t>
            </w:r>
          </w:p>
        </w:tc>
        <w:tc>
          <w:tcPr>
            <w:tcW w:w="219"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44</w:t>
            </w:r>
          </w:p>
        </w:tc>
        <w:tc>
          <w:tcPr>
            <w:tcW w:w="220" w:type="dxa"/>
            <w:tcBorders/>
            <w:shd w:fill="auto" w:val="clear"/>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jc w:val="left"/>
              <w:rPr/>
            </w:pPr>
            <w:r>
              <w:rPr/>
              <w:t>President  EZMONEY Division</w:t>
            </w:r>
          </w:p>
        </w:tc>
      </w:tr>
      <w:tr>
        <w:trPr/>
        <w:tc>
          <w:tcPr>
            <w:tcW w:w="4048" w:type="dxa"/>
            <w:tcBorders/>
            <w:shd w:fill="CCEEFF" w:val="clear"/>
          </w:tcPr>
          <w:p>
            <w:pPr>
              <w:pStyle w:val="TableContents"/>
              <w:spacing w:before="0" w:after="0"/>
              <w:ind w:left="0" w:right="0" w:hanging="0"/>
              <w:rPr/>
            </w:pPr>
            <w:r>
              <w:rPr/>
              <w:t xml:space="preserve">Fred Fox </w:t>
            </w:r>
          </w:p>
        </w:tc>
        <w:tc>
          <w:tcPr>
            <w:tcW w:w="469" w:type="dxa"/>
            <w:tcBorders/>
            <w:shd w:fill="CCEEFF" w:val="clear"/>
            <w:vAlign w:val="bottom"/>
          </w:tcPr>
          <w:p>
            <w:pPr>
              <w:pStyle w:val="TableContents"/>
              <w:spacing w:before="0" w:after="283"/>
              <w:rPr/>
            </w:pPr>
            <w:r>
              <w:rPr/>
              <w:t> </w:t>
            </w:r>
          </w:p>
        </w:tc>
        <w:tc>
          <w:tcPr>
            <w:tcW w:w="219" w:type="dxa"/>
            <w:tcBorders/>
            <w:shd w:fill="CCEEFF" w:val="clear"/>
          </w:tcPr>
          <w:p>
            <w:pPr>
              <w:pStyle w:val="TableContents"/>
              <w:spacing w:before="0" w:after="283"/>
              <w:jc w:val="right"/>
              <w:rPr/>
            </w:pPr>
            <w:r>
              <w:rPr/>
              <w:t> </w:t>
            </w:r>
          </w:p>
        </w:tc>
        <w:tc>
          <w:tcPr>
            <w:tcW w:w="297" w:type="dxa"/>
            <w:tcBorders/>
            <w:shd w:fill="CCEEFF" w:val="clear"/>
          </w:tcPr>
          <w:p>
            <w:pPr>
              <w:pStyle w:val="TableContents"/>
              <w:spacing w:before="0" w:after="283"/>
              <w:jc w:val="right"/>
              <w:rPr/>
            </w:pPr>
            <w:r>
              <w:rPr/>
              <w:t>49</w:t>
            </w:r>
          </w:p>
        </w:tc>
        <w:tc>
          <w:tcPr>
            <w:tcW w:w="220" w:type="dxa"/>
            <w:tcBorders/>
            <w:shd w:fill="CCEEFF" w:val="clear"/>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4483" w:type="dxa"/>
            <w:tcBorders/>
            <w:shd w:fill="CCEEFF" w:val="clear"/>
          </w:tcPr>
          <w:p>
            <w:pPr>
              <w:pStyle w:val="TableContents"/>
              <w:spacing w:before="0" w:after="283"/>
              <w:jc w:val="left"/>
              <w:rPr/>
            </w:pPr>
            <w:r>
              <w:rPr/>
              <w:t>Senior Vice President of EZPAWN Operations</w:t>
            </w:r>
          </w:p>
        </w:tc>
      </w:tr>
      <w:tr>
        <w:trPr/>
        <w:tc>
          <w:tcPr>
            <w:tcW w:w="4048" w:type="dxa"/>
            <w:tcBorders/>
            <w:shd w:fill="auto" w:val="clear"/>
          </w:tcPr>
          <w:p>
            <w:pPr>
              <w:pStyle w:val="TableContents"/>
              <w:spacing w:before="0" w:after="0"/>
              <w:ind w:left="0" w:right="0" w:hanging="0"/>
              <w:rPr/>
            </w:pPr>
            <w:r>
              <w:rPr/>
              <w:t xml:space="preserve">Robert A. Kasenter </w:t>
            </w:r>
          </w:p>
        </w:tc>
        <w:tc>
          <w:tcPr>
            <w:tcW w:w="469" w:type="dxa"/>
            <w:tcBorders/>
            <w:shd w:fill="auto" w:val="clear"/>
            <w:vAlign w:val="bottom"/>
          </w:tcPr>
          <w:p>
            <w:pPr>
              <w:pStyle w:val="TableContents"/>
              <w:spacing w:before="0" w:after="283"/>
              <w:rPr/>
            </w:pPr>
            <w:r>
              <w:rPr/>
              <w:t> </w:t>
            </w:r>
          </w:p>
        </w:tc>
        <w:tc>
          <w:tcPr>
            <w:tcW w:w="219"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61</w:t>
            </w:r>
          </w:p>
        </w:tc>
        <w:tc>
          <w:tcPr>
            <w:tcW w:w="220" w:type="dxa"/>
            <w:tcBorders/>
            <w:shd w:fill="auto" w:val="clear"/>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jc w:val="left"/>
              <w:rPr/>
            </w:pPr>
            <w:r>
              <w:rPr/>
              <w:t>Senior Vice President of Administration</w:t>
            </w:r>
          </w:p>
        </w:tc>
      </w:tr>
      <w:tr>
        <w:trPr/>
        <w:tc>
          <w:tcPr>
            <w:tcW w:w="4048" w:type="dxa"/>
            <w:tcBorders/>
            <w:shd w:fill="CCEEFF" w:val="clear"/>
          </w:tcPr>
          <w:p>
            <w:pPr>
              <w:pStyle w:val="TableContents"/>
              <w:spacing w:before="0" w:after="0"/>
              <w:ind w:left="0" w:right="0" w:hanging="0"/>
              <w:rPr/>
            </w:pPr>
            <w:r>
              <w:rPr/>
              <w:t xml:space="preserve">Robert Jackson </w:t>
            </w:r>
          </w:p>
        </w:tc>
        <w:tc>
          <w:tcPr>
            <w:tcW w:w="469" w:type="dxa"/>
            <w:tcBorders/>
            <w:shd w:fill="CCEEFF" w:val="clear"/>
            <w:vAlign w:val="bottom"/>
          </w:tcPr>
          <w:p>
            <w:pPr>
              <w:pStyle w:val="TableContents"/>
              <w:spacing w:before="0" w:after="283"/>
              <w:rPr/>
            </w:pPr>
            <w:r>
              <w:rPr/>
              <w:t> </w:t>
            </w:r>
          </w:p>
        </w:tc>
        <w:tc>
          <w:tcPr>
            <w:tcW w:w="219" w:type="dxa"/>
            <w:tcBorders/>
            <w:shd w:fill="CCEEFF" w:val="clear"/>
          </w:tcPr>
          <w:p>
            <w:pPr>
              <w:pStyle w:val="TableContents"/>
              <w:spacing w:before="0" w:after="283"/>
              <w:jc w:val="right"/>
              <w:rPr/>
            </w:pPr>
            <w:r>
              <w:rPr/>
              <w:t> </w:t>
            </w:r>
          </w:p>
        </w:tc>
        <w:tc>
          <w:tcPr>
            <w:tcW w:w="297" w:type="dxa"/>
            <w:tcBorders/>
            <w:shd w:fill="CCEEFF" w:val="clear"/>
          </w:tcPr>
          <w:p>
            <w:pPr>
              <w:pStyle w:val="TableContents"/>
              <w:spacing w:before="0" w:after="283"/>
              <w:jc w:val="right"/>
              <w:rPr/>
            </w:pPr>
            <w:r>
              <w:rPr/>
              <w:t>52</w:t>
            </w:r>
          </w:p>
        </w:tc>
        <w:tc>
          <w:tcPr>
            <w:tcW w:w="220" w:type="dxa"/>
            <w:tcBorders/>
            <w:shd w:fill="CCEEFF" w:val="clear"/>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4483" w:type="dxa"/>
            <w:tcBorders/>
            <w:shd w:fill="CCEEFF" w:val="clear"/>
          </w:tcPr>
          <w:p>
            <w:pPr>
              <w:pStyle w:val="TableContents"/>
              <w:spacing w:before="0" w:after="283"/>
              <w:jc w:val="left"/>
              <w:rPr/>
            </w:pPr>
            <w:r>
              <w:rPr/>
              <w:t>Vice President and Chief Information Officer</w:t>
            </w:r>
          </w:p>
        </w:tc>
      </w:tr>
      <w:tr>
        <w:trPr/>
        <w:tc>
          <w:tcPr>
            <w:tcW w:w="4048" w:type="dxa"/>
            <w:tcBorders/>
            <w:shd w:fill="auto" w:val="clear"/>
          </w:tcPr>
          <w:p>
            <w:pPr>
              <w:pStyle w:val="TableContents"/>
              <w:spacing w:before="0" w:after="0"/>
              <w:ind w:left="0" w:right="0" w:hanging="0"/>
              <w:rPr/>
            </w:pPr>
            <w:r>
              <w:rPr/>
              <w:t xml:space="preserve">John R. Kissick </w:t>
            </w:r>
          </w:p>
        </w:tc>
        <w:tc>
          <w:tcPr>
            <w:tcW w:w="469" w:type="dxa"/>
            <w:tcBorders/>
            <w:shd w:fill="auto" w:val="clear"/>
            <w:vAlign w:val="bottom"/>
          </w:tcPr>
          <w:p>
            <w:pPr>
              <w:pStyle w:val="TableContents"/>
              <w:spacing w:before="0" w:after="283"/>
              <w:rPr/>
            </w:pPr>
            <w:r>
              <w:rPr/>
              <w:t> </w:t>
            </w:r>
          </w:p>
        </w:tc>
        <w:tc>
          <w:tcPr>
            <w:tcW w:w="219"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65</w:t>
            </w:r>
          </w:p>
        </w:tc>
        <w:tc>
          <w:tcPr>
            <w:tcW w:w="220" w:type="dxa"/>
            <w:tcBorders/>
            <w:shd w:fill="auto" w:val="clear"/>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jc w:val="left"/>
              <w:rPr/>
            </w:pPr>
            <w:r>
              <w:rPr/>
              <w:t>Vice President of Strategic Development</w:t>
            </w:r>
          </w:p>
        </w:tc>
      </w:tr>
      <w:tr>
        <w:trPr/>
        <w:tc>
          <w:tcPr>
            <w:tcW w:w="4048" w:type="dxa"/>
            <w:tcBorders/>
            <w:shd w:fill="CCEEFF" w:val="clear"/>
          </w:tcPr>
          <w:p>
            <w:pPr>
              <w:pStyle w:val="TableContents"/>
              <w:spacing w:before="0" w:after="0"/>
              <w:ind w:left="0" w:right="0" w:hanging="0"/>
              <w:rPr/>
            </w:pPr>
            <w:r>
              <w:rPr/>
              <w:t xml:space="preserve">Connie L. Kondik </w:t>
            </w:r>
          </w:p>
        </w:tc>
        <w:tc>
          <w:tcPr>
            <w:tcW w:w="469" w:type="dxa"/>
            <w:tcBorders/>
            <w:shd w:fill="CCEEFF" w:val="clear"/>
            <w:vAlign w:val="bottom"/>
          </w:tcPr>
          <w:p>
            <w:pPr>
              <w:pStyle w:val="TableContents"/>
              <w:spacing w:before="0" w:after="283"/>
              <w:rPr/>
            </w:pPr>
            <w:r>
              <w:rPr/>
              <w:t> </w:t>
            </w:r>
          </w:p>
        </w:tc>
        <w:tc>
          <w:tcPr>
            <w:tcW w:w="219" w:type="dxa"/>
            <w:tcBorders/>
            <w:shd w:fill="CCEEFF" w:val="clear"/>
          </w:tcPr>
          <w:p>
            <w:pPr>
              <w:pStyle w:val="TableContents"/>
              <w:spacing w:before="0" w:after="283"/>
              <w:jc w:val="right"/>
              <w:rPr/>
            </w:pPr>
            <w:r>
              <w:rPr/>
              <w:t> </w:t>
            </w:r>
          </w:p>
        </w:tc>
        <w:tc>
          <w:tcPr>
            <w:tcW w:w="297" w:type="dxa"/>
            <w:tcBorders/>
            <w:shd w:fill="CCEEFF" w:val="clear"/>
          </w:tcPr>
          <w:p>
            <w:pPr>
              <w:pStyle w:val="TableContents"/>
              <w:spacing w:before="0" w:after="283"/>
              <w:jc w:val="right"/>
              <w:rPr/>
            </w:pPr>
            <w:r>
              <w:rPr/>
              <w:t>43</w:t>
            </w:r>
          </w:p>
        </w:tc>
        <w:tc>
          <w:tcPr>
            <w:tcW w:w="220" w:type="dxa"/>
            <w:tcBorders/>
            <w:shd w:fill="CCEEFF" w:val="clear"/>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4483" w:type="dxa"/>
            <w:tcBorders/>
            <w:shd w:fill="CCEEFF" w:val="clear"/>
          </w:tcPr>
          <w:p>
            <w:pPr>
              <w:pStyle w:val="TableContents"/>
              <w:spacing w:before="0" w:after="283"/>
              <w:jc w:val="left"/>
              <w:rPr/>
            </w:pPr>
            <w:r>
              <w:rPr/>
              <w:t>Vice President, Secretary, and General Counsel</w:t>
            </w:r>
          </w:p>
        </w:tc>
      </w:tr>
      <w:tr>
        <w:trPr/>
        <w:tc>
          <w:tcPr>
            <w:tcW w:w="4048" w:type="dxa"/>
            <w:tcBorders/>
            <w:shd w:fill="auto" w:val="clear"/>
          </w:tcPr>
          <w:p>
            <w:pPr>
              <w:pStyle w:val="TableContents"/>
              <w:spacing w:before="0" w:after="0"/>
              <w:ind w:left="0" w:right="0" w:hanging="0"/>
              <w:rPr/>
            </w:pPr>
            <w:r>
              <w:rPr/>
              <w:t xml:space="preserve">Michael Volpe </w:t>
            </w:r>
          </w:p>
        </w:tc>
        <w:tc>
          <w:tcPr>
            <w:tcW w:w="469" w:type="dxa"/>
            <w:tcBorders/>
            <w:shd w:fill="auto" w:val="clear"/>
            <w:vAlign w:val="bottom"/>
          </w:tcPr>
          <w:p>
            <w:pPr>
              <w:pStyle w:val="TableContents"/>
              <w:spacing w:before="0" w:after="283"/>
              <w:rPr/>
            </w:pPr>
            <w:r>
              <w:rPr/>
              <w:t> </w:t>
            </w:r>
          </w:p>
        </w:tc>
        <w:tc>
          <w:tcPr>
            <w:tcW w:w="219" w:type="dxa"/>
            <w:tcBorders/>
            <w:shd w:fill="auto" w:val="clear"/>
          </w:tcPr>
          <w:p>
            <w:pPr>
              <w:pStyle w:val="TableContents"/>
              <w:spacing w:before="0" w:after="283"/>
              <w:jc w:val="right"/>
              <w:rPr/>
            </w:pPr>
            <w:r>
              <w:rPr/>
              <w:t> </w:t>
            </w:r>
          </w:p>
        </w:tc>
        <w:tc>
          <w:tcPr>
            <w:tcW w:w="297" w:type="dxa"/>
            <w:tcBorders/>
            <w:shd w:fill="auto" w:val="clear"/>
          </w:tcPr>
          <w:p>
            <w:pPr>
              <w:pStyle w:val="TableContents"/>
              <w:spacing w:before="0" w:after="283"/>
              <w:jc w:val="right"/>
              <w:rPr/>
            </w:pPr>
            <w:r>
              <w:rPr/>
              <w:t>43</w:t>
            </w:r>
          </w:p>
        </w:tc>
        <w:tc>
          <w:tcPr>
            <w:tcW w:w="220" w:type="dxa"/>
            <w:tcBorders/>
            <w:shd w:fill="auto" w:val="clear"/>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jc w:val="left"/>
              <w:rPr/>
            </w:pPr>
            <w:r>
              <w:rPr/>
              <w:t>Vice President  EZMONEY Division</w:t>
            </w:r>
          </w:p>
        </w:tc>
      </w:tr>
      <w:tr>
        <w:trPr/>
        <w:tc>
          <w:tcPr>
            <w:tcW w:w="4048" w:type="dxa"/>
            <w:tcBorders/>
            <w:shd w:fill="CCEEFF" w:val="clear"/>
          </w:tcPr>
          <w:p>
            <w:pPr>
              <w:pStyle w:val="TableContents"/>
              <w:spacing w:before="0" w:after="0"/>
              <w:ind w:left="0" w:right="0" w:hanging="0"/>
              <w:rPr/>
            </w:pPr>
            <w:r>
              <w:rPr/>
              <w:t xml:space="preserve">Daniel M. Chism </w:t>
            </w:r>
          </w:p>
        </w:tc>
        <w:tc>
          <w:tcPr>
            <w:tcW w:w="469" w:type="dxa"/>
            <w:tcBorders/>
            <w:shd w:fill="CCEEFF" w:val="clear"/>
            <w:vAlign w:val="bottom"/>
          </w:tcPr>
          <w:p>
            <w:pPr>
              <w:pStyle w:val="TableContents"/>
              <w:spacing w:before="0" w:after="283"/>
              <w:rPr/>
            </w:pPr>
            <w:r>
              <w:rPr/>
              <w:t> </w:t>
            </w:r>
          </w:p>
        </w:tc>
        <w:tc>
          <w:tcPr>
            <w:tcW w:w="219" w:type="dxa"/>
            <w:tcBorders/>
            <w:shd w:fill="CCEEFF" w:val="clear"/>
          </w:tcPr>
          <w:p>
            <w:pPr>
              <w:pStyle w:val="TableContents"/>
              <w:spacing w:before="0" w:after="283"/>
              <w:jc w:val="right"/>
              <w:rPr/>
            </w:pPr>
            <w:r>
              <w:rPr/>
              <w:t> </w:t>
            </w:r>
          </w:p>
        </w:tc>
        <w:tc>
          <w:tcPr>
            <w:tcW w:w="297" w:type="dxa"/>
            <w:tcBorders/>
            <w:shd w:fill="CCEEFF" w:val="clear"/>
          </w:tcPr>
          <w:p>
            <w:pPr>
              <w:pStyle w:val="TableContents"/>
              <w:spacing w:before="0" w:after="283"/>
              <w:jc w:val="right"/>
              <w:rPr/>
            </w:pPr>
            <w:r>
              <w:rPr/>
              <w:t>39</w:t>
            </w:r>
          </w:p>
        </w:tc>
        <w:tc>
          <w:tcPr>
            <w:tcW w:w="220" w:type="dxa"/>
            <w:tcBorders/>
            <w:shd w:fill="CCEEFF" w:val="clear"/>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4483" w:type="dxa"/>
            <w:tcBorders/>
            <w:shd w:fill="CCEEFF" w:val="clear"/>
          </w:tcPr>
          <w:p>
            <w:pPr>
              <w:pStyle w:val="TableContents"/>
              <w:spacing w:before="0" w:after="283"/>
              <w:jc w:val="left"/>
              <w:rPr/>
            </w:pPr>
            <w:r>
              <w:rPr/>
              <w:t>Controller and Assistant Secretary</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14"/>
        <w:gridCol w:w="2205"/>
        <w:gridCol w:w="1386"/>
      </w:tblGrid>
      <w:tr>
        <w:trPr/>
        <w:tc>
          <w:tcPr>
            <w:tcW w:w="6614"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(1)</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Member of Executive Committee</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(2)</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Member of Compensation Committee</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(3)</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Member of Section 401(k) Plan Committee</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(4)</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Member of Audit Committee</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Brinkley has served as either Chairman of the Board or Chairman of the Executive Committee of the Board of Directors of EZCORP since 1989. Mr. Brinkley serves as a Director of Albemarle &amp; Bond Holdings plc, of which we own just under 30%. In addition, Mr. Brinkley was President and Chairman of the Board of MS Pawn Corporation, the general partner of MS Pawn Limited Partnership until 2004. Mr. Brinkley served as Chairman of the Board, Chairman of the Executive Committee, or Chief Executive Officer of Crescent Jewelers, Inc., an affiliate of EZCORP from 1988 to March 2005. Crescent Jewelers, a private company, filed for Chapter 11 bankruptcy protection in August 2004. From 1990 to December 2003, he served as Chairman of the Board or Chairman of the Executive Committee of Friedmans, Inc., a publicly traded affiliate of EZCORP. Friedmans, Inc. filed for Chapter 11 bankruptcy in January 2005. From 1986 to 1990, Mr. Brinkley served as a Managing Director of Morgan Schiff &amp; Co., Inc., an affiliate of EZCORP. See Security Ownership of Certain Beneficial Owners and Management.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Rotunda joined us as Director, President and Chief Operating Officer in February 2000 and assumed the role of Chief Executive Officer in August 2000. From 1998 to 2000, he was Chief Operating Officer of G&amp;K Services, Inc., a $500 million provider of uniform and textile products. From 1991 to 1998 he progressed through several officer positions to Executive Vice President and Chief Operating Officer of Rent-A-Center. Mr. Rotunda also currently serves as a Director of Easyhome, Ltd., Toronto, Canada.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Tonissen has served as EZCORPs Senior Vice President and Chief Financial Officer since August 1994. Mr. Tonissen has also been a member of our Board of Directors since August 1994.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Matzner has served as an independent EZCORP Director since July 2002. He has been Senior Counsel with the law firm of McDermott, Will &amp; Emery since August 2002, and has been the Mayor of the Village of Pinecrest, Florida since November 2004. From 1997 to July 2002, Mr. Matzner was President </w:t>
      </w:r>
    </w:p>
    <w:p>
      <w:pPr>
        <w:pStyle w:val="TextBody"/>
        <w:jc w:val="center"/>
        <w:rPr>
          <w:rFonts w:ascii="Helvetica;Arial;sans-serif" w:hAnsi="Helvetica;Arial;sans-serif"/>
          <w:sz w:val="17"/>
        </w:rPr>
      </w:pPr>
      <w:r>
        <w:rPr>
          <w:rFonts w:ascii="Helvetica;Arial;sans-serif" w:hAnsi="Helvetica;Arial;sans-serif"/>
          <w:sz w:val="17"/>
        </w:rPr>
        <w:t xml:space="preserve">74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of Nobel Health Services, Inc., a provider of health care consulting services. From 1999 to May 2001, Mr. Matzner was also President of Oakridge Outpatient Center, Inc.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Roberts has served as an independent Director and as Chairman of the Audit Committee of our Board of Directors since January 2005. Since 1990, Mr. Roberts has been a private investor and is currently Chairman of the Board of Directors and Chairman of the Trust Committee of Pensco, Inc., a financial services company. From 1985 until 1989, he was President of Control Data Computer Systems and Services and a member of the Control Data Board of Directors. From 1970 to 1985, Mr. Roberts was with Schlumberger, Ltd., where he was President of Schlumbergers worldwide electronics operations from 1979 until 1985 and an Executive Vice President and Chief Financial Officer from 1977 to 1979.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Sage has served as an independent EZCORP Director since July 1995. Since June 1993, he has been associated with Sage Law Offices in Miami, Florida. Mr. Sage was a Director of Champion Healthcare Corporation from January 1995 to August 1996. He was a co-founder of AmeriHealth, Inc., which owned and managed hospitals. He served as Treasurer of AmeriHealth, Inc. from April 1983 to October 1995 and was a Director of AmeriHealth, Inc. from April 1983 to December 1994.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Edwards has served as an independent EZCORP Director since June 2007. In 2006, he retired as the Senior Vice President of International Marketing with the National Western Life Insurance Company. During his thirty-year career at National Western Life, he had responsibility for international business development, marketing and policy owner services throughout the world.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Fosse joined EZCORP in September 2004 as Vice President of EZMONEY Operations. In August 2007, Mr. Fosse was promoted to President  EZMONEY Division. From 1991 to 2004, Mr. Fosse was employed in various operating positions and ultimately served as a Regional Vice President of G&amp;K Services, a $500 million provider of uniform and textile products.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Fox joined EZCORP in April 2007 as the Vice President of Strategic Development and Marketing and was promoted to Senior Vice President of EZPAWN Operations in August 2007. From 2002 to 2006, Mr. Fox was the Executive Vice President of Merchandising and Marketing at Trans World Entertainment. From 2000 to 2002, he was the Vice President of Strategic Sourcing for Fisher Scientific Company, and was Executive Vice President of WorldSpy.com from 1999 to 2000. From 1997 to 1999, Mr. Fox was Vice President and General Merchandise Manager for OfficeMax, Inc.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Kasenter joined EZCORP in August 2003 as Vice President of Human Resources and in October 2004 was promoted to Senior Vice President of Administration. He was a Director of the Donnkenny Apparel Board from 2001 to April 2005, at which time Donnkenny filed for Chapter 11 bankruptcy protection and was sold. Mr. Kasenter was the President &amp; Chief Executive Officer of Strategic Executive Actions, a Chicago-based management consulting firm specializing in human resource crisis issues from 1999 to 2003. From 1968 to 1999, Mr. Kasenter was employed in various operating and administrative positions and ultimately served as the Executive Vice President of Human Resources and Corporate Communications for Montgomery Ward.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Jackson joined EZCORP in May 2004 as Vice President &amp; Chief Information Officer. He was Chief Information Officer at DuPont Photomasks, Inc. from 1997 to 2004 where he also served as Controller from 1995 to 1996.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Kissick has served as Vice President of Strategic Development since August 2001. From 1998 to 2001, Mr. Kissick was Managing Director of Strategic Development Partners, a strategy and business development consulting firm located in Wichita, Kansas. From 1991 to 1998 he served as Vice President of Strategic Planning for Rent-A-Center.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Ms. Kondik has served as General Counsel since June 2000, Secretary since January 2001 and Vice President since January 2003. From June 1995 to June 2000, Ms. Kondik served as Sr. Associate </w:t>
      </w:r>
    </w:p>
    <w:p>
      <w:pPr>
        <w:pStyle w:val="TextBody"/>
        <w:jc w:val="center"/>
        <w:rPr>
          <w:rFonts w:ascii="Helvetica;Arial;sans-serif" w:hAnsi="Helvetica;Arial;sans-serif"/>
          <w:sz w:val="17"/>
        </w:rPr>
      </w:pPr>
      <w:r>
        <w:rPr>
          <w:rFonts w:ascii="Helvetica;Arial;sans-serif" w:hAnsi="Helvetica;Arial;sans-serif"/>
          <w:sz w:val="17"/>
        </w:rPr>
        <w:t xml:space="preserve">75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General Counsel, Vice-President and Assistant Secretary of Empire Funding Corp. and TMI Financial, Inc., a national sub-prime mortgage lender and servicer.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Volpe joined us in October 2003 as Vice President of EZPAWN Operations, and in September 2007 became Vice President  EZMONEY Division. From 2001 to 2003, he was a multi-unit manager for Toys R Us in the Chicago Area. Prior to 2001, Mr. Volpe spent ten years in several positions with Montgomery Ward, including the National Director of Hardlines.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Chism has served as our Controller and Assistant Secretary since August 1999. From 1996 to 1999, Mr. Chism served as Audit Manager for Ernst &amp; Young LLP, where he also served as an audit senior and audit staff member from 1991 to 1995. </w:t>
      </w:r>
    </w:p>
    <w:p>
      <w:pPr>
        <w:pStyle w:val="TextBody"/>
        <w:spacing w:before="240" w:after="283"/>
        <w:jc w:val="left"/>
        <w:rPr>
          <w:rFonts w:ascii="Helvetica;Arial;sans-serif" w:hAnsi="Helvetica;Arial;sans-serif"/>
          <w:sz w:val="17"/>
        </w:rPr>
      </w:pPr>
      <w:r>
        <w:rPr>
          <w:rFonts w:ascii="Helvetica;Arial;sans-serif" w:hAnsi="Helvetica;Arial;sans-serif"/>
          <w:b/>
          <w:sz w:val="17"/>
        </w:rPr>
        <w:t>Committees of the Board</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Board of Directors held five meetings during the year ended September 30, 2007. The Board of Directors has appointed four standing committees: an Executive Committee, an Audit Committee, a Compensation Committee and a Section 401(k) Plan Committee. During fiscal 2007, the Board appointed a special committee of the four independent directors for the limited purpose of reviewing our relationship with Madison Park, a related party.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members of the Executive Committee for fiscal 2007 were Mr. Brinkley, Mr. Rotunda and Mr. Tonissen. The Executive Committee held several informal meetings during fiscal 2007, and all members attended.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Audit Committee, comprised of Messrs. Roberts, Sage and Matzner, held five meetings in fiscal 2007, and all members attended. All Audit Committee members are independent directors and are financially literate. The Board of Directors has determined that Mr. Roberts, the committees chairman, is an audit committee financial expert as defined in the applicable rules and regulations of the Securities and Exchange Act of 1934. The Audit Committee reviewed this annual report and approved its inclusion in this Form 10-K. The Audit Committee discussed auditor independence with our independent registered public accounting firm, BDO Seidman, LLP, and received a letter from them regarding BDO Seidmans independence.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Compensation Committee, comprised of Mr. Sage, Mr. Roberts and Mr. Edwards, held five formal meetings and several informal meetings during fiscal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committee that administers the Section 401(k) Plan consists of Mr. Rotunda and Mr. Tonissen. Both members attended the one informal meeting held by the 401(k) Committee during fiscal 2007. All fiscal 2007 actions of this committee were by Written Unanimous Consents or by board resolutions. All directors attended at least 75% of the total number of meetings of the Board and of the committees on which they 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special committee of independent directors held three formal meetings and several informal meetings during fiscal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NASDAQ stock market, where our stock is traded, typically requires registrants boards to utilize a nominating committee to nominate prospective members of the board. EZCORP is a controlled company, with all its voting stock controlled by one individual. Accordingly, we are exempt from the requirement to have a nominating committee, and our voting shareholder elects our directors. </w:t>
      </w:r>
    </w:p>
    <w:p>
      <w:pPr>
        <w:pStyle w:val="TextBody"/>
        <w:spacing w:before="240" w:after="283"/>
        <w:jc w:val="left"/>
        <w:rPr>
          <w:rFonts w:ascii="Helvetica;Arial;sans-serif" w:hAnsi="Helvetica;Arial;sans-serif"/>
          <w:sz w:val="17"/>
        </w:rPr>
      </w:pPr>
      <w:r>
        <w:rPr>
          <w:rFonts w:ascii="Helvetica;Arial;sans-serif" w:hAnsi="Helvetica;Arial;sans-serif"/>
          <w:b/>
          <w:sz w:val="17"/>
        </w:rPr>
        <w:t>Code of Conduct and Ethics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in place a Code of Conduct and Ethics applicable to all employees, as well as the Board of Directors and executive officers. Copies of our Code of Conduct and Ethics are available, free of charge by submitting a written request to EZCORP, Inc., Investor Relations, 1901 Capital Parkway, Austin, Texas </w:t>
      </w:r>
    </w:p>
    <w:p>
      <w:pPr>
        <w:pStyle w:val="TextBody"/>
        <w:jc w:val="center"/>
        <w:rPr>
          <w:rFonts w:ascii="Helvetica;Arial;sans-serif" w:hAnsi="Helvetica;Arial;sans-serif"/>
          <w:sz w:val="17"/>
        </w:rPr>
      </w:pPr>
      <w:r>
        <w:rPr>
          <w:rFonts w:ascii="Helvetica;Arial;sans-serif" w:hAnsi="Helvetica;Arial;sans-serif"/>
          <w:sz w:val="17"/>
        </w:rPr>
        <w:t xml:space="preserve">76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78746 or may be obtained from the Investor Relations section of our website at </w:t>
      </w:r>
      <w:r>
        <w:rPr>
          <w:rFonts w:ascii="Helvetica;Arial;sans-serif" w:hAnsi="Helvetica;Arial;sans-serif"/>
          <w:sz w:val="17"/>
          <w:u w:val="single"/>
        </w:rPr>
        <w:t>www.ezcorp.com.</w:t>
      </w:r>
      <w:r>
        <w:rPr>
          <w:rFonts w:ascii="Helvetica;Arial;sans-serif" w:hAnsi="Helvetica;Arial;sans-serif"/>
          <w:sz w:val="17"/>
        </w:rPr>
        <w:t xml:space="preserve"> The Code of Conduct and Ethics also contains contact information for any security holder to contact our Board of Directors or General Counsel. </w:t>
      </w:r>
    </w:p>
    <w:p>
      <w:pPr>
        <w:pStyle w:val="TextBody"/>
        <w:spacing w:before="240" w:after="283"/>
        <w:jc w:val="left"/>
        <w:rPr>
          <w:rFonts w:ascii="Helvetica;Arial;sans-serif" w:hAnsi="Helvetica;Arial;sans-serif"/>
          <w:sz w:val="17"/>
        </w:rPr>
      </w:pPr>
      <w:r>
        <w:rPr>
          <w:rFonts w:ascii="Helvetica;Arial;sans-serif" w:hAnsi="Helvetica;Arial;sans-serif"/>
          <w:b/>
          <w:sz w:val="17"/>
        </w:rPr>
        <w:t>Audit Committee and Compensation Committee Charters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have in place charters for our Board of Directors Audit Committee and Compensation Committee. Copies of both charters may be obtained from the Investor Relations section of our website at </w:t>
      </w:r>
      <w:r>
        <w:rPr>
          <w:rFonts w:ascii="Helvetica;Arial;sans-serif" w:hAnsi="Helvetica;Arial;sans-serif"/>
          <w:sz w:val="17"/>
          <w:u w:val="single"/>
        </w:rPr>
        <w:t>www.ezcorp.com.</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b/>
          <w:sz w:val="17"/>
        </w:rPr>
        <w:t>Section 16(a) Beneficial Ownership Reporting Compliance</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Based primarily on statements received from officers and directors and a review of the relevant Forms 3, 4 and 5, all officers, directors and beneficial owners of more than ten percent of any class of equity securities were timely, except as noted below, throughout the fiscal year in filing all reports required by Section 16(a) of the Exchange Act.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Eric Fosse filed a Form 5 on November 13, 2007 reporting, among other things, a July 2006 forfeiture of EZCORP stock related to his excess contributions to our 401(k) plan. The forfeiture should have been reported on a Form 5 by November 14, 2006, which was 364 days prior to the date the forfeiture was reported. </w:t>
      </w:r>
    </w:p>
    <w:p>
      <w:pPr>
        <w:pStyle w:val="TextBody"/>
        <w:jc w:val="center"/>
        <w:rPr>
          <w:rFonts w:ascii="Helvetica;Arial;sans-serif" w:hAnsi="Helvetica;Arial;sans-serif"/>
          <w:sz w:val="17"/>
        </w:rPr>
      </w:pPr>
      <w:r>
        <w:rPr>
          <w:rFonts w:ascii="Helvetica;Arial;sans-serif" w:hAnsi="Helvetica;Arial;sans-serif"/>
          <w:sz w:val="17"/>
        </w:rPr>
        <w:t xml:space="preserve">77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26" w:name="117"/>
      <w:bookmarkEnd w:id="26"/>
      <w:r>
        <w:rPr>
          <w:rFonts w:ascii="Helvetica;Arial;sans-serif" w:hAnsi="Helvetica;Arial;sans-serif"/>
          <w:b/>
          <w:smallCaps/>
          <w:sz w:val="17"/>
        </w:rPr>
        <w:t>Item 11. Executive Compensation</w:t>
      </w:r>
      <w:r>
        <w:rPr>
          <w:rFonts w:ascii="Helvetica;Arial;sans-serif" w:hAnsi="Helvetica;Arial;sans-serif"/>
          <w:sz w:val="17"/>
        </w:rPr>
        <w:t xml:space="preserve"> </w:t>
      </w:r>
    </w:p>
    <w:p>
      <w:pPr>
        <w:pStyle w:val="TextBody"/>
        <w:spacing w:before="360" w:after="283"/>
        <w:jc w:val="center"/>
        <w:rPr>
          <w:rFonts w:ascii="Helvetica;Arial;sans-serif" w:hAnsi="Helvetica;Arial;sans-serif"/>
          <w:sz w:val="17"/>
        </w:rPr>
      </w:pPr>
      <w:r>
        <w:rPr>
          <w:rFonts w:ascii="Helvetica;Arial;sans-serif" w:hAnsi="Helvetica;Arial;sans-serif"/>
          <w:b/>
          <w:sz w:val="17"/>
        </w:rPr>
        <w:t>COMPENSATION DISCUSSION AND ANALYSIS</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b/>
          <w:sz w:val="17"/>
        </w:rPr>
        <w:t>Overview of Compensation Program</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Compensation Committee of the Board of Directors is responsible for establishing and implementing our compensation policies and monitoring our compensation practices. The Compensation Committee ensures that the executive officers total compensation is fair, reasonable and competitive. The Compensation Committee is responsible for reviewing and approving all officer compensation and equity based compensation plans. </w:t>
      </w:r>
    </w:p>
    <w:p>
      <w:pPr>
        <w:pStyle w:val="TextBody"/>
        <w:spacing w:before="240" w:after="283"/>
        <w:jc w:val="left"/>
        <w:rPr>
          <w:rFonts w:ascii="Helvetica;Arial;sans-serif" w:hAnsi="Helvetica;Arial;sans-serif"/>
          <w:b/>
          <w:sz w:val="17"/>
        </w:rPr>
      </w:pPr>
      <w:r>
        <w:rPr>
          <w:rFonts w:ascii="Helvetica;Arial;sans-serif" w:hAnsi="Helvetica;Arial;sans-serif"/>
          <w:b/>
          <w:sz w:val="17"/>
        </w:rPr>
        <w:t>Philosophy and Goals of EZCORPs Executive Compensation Plans</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Compensation Committees philosophy for executive compensation is to: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Pay for performance. The Compensation Committee believes that our executives should be compensated based upon their ability to achieve specific operational and strategic results. Therefore, our compensation plans are designed to provide rewards for the individuals contribution to our performance.</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Pay commensurate with other companies categorized as value creators. The Compensation Committee has determined that compensation levels for named executives should be targeted at the 75th percentile for similar executives in the workforce. This allows us to attract, hire, reward and retain executives who are able to continue to formulate and execute our strategic plans and drive exceptional results.</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To ensure programs are competitive, the Compensation Committee reviews the compensation information of peer companies that the Compensation Committee has selected as competitive models and utilizes national data and trends in executive compensation to help determine the appropriateness of our plans and compensation levels. All of this data becomes the basis for the Compensation Committees decisions on compensation plans and individual compensation payments to executives.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Compensation Committee has approved a variety of compensation programs that work together to provide a combination of basic compensation and strong incentives. While it is important for us to provide certain base level salaries and benefits to remain competitive in the marketplace, the Compensation Committees objective is to provide compensation plans with incentive opportunities that motivate and reward executives for achieving superior results. The Compensation Committee designs our compensation plans to: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Reward executives based upon overall company performance, their individual contributions and creation of shareholder value;</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Encourage top performers to make a long-term commitment to our company;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Align executive incentive plans with the long-term interests of the shareholders.</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Compensation Committee reviews competitive information and individual compensation levels before each fiscal year. During the review process, the Compensation Committee addresses the following questions: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Do any existing compensation plans need to be adjusted to reflect either changes to competitive practices, different circumstances in the market or changes to our strategic initiatives?</w:t>
            </w:r>
          </w:p>
        </w:tc>
      </w:tr>
    </w:tbl>
    <w:p>
      <w:pPr>
        <w:pStyle w:val="TextBody"/>
        <w:jc w:val="center"/>
        <w:rPr>
          <w:rFonts w:ascii="Helvetica;Arial;sans-serif" w:hAnsi="Helvetica;Arial;sans-serif"/>
          <w:sz w:val="17"/>
        </w:rPr>
      </w:pPr>
      <w:r>
        <w:rPr>
          <w:rFonts w:ascii="Helvetica;Arial;sans-serif" w:hAnsi="Helvetica;Arial;sans-serif"/>
          <w:sz w:val="17"/>
        </w:rPr>
        <w:t xml:space="preserve">78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Should any existing compensation plans be eliminated or new plans added to the executive compensation programs?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What are the compensation-related objectives for our Incentive Compensation Plan for the upcoming fiscal year?</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Based upon individual performance, what compensation modifications should be made to motivate key executives to perform at superior levels?</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To assist the Compensation Committee in answering these questions, it considers input from management, outside compensation experts and published surveys of compensation levels and practices. </w:t>
      </w:r>
    </w:p>
    <w:p>
      <w:pPr>
        <w:pStyle w:val="TextBody"/>
        <w:spacing w:before="240" w:after="283"/>
        <w:jc w:val="left"/>
        <w:rPr>
          <w:rFonts w:ascii="Helvetica;Arial;sans-serif" w:hAnsi="Helvetica;Arial;sans-serif"/>
          <w:b/>
          <w:sz w:val="17"/>
        </w:rPr>
      </w:pPr>
      <w:r>
        <w:rPr>
          <w:rFonts w:ascii="Helvetica;Arial;sans-serif" w:hAnsi="Helvetica;Arial;sans-serif"/>
          <w:b/>
          <w:sz w:val="17"/>
        </w:rPr>
        <w:t>Scope of Authority of the Compensation Committee</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Board of Directors has authorized the Compensation Committee to establish the compensation of all executive officers and to provide oversight for compliance with the compensation philosophy. Annually, the Compensation Committee sets the compensation for all named executive officers, including objectives and awards under incentive plans. The Compensation Committee also makes recommendations to the Board of Directors on appropriate compensation for the independent directors. In addition to overseeing the compensation of named executive officers, the Compensation Committee approves and administers all compensation and benefit plans for all other officers. The Compensation Committee operates under a charter that is available In the Investor Relations  Corporate Governance section of our website, www.ezcorp.com. </w:t>
      </w:r>
    </w:p>
    <w:p>
      <w:pPr>
        <w:pStyle w:val="TextBody"/>
        <w:spacing w:before="120" w:after="283"/>
        <w:jc w:val="left"/>
        <w:rPr>
          <w:rFonts w:ascii="Helvetica;Arial;sans-serif" w:hAnsi="Helvetica;Arial;sans-serif"/>
          <w:b/>
          <w:sz w:val="17"/>
        </w:rPr>
      </w:pPr>
      <w:r>
        <w:rPr>
          <w:rFonts w:ascii="Helvetica;Arial;sans-serif" w:hAnsi="Helvetica;Arial;sans-serif"/>
          <w:b/>
          <w:sz w:val="17"/>
        </w:rPr>
        <w:t>Independent Compensation Expertise</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Compensation Committee is authorized to retain independent experts to assist in evaluating executive compensation plans and setting executive compensation. The expert provides information on trends and best practices so the Compensation Committee can formulate ongoing plans for executive compensation. The Compensation Committee retained Longnecker and Associates as its independent expert to assist in its determination of the reasonableness and competitiveness of the 2007 executive compensation plans and individual compensation.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Longnecker and Associates performed a benchmark compensation review of our key executive positions, including the named executive officers. Longnecker and Associates utilized market compensation data from the following published survey sources on retail trade and used merchandise industries with the surveyed companies reported compensation data adjusted for revenue differences to be comparable to ours: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Economic Research Institute Executive Compensation Assessor 2006</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Watson Wyatt, 2004/2005 Top Management Compensation  Industry Report</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Watson Wyatt, 2005/2006 Top Management Compensation  Regression Analysis Report</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2005 Mercer Benchmark Database Executive Report</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World-at-Work, 2006/2007 Total Salary Increase Budget Survey</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evaluating appropriate compensation for executives, it is common practice to set targets at a point within the competitive marketplace. If one were targeting the median of the competitive market, the compensation target would be at the 50th percentile. The Compensation Committee must determine where to set its competitive compensation levels based upon its compensation philosophy. Comparisons to the market are often made using the 50th percentile for companies that are value maintainers and the 75th percentile for value creators. Based upon the Longnecker study, the creation of shareholder value and revenues and our earning growth over the last three years, the Compensation Committee determined that the company is a value creator, and set the total compensation target for named executive positions at the 75th percentile of total compensation for the competitive market. </w:t>
      </w:r>
    </w:p>
    <w:p>
      <w:pPr>
        <w:pStyle w:val="TextBody"/>
        <w:jc w:val="center"/>
        <w:rPr>
          <w:rFonts w:ascii="Helvetica;Arial;sans-serif" w:hAnsi="Helvetica;Arial;sans-serif"/>
          <w:sz w:val="17"/>
        </w:rPr>
      </w:pPr>
      <w:r>
        <w:rPr>
          <w:rFonts w:ascii="Helvetica;Arial;sans-serif" w:hAnsi="Helvetica;Arial;sans-serif"/>
          <w:sz w:val="17"/>
        </w:rPr>
        <w:t xml:space="preserve">79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Peer Group Companies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addition to the above survey analysis, the Compensation Committee also reviewed the compensation levels for specific competitive benchmark companies. With input from management, the Compensation Committee chose the peer companies based upon business similarities to our company and comparable key executive positions. While the specific plans for these companies may or may not be used, it is helpful to review their compensation data to provide benchmarks for the overall compensation levels that will be used to attract, hire, retain and motivate our executives.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direct competitors that compete for the same executive talent, the peer group companies in the following table most closely matched the responsibilities and requirements of our executives. The Compensation Committee used these competitors publicly available compensation information to analyze our competitive position in the industry. The Compensation Committee reviews the base salaries, short-term and long term incentive plans and benefits of the executives of these companies to provide background and perspective in analyzing the compensation levels for our executives.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table below identifies the peer companies selected by the Compensation Committee for comparisons. </w:t>
      </w:r>
    </w:p>
    <w:p>
      <w:pPr>
        <w:pStyle w:val="TextBody"/>
        <w:spacing w:before="360" w:after="283"/>
        <w:jc w:val="center"/>
        <w:rPr>
          <w:rFonts w:ascii="Helvetica;Arial;sans-serif" w:hAnsi="Helvetica;Arial;sans-serif"/>
          <w:sz w:val="17"/>
        </w:rPr>
      </w:pPr>
      <w:r>
        <w:rPr>
          <w:rFonts w:ascii="Helvetica;Arial;sans-serif" w:hAnsi="Helvetica;Arial;sans-serif"/>
          <w:b/>
          <w:sz w:val="17"/>
        </w:rPr>
        <w:t>COMPENSATION PEER GROUP COMPANIES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4592"/>
        <w:gridCol w:w="508"/>
        <w:gridCol w:w="5105"/>
      </w:tblGrid>
      <w:tr>
        <w:trPr/>
        <w:tc>
          <w:tcPr>
            <w:tcW w:w="459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5105" w:type="dxa"/>
            <w:tcBorders/>
            <w:shd w:fill="auto" w:val="clear"/>
            <w:vAlign w:val="bottom"/>
          </w:tcPr>
          <w:p>
            <w:pPr>
              <w:pStyle w:val="TableContents"/>
              <w:spacing w:before="0" w:after="283"/>
              <w:rPr/>
            </w:pPr>
            <w:r>
              <w:rPr/>
              <w:t> </w:t>
            </w:r>
          </w:p>
        </w:tc>
      </w:tr>
      <w:tr>
        <w:trPr/>
        <w:tc>
          <w:tcPr>
            <w:tcW w:w="4592" w:type="dxa"/>
            <w:tcBorders>
              <w:bottom w:val="single" w:sz="2" w:space="0" w:color="000000"/>
            </w:tcBorders>
            <w:shd w:fill="auto" w:val="clear"/>
            <w:tcMar>
              <w:bottom w:w="28" w:type="dxa"/>
            </w:tcMar>
            <w:vAlign w:val="bottom"/>
          </w:tcPr>
          <w:p>
            <w:pPr>
              <w:pStyle w:val="TableContents"/>
              <w:spacing w:before="0" w:after="283"/>
              <w:jc w:val="center"/>
              <w:rPr/>
            </w:pPr>
            <w:r>
              <w:rPr/>
              <w:t>Company</w:t>
            </w:r>
          </w:p>
        </w:tc>
        <w:tc>
          <w:tcPr>
            <w:tcW w:w="508" w:type="dxa"/>
            <w:tcBorders/>
            <w:shd w:fill="auto" w:val="clear"/>
            <w:vAlign w:val="bottom"/>
          </w:tcPr>
          <w:p>
            <w:pPr>
              <w:pStyle w:val="TableContents"/>
              <w:spacing w:before="0" w:after="283"/>
              <w:rPr/>
            </w:pPr>
            <w:r>
              <w:rPr/>
              <w:t> </w:t>
            </w:r>
          </w:p>
        </w:tc>
        <w:tc>
          <w:tcPr>
            <w:tcW w:w="5105" w:type="dxa"/>
            <w:tcBorders>
              <w:bottom w:val="single" w:sz="2" w:space="0" w:color="000000"/>
            </w:tcBorders>
            <w:shd w:fill="auto" w:val="clear"/>
            <w:tcMar>
              <w:bottom w:w="28" w:type="dxa"/>
            </w:tcMar>
            <w:vAlign w:val="bottom"/>
          </w:tcPr>
          <w:p>
            <w:pPr>
              <w:pStyle w:val="TableContents"/>
              <w:spacing w:before="0" w:after="283"/>
              <w:jc w:val="center"/>
              <w:rPr/>
            </w:pPr>
            <w:r>
              <w:rPr/>
              <w:t>Business</w:t>
            </w:r>
          </w:p>
        </w:tc>
      </w:tr>
      <w:tr>
        <w:trPr/>
        <w:tc>
          <w:tcPr>
            <w:tcW w:w="4592" w:type="dxa"/>
            <w:tcBorders/>
            <w:shd w:fill="auto" w:val="clear"/>
          </w:tcPr>
          <w:p>
            <w:pPr>
              <w:pStyle w:val="TableContents"/>
              <w:spacing w:before="0" w:after="0"/>
              <w:ind w:left="0" w:right="0" w:hanging="0"/>
              <w:rPr/>
            </w:pPr>
            <w:r>
              <w:rPr/>
              <w:t> </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2" w:type="dxa"/>
            <w:tcBorders/>
            <w:shd w:fill="auto" w:val="clear"/>
          </w:tcPr>
          <w:p>
            <w:pPr>
              <w:pStyle w:val="TableContents"/>
              <w:spacing w:before="0" w:after="0"/>
              <w:ind w:left="0" w:right="0" w:hanging="0"/>
              <w:rPr/>
            </w:pPr>
            <w:r>
              <w:rPr/>
              <w:t xml:space="preserve">Ace Cash Express </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Payday Lending and Check Cashing</w:t>
            </w:r>
          </w:p>
        </w:tc>
      </w:tr>
      <w:tr>
        <w:trPr/>
        <w:tc>
          <w:tcPr>
            <w:tcW w:w="4592" w:type="dxa"/>
            <w:tcBorders/>
            <w:shd w:fill="auto" w:val="clear"/>
          </w:tcPr>
          <w:p>
            <w:pPr>
              <w:pStyle w:val="TableContents"/>
              <w:spacing w:before="0" w:after="0"/>
              <w:ind w:left="0" w:right="0" w:hanging="0"/>
              <w:rPr/>
            </w:pPr>
            <w:r>
              <w:rPr/>
              <w:t xml:space="preserve">Advance America </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Payday Lending</w:t>
            </w:r>
          </w:p>
        </w:tc>
      </w:tr>
      <w:tr>
        <w:trPr/>
        <w:tc>
          <w:tcPr>
            <w:tcW w:w="4592" w:type="dxa"/>
            <w:tcBorders/>
            <w:shd w:fill="auto" w:val="clear"/>
          </w:tcPr>
          <w:p>
            <w:pPr>
              <w:pStyle w:val="TableContents"/>
              <w:spacing w:before="0" w:after="0"/>
              <w:ind w:left="0" w:right="0" w:hanging="0"/>
              <w:rPr/>
            </w:pPr>
            <w:r>
              <w:rPr/>
              <w:t xml:space="preserve">Cash America </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Pawn and Payday Lending</w:t>
            </w:r>
          </w:p>
        </w:tc>
      </w:tr>
      <w:tr>
        <w:trPr/>
        <w:tc>
          <w:tcPr>
            <w:tcW w:w="4592" w:type="dxa"/>
            <w:tcBorders/>
            <w:shd w:fill="auto" w:val="clear"/>
          </w:tcPr>
          <w:p>
            <w:pPr>
              <w:pStyle w:val="TableContents"/>
              <w:spacing w:before="0" w:after="0"/>
              <w:ind w:left="0" w:right="0" w:hanging="0"/>
              <w:rPr/>
            </w:pPr>
            <w:r>
              <w:rPr/>
              <w:t xml:space="preserve">Dollar Financial </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Payday Lending</w:t>
            </w:r>
          </w:p>
        </w:tc>
      </w:tr>
      <w:tr>
        <w:trPr/>
        <w:tc>
          <w:tcPr>
            <w:tcW w:w="4592" w:type="dxa"/>
            <w:tcBorders/>
            <w:shd w:fill="auto" w:val="clear"/>
          </w:tcPr>
          <w:p>
            <w:pPr>
              <w:pStyle w:val="TableContents"/>
              <w:spacing w:before="0" w:after="0"/>
              <w:ind w:left="0" w:right="0" w:hanging="0"/>
              <w:rPr/>
            </w:pPr>
            <w:r>
              <w:rPr/>
              <w:t xml:space="preserve">First Cash Financial Services </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Pawn and Payday Lending</w:t>
            </w:r>
          </w:p>
        </w:tc>
      </w:tr>
      <w:tr>
        <w:trPr/>
        <w:tc>
          <w:tcPr>
            <w:tcW w:w="4592" w:type="dxa"/>
            <w:tcBorders/>
            <w:shd w:fill="auto" w:val="clear"/>
          </w:tcPr>
          <w:p>
            <w:pPr>
              <w:pStyle w:val="TableContents"/>
              <w:spacing w:before="0" w:after="0"/>
              <w:ind w:left="0" w:right="0" w:hanging="0"/>
              <w:rPr/>
            </w:pPr>
            <w:r>
              <w:rPr/>
              <w:t xml:space="preserve">QC Holdings, Inc. </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Payday Lending</w:t>
            </w:r>
          </w:p>
        </w:tc>
      </w:tr>
      <w:tr>
        <w:trPr/>
        <w:tc>
          <w:tcPr>
            <w:tcW w:w="4592" w:type="dxa"/>
            <w:tcBorders/>
            <w:shd w:fill="auto" w:val="clear"/>
          </w:tcPr>
          <w:p>
            <w:pPr>
              <w:pStyle w:val="TableContents"/>
              <w:spacing w:before="0" w:after="0"/>
              <w:ind w:left="0" w:right="0" w:hanging="0"/>
              <w:rPr/>
            </w:pPr>
            <w:r>
              <w:rPr/>
              <w:t xml:space="preserve">World Acceptance Corp. </w:t>
            </w:r>
          </w:p>
        </w:tc>
        <w:tc>
          <w:tcPr>
            <w:tcW w:w="508"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Small Loans</w:t>
            </w:r>
          </w:p>
        </w:tc>
      </w:tr>
    </w:tbl>
    <w:p>
      <w:pPr>
        <w:pStyle w:val="TextBody"/>
        <w:spacing w:before="240" w:after="283"/>
        <w:jc w:val="left"/>
        <w:rPr>
          <w:rFonts w:ascii="Helvetica;Arial;sans-serif" w:hAnsi="Helvetica;Arial;sans-serif"/>
          <w:sz w:val="17"/>
        </w:rPr>
      </w:pPr>
      <w:r>
        <w:rPr>
          <w:rFonts w:ascii="Helvetica;Arial;sans-serif" w:hAnsi="Helvetica;Arial;sans-serif"/>
          <w:b/>
          <w:sz w:val="17"/>
        </w:rPr>
        <w:t>Specific Elements of Executive Compensation</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b/>
          <w:sz w:val="17"/>
        </w:rPr>
        <w:t>Base Salary:</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Utilizing information gathered by Longnecker &amp; Associates, peer company data, national surveys, general compensation trend information and recommendations from management, the Compensation Committee approved the base salaries for our named executives. The Compensation Committee decided that when reviewing competitive compensation, it will target the appropriate compensation level for our named executives at the 75th percentile for the comparison companies and surveys.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Base salaries for named executives are set using the Compensation Committees philosophy that compensation should be competitive and based upon performance. Named executives should expect that their base salaries, coupled with a short-term incentive award would provide them the opportunity to be compensated at or above the competitive market at the 75th percentile. Without earning significant short-term incentive awards, base salaries for our named executives could fall below the competitive market.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Based on competitive reviews of similar positions, industry salary trends, overall company results and individual performance, salary increases may be approved from time-to-time. The Compensation Committee typically reviews base salaries of named executive officers and any other employee with an annual base salary over $150,000. Base salary increases are based upon the individual executives performance. </w:t>
      </w:r>
    </w:p>
    <w:p>
      <w:pPr>
        <w:pStyle w:val="TextBody"/>
        <w:jc w:val="center"/>
        <w:rPr>
          <w:rFonts w:ascii="Helvetica;Arial;sans-serif" w:hAnsi="Helvetica;Arial;sans-serif"/>
          <w:sz w:val="17"/>
        </w:rPr>
      </w:pPr>
      <w:r>
        <w:rPr>
          <w:rFonts w:ascii="Helvetica;Arial;sans-serif" w:hAnsi="Helvetica;Arial;sans-serif"/>
          <w:sz w:val="17"/>
        </w:rPr>
        <w:t xml:space="preserve">80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For 2007, using data from national surveys, the Compensation Committee determined that the typical merit increase percentage for executive base salaries should be in the 3% to 10% range, excluding salary adjustments for promotions. Therefore, the merit increases for executives were targeted to be within that range.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During 2007, the base salary for the Chairman of the Board was adjusted to be more in line with his duties and responsibilities and the compensation relationship to the President and Chief Executive Officer. Longnecker and Associates also analyzed the competitive market for the Chairman of the Board position to help the Compensation Committee determine the appropriate compensation level. The following table shows the increases in base salaries that were approved for 2007 compared to the approved salaries for 2006: </w:t>
      </w:r>
    </w:p>
    <w:p>
      <w:pPr>
        <w:pStyle w:val="TextBody"/>
        <w:spacing w:before="360" w:after="283"/>
        <w:jc w:val="center"/>
        <w:rPr>
          <w:rFonts w:ascii="Helvetica;Arial;sans-serif" w:hAnsi="Helvetica;Arial;sans-serif"/>
          <w:sz w:val="17"/>
        </w:rPr>
      </w:pPr>
      <w:r>
        <w:rPr>
          <w:rFonts w:ascii="Helvetica;Arial;sans-serif" w:hAnsi="Helvetica;Arial;sans-serif"/>
          <w:b/>
          <w:sz w:val="17"/>
        </w:rPr>
        <w:t>EXECUTIVE OFFICERS BASE SALARY ADJUSTMENTS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5380"/>
        <w:gridCol w:w="295"/>
        <w:gridCol w:w="295"/>
        <w:gridCol w:w="917"/>
        <w:gridCol w:w="208"/>
        <w:gridCol w:w="295"/>
        <w:gridCol w:w="295"/>
        <w:gridCol w:w="917"/>
        <w:gridCol w:w="208"/>
        <w:gridCol w:w="295"/>
        <w:gridCol w:w="205"/>
        <w:gridCol w:w="515"/>
        <w:gridCol w:w="380"/>
      </w:tblGrid>
      <w:tr>
        <w:trPr/>
        <w:tc>
          <w:tcPr>
            <w:tcW w:w="538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r>
      <w:tr>
        <w:trPr/>
        <w:tc>
          <w:tcPr>
            <w:tcW w:w="538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420" w:type="dxa"/>
            <w:gridSpan w:val="3"/>
            <w:tcBorders/>
            <w:shd w:fill="auto" w:val="clear"/>
            <w:vAlign w:val="bottom"/>
          </w:tcPr>
          <w:p>
            <w:pPr>
              <w:pStyle w:val="TableContents"/>
              <w:spacing w:before="0" w:after="283"/>
              <w:jc w:val="center"/>
              <w:rPr/>
            </w:pPr>
            <w:r>
              <w:rPr/>
              <w:t>2006</w:t>
            </w:r>
          </w:p>
        </w:tc>
        <w:tc>
          <w:tcPr>
            <w:tcW w:w="295" w:type="dxa"/>
            <w:tcBorders/>
            <w:shd w:fill="auto" w:val="clear"/>
            <w:vAlign w:val="bottom"/>
          </w:tcPr>
          <w:p>
            <w:pPr>
              <w:pStyle w:val="TableContents"/>
              <w:spacing w:before="0" w:after="283"/>
              <w:rPr/>
            </w:pPr>
            <w:r>
              <w:rPr/>
              <w:t> </w:t>
            </w:r>
          </w:p>
        </w:tc>
        <w:tc>
          <w:tcPr>
            <w:tcW w:w="1420" w:type="dxa"/>
            <w:gridSpan w:val="3"/>
            <w:tcBorders/>
            <w:shd w:fill="auto" w:val="clear"/>
            <w:vAlign w:val="bottom"/>
          </w:tcPr>
          <w:p>
            <w:pPr>
              <w:pStyle w:val="TableContents"/>
              <w:spacing w:before="0" w:after="283"/>
              <w:jc w:val="center"/>
              <w:rPr/>
            </w:pPr>
            <w:r>
              <w:rPr/>
              <w:t>2007</w:t>
            </w:r>
          </w:p>
        </w:tc>
        <w:tc>
          <w:tcPr>
            <w:tcW w:w="295" w:type="dxa"/>
            <w:tcBorders/>
            <w:shd w:fill="auto" w:val="clear"/>
            <w:vAlign w:val="bottom"/>
          </w:tcPr>
          <w:p>
            <w:pPr>
              <w:pStyle w:val="TableContents"/>
              <w:spacing w:before="0" w:after="283"/>
              <w:rPr/>
            </w:pPr>
            <w:r>
              <w:rPr/>
              <w:t> </w:t>
            </w:r>
          </w:p>
        </w:tc>
        <w:tc>
          <w:tcPr>
            <w:tcW w:w="1100" w:type="dxa"/>
            <w:gridSpan w:val="3"/>
            <w:tcBorders/>
            <w:shd w:fill="auto" w:val="clear"/>
            <w:vAlign w:val="bottom"/>
          </w:tcPr>
          <w:p>
            <w:pPr>
              <w:pStyle w:val="TableContents"/>
              <w:spacing w:before="0" w:after="283"/>
              <w:jc w:val="center"/>
              <w:rPr/>
            </w:pPr>
            <w:r>
              <w:rPr/>
              <w:t> </w:t>
            </w:r>
          </w:p>
        </w:tc>
      </w:tr>
      <w:tr>
        <w:trPr/>
        <w:tc>
          <w:tcPr>
            <w:tcW w:w="5380" w:type="dxa"/>
            <w:tcBorders>
              <w:bottom w:val="single" w:sz="2" w:space="0" w:color="000000"/>
            </w:tcBorders>
            <w:shd w:fill="auto" w:val="clear"/>
            <w:tcMar>
              <w:bottom w:w="28" w:type="dxa"/>
            </w:tcMar>
            <w:vAlign w:val="bottom"/>
          </w:tcPr>
          <w:p>
            <w:pPr>
              <w:pStyle w:val="TableContents"/>
              <w:spacing w:before="0" w:after="283"/>
              <w:jc w:val="left"/>
              <w:rPr/>
            </w:pPr>
            <w:r>
              <w:rPr/>
              <w:t>Named Executive Officer</w:t>
            </w:r>
          </w:p>
        </w:tc>
        <w:tc>
          <w:tcPr>
            <w:tcW w:w="295" w:type="dxa"/>
            <w:tcBorders/>
            <w:shd w:fill="auto" w:val="clear"/>
            <w:vAlign w:val="bottom"/>
          </w:tcPr>
          <w:p>
            <w:pPr>
              <w:pStyle w:val="TableContents"/>
              <w:spacing w:before="0" w:after="283"/>
              <w:rPr/>
            </w:pPr>
            <w:r>
              <w:rPr/>
              <w:t> </w:t>
            </w:r>
          </w:p>
        </w:tc>
        <w:tc>
          <w:tcPr>
            <w:tcW w:w="1420" w:type="dxa"/>
            <w:gridSpan w:val="3"/>
            <w:tcBorders>
              <w:bottom w:val="single" w:sz="2" w:space="0" w:color="000000"/>
            </w:tcBorders>
            <w:shd w:fill="auto" w:val="clear"/>
            <w:tcMar>
              <w:bottom w:w="28" w:type="dxa"/>
            </w:tcMar>
            <w:vAlign w:val="bottom"/>
          </w:tcPr>
          <w:p>
            <w:pPr>
              <w:pStyle w:val="TableContents"/>
              <w:spacing w:before="0" w:after="283"/>
              <w:jc w:val="center"/>
              <w:rPr/>
            </w:pPr>
            <w:r>
              <w:rPr/>
              <w:t>Base Salary</w:t>
            </w:r>
          </w:p>
        </w:tc>
        <w:tc>
          <w:tcPr>
            <w:tcW w:w="295" w:type="dxa"/>
            <w:tcBorders/>
            <w:shd w:fill="auto" w:val="clear"/>
            <w:vAlign w:val="bottom"/>
          </w:tcPr>
          <w:p>
            <w:pPr>
              <w:pStyle w:val="TableContents"/>
              <w:spacing w:before="0" w:after="283"/>
              <w:rPr/>
            </w:pPr>
            <w:r>
              <w:rPr/>
              <w:t> </w:t>
            </w:r>
          </w:p>
        </w:tc>
        <w:tc>
          <w:tcPr>
            <w:tcW w:w="1420" w:type="dxa"/>
            <w:gridSpan w:val="3"/>
            <w:tcBorders>
              <w:bottom w:val="single" w:sz="2" w:space="0" w:color="000000"/>
            </w:tcBorders>
            <w:shd w:fill="auto" w:val="clear"/>
            <w:tcMar>
              <w:bottom w:w="28" w:type="dxa"/>
            </w:tcMar>
            <w:vAlign w:val="bottom"/>
          </w:tcPr>
          <w:p>
            <w:pPr>
              <w:pStyle w:val="TableContents"/>
              <w:spacing w:before="0" w:after="283"/>
              <w:jc w:val="center"/>
              <w:rPr/>
            </w:pPr>
            <w:r>
              <w:rPr/>
              <w:t>Base Salary</w:t>
            </w:r>
          </w:p>
        </w:tc>
        <w:tc>
          <w:tcPr>
            <w:tcW w:w="295" w:type="dxa"/>
            <w:tcBorders/>
            <w:shd w:fill="auto" w:val="clear"/>
            <w:vAlign w:val="bottom"/>
          </w:tcPr>
          <w:p>
            <w:pPr>
              <w:pStyle w:val="TableContents"/>
              <w:spacing w:before="0" w:after="283"/>
              <w:rPr/>
            </w:pPr>
            <w:r>
              <w:rPr/>
              <w:t> </w:t>
            </w:r>
          </w:p>
        </w:tc>
        <w:tc>
          <w:tcPr>
            <w:tcW w:w="1100" w:type="dxa"/>
            <w:gridSpan w:val="3"/>
            <w:tcBorders>
              <w:bottom w:val="single" w:sz="2" w:space="0" w:color="000000"/>
            </w:tcBorders>
            <w:shd w:fill="auto" w:val="clear"/>
            <w:tcMar>
              <w:bottom w:w="28" w:type="dxa"/>
            </w:tcMar>
            <w:vAlign w:val="bottom"/>
          </w:tcPr>
          <w:p>
            <w:pPr>
              <w:pStyle w:val="TableContents"/>
              <w:spacing w:before="0" w:after="283"/>
              <w:jc w:val="center"/>
              <w:rPr/>
            </w:pPr>
            <w:r>
              <w:rPr/>
              <w:t>Increase</w:t>
            </w:r>
          </w:p>
        </w:tc>
      </w:tr>
      <w:tr>
        <w:trPr/>
        <w:tc>
          <w:tcPr>
            <w:tcW w:w="5380" w:type="dxa"/>
            <w:tcBorders/>
            <w:shd w:fill="CCEEFF" w:val="clear"/>
            <w:vAlign w:val="bottom"/>
          </w:tcPr>
          <w:p>
            <w:pPr>
              <w:pStyle w:val="TableContents"/>
              <w:spacing w:before="0" w:after="0"/>
              <w:ind w:left="225" w:right="0" w:hanging="225"/>
              <w:rPr/>
            </w:pPr>
            <w:r>
              <w:rPr/>
              <w:t>Joseph Rotunda</w:t>
            </w:r>
          </w:p>
        </w:tc>
        <w:tc>
          <w:tcPr>
            <w:tcW w:w="29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right"/>
              <w:rPr/>
            </w:pPr>
            <w:r>
              <w:rPr/>
              <w:t>$</w:t>
            </w:r>
          </w:p>
        </w:tc>
        <w:tc>
          <w:tcPr>
            <w:tcW w:w="917" w:type="dxa"/>
            <w:tcBorders/>
            <w:shd w:fill="CCEEFF" w:val="clear"/>
            <w:vAlign w:val="bottom"/>
          </w:tcPr>
          <w:p>
            <w:pPr>
              <w:pStyle w:val="TableContents"/>
              <w:spacing w:before="0" w:after="283"/>
              <w:jc w:val="right"/>
              <w:rPr/>
            </w:pPr>
            <w:r>
              <w:rPr/>
              <w:t>635,000</w:t>
            </w:r>
          </w:p>
        </w:tc>
        <w:tc>
          <w:tcPr>
            <w:tcW w:w="208"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right"/>
              <w:rPr/>
            </w:pPr>
            <w:r>
              <w:rPr/>
              <w:t>$</w:t>
            </w:r>
          </w:p>
        </w:tc>
        <w:tc>
          <w:tcPr>
            <w:tcW w:w="917" w:type="dxa"/>
            <w:tcBorders/>
            <w:shd w:fill="CCEEFF" w:val="clear"/>
            <w:vAlign w:val="bottom"/>
          </w:tcPr>
          <w:p>
            <w:pPr>
              <w:pStyle w:val="TableContents"/>
              <w:spacing w:before="0" w:after="283"/>
              <w:jc w:val="right"/>
              <w:rPr/>
            </w:pPr>
            <w:r>
              <w:rPr/>
              <w:t>700,000</w:t>
            </w:r>
          </w:p>
        </w:tc>
        <w:tc>
          <w:tcPr>
            <w:tcW w:w="208"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right"/>
              <w:rPr/>
            </w:pPr>
            <w:r>
              <w:rPr/>
              <w:t> </w:t>
            </w:r>
          </w:p>
        </w:tc>
        <w:tc>
          <w:tcPr>
            <w:tcW w:w="515" w:type="dxa"/>
            <w:tcBorders/>
            <w:shd w:fill="CCEEFF" w:val="clear"/>
            <w:vAlign w:val="bottom"/>
          </w:tcPr>
          <w:p>
            <w:pPr>
              <w:pStyle w:val="TableContents"/>
              <w:spacing w:before="0" w:after="283"/>
              <w:jc w:val="right"/>
              <w:rPr/>
            </w:pPr>
            <w:r>
              <w:rPr/>
              <w:t>10.2</w:t>
            </w:r>
          </w:p>
        </w:tc>
        <w:tc>
          <w:tcPr>
            <w:tcW w:w="380" w:type="dxa"/>
            <w:tcBorders/>
            <w:shd w:fill="CCEEFF" w:val="clear"/>
            <w:vAlign w:val="bottom"/>
          </w:tcPr>
          <w:p>
            <w:pPr>
              <w:pStyle w:val="TableContents"/>
              <w:spacing w:before="0" w:after="283"/>
              <w:rPr/>
            </w:pPr>
            <w:r>
              <w:rPr/>
              <w:t>%</w:t>
            </w:r>
          </w:p>
        </w:tc>
      </w:tr>
      <w:tr>
        <w:trPr/>
        <w:tc>
          <w:tcPr>
            <w:tcW w:w="5380" w:type="dxa"/>
            <w:tcBorders/>
            <w:shd w:fill="auto" w:val="clear"/>
            <w:vAlign w:val="bottom"/>
          </w:tcPr>
          <w:p>
            <w:pPr>
              <w:pStyle w:val="TableContents"/>
              <w:spacing w:before="0" w:after="0"/>
              <w:ind w:left="225" w:right="0" w:hanging="225"/>
              <w:rPr/>
            </w:pPr>
            <w:r>
              <w:rPr/>
              <w:t>Sterling Brinkley</w:t>
            </w:r>
          </w:p>
        </w:tc>
        <w:tc>
          <w:tcPr>
            <w:tcW w:w="29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522,500</w:t>
            </w:r>
          </w:p>
        </w:tc>
        <w:tc>
          <w:tcPr>
            <w:tcW w:w="20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625,000</w:t>
            </w:r>
          </w:p>
        </w:tc>
        <w:tc>
          <w:tcPr>
            <w:tcW w:w="20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right"/>
              <w:rPr/>
            </w:pPr>
            <w:r>
              <w:rPr/>
              <w:t> </w:t>
            </w:r>
          </w:p>
        </w:tc>
        <w:tc>
          <w:tcPr>
            <w:tcW w:w="515" w:type="dxa"/>
            <w:tcBorders/>
            <w:shd w:fill="auto" w:val="clear"/>
            <w:vAlign w:val="bottom"/>
          </w:tcPr>
          <w:p>
            <w:pPr>
              <w:pStyle w:val="TableContents"/>
              <w:spacing w:before="0" w:after="283"/>
              <w:jc w:val="right"/>
              <w:rPr/>
            </w:pPr>
            <w:r>
              <w:rPr/>
              <w:t>19.6</w:t>
            </w:r>
          </w:p>
        </w:tc>
        <w:tc>
          <w:tcPr>
            <w:tcW w:w="380" w:type="dxa"/>
            <w:tcBorders/>
            <w:shd w:fill="auto" w:val="clear"/>
            <w:vAlign w:val="bottom"/>
          </w:tcPr>
          <w:p>
            <w:pPr>
              <w:pStyle w:val="TableContents"/>
              <w:spacing w:before="0" w:after="283"/>
              <w:rPr/>
            </w:pPr>
            <w:r>
              <w:rPr/>
              <w:t>%</w:t>
            </w:r>
          </w:p>
        </w:tc>
      </w:tr>
      <w:tr>
        <w:trPr/>
        <w:tc>
          <w:tcPr>
            <w:tcW w:w="5380" w:type="dxa"/>
            <w:tcBorders/>
            <w:shd w:fill="CCEEFF" w:val="clear"/>
            <w:vAlign w:val="bottom"/>
          </w:tcPr>
          <w:p>
            <w:pPr>
              <w:pStyle w:val="TableContents"/>
              <w:spacing w:before="0" w:after="0"/>
              <w:ind w:left="225" w:right="0" w:hanging="225"/>
              <w:rPr/>
            </w:pPr>
            <w:r>
              <w:rPr/>
              <w:t>Daniel Tonissen</w:t>
            </w:r>
          </w:p>
        </w:tc>
        <w:tc>
          <w:tcPr>
            <w:tcW w:w="29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305,000</w:t>
            </w:r>
          </w:p>
        </w:tc>
        <w:tc>
          <w:tcPr>
            <w:tcW w:w="208"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323,000</w:t>
            </w:r>
          </w:p>
        </w:tc>
        <w:tc>
          <w:tcPr>
            <w:tcW w:w="208"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right"/>
              <w:rPr/>
            </w:pPr>
            <w:r>
              <w:rPr/>
              <w:t> </w:t>
            </w:r>
          </w:p>
        </w:tc>
        <w:tc>
          <w:tcPr>
            <w:tcW w:w="515" w:type="dxa"/>
            <w:tcBorders/>
            <w:shd w:fill="CCEEFF" w:val="clear"/>
            <w:vAlign w:val="bottom"/>
          </w:tcPr>
          <w:p>
            <w:pPr>
              <w:pStyle w:val="TableContents"/>
              <w:spacing w:before="0" w:after="283"/>
              <w:jc w:val="right"/>
              <w:rPr/>
            </w:pPr>
            <w:r>
              <w:rPr/>
              <w:t>5.9</w:t>
            </w:r>
          </w:p>
        </w:tc>
        <w:tc>
          <w:tcPr>
            <w:tcW w:w="380" w:type="dxa"/>
            <w:tcBorders/>
            <w:shd w:fill="CCEEFF" w:val="clear"/>
            <w:vAlign w:val="bottom"/>
          </w:tcPr>
          <w:p>
            <w:pPr>
              <w:pStyle w:val="TableContents"/>
              <w:spacing w:before="0" w:after="283"/>
              <w:rPr/>
            </w:pPr>
            <w:r>
              <w:rPr/>
              <w:t>%</w:t>
            </w:r>
          </w:p>
        </w:tc>
      </w:tr>
      <w:tr>
        <w:trPr/>
        <w:tc>
          <w:tcPr>
            <w:tcW w:w="5380" w:type="dxa"/>
            <w:tcBorders/>
            <w:shd w:fill="auto" w:val="clear"/>
            <w:vAlign w:val="bottom"/>
          </w:tcPr>
          <w:p>
            <w:pPr>
              <w:pStyle w:val="TableContents"/>
              <w:spacing w:before="0" w:after="0"/>
              <w:ind w:left="225" w:right="0" w:hanging="225"/>
              <w:rPr/>
            </w:pPr>
            <w:r>
              <w:rPr/>
              <w:t>Robert Kasenter</w:t>
            </w:r>
          </w:p>
        </w:tc>
        <w:tc>
          <w:tcPr>
            <w:tcW w:w="29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225,000</w:t>
            </w:r>
          </w:p>
        </w:tc>
        <w:tc>
          <w:tcPr>
            <w:tcW w:w="20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240,000</w:t>
            </w:r>
          </w:p>
        </w:tc>
        <w:tc>
          <w:tcPr>
            <w:tcW w:w="20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right"/>
              <w:rPr/>
            </w:pPr>
            <w:r>
              <w:rPr/>
              <w:t> </w:t>
            </w:r>
          </w:p>
        </w:tc>
        <w:tc>
          <w:tcPr>
            <w:tcW w:w="515" w:type="dxa"/>
            <w:tcBorders/>
            <w:shd w:fill="auto" w:val="clear"/>
            <w:vAlign w:val="bottom"/>
          </w:tcPr>
          <w:p>
            <w:pPr>
              <w:pStyle w:val="TableContents"/>
              <w:spacing w:before="0" w:after="283"/>
              <w:jc w:val="right"/>
              <w:rPr/>
            </w:pPr>
            <w:r>
              <w:rPr/>
              <w:t>6.7</w:t>
            </w:r>
          </w:p>
        </w:tc>
        <w:tc>
          <w:tcPr>
            <w:tcW w:w="380" w:type="dxa"/>
            <w:tcBorders/>
            <w:shd w:fill="auto" w:val="clear"/>
            <w:vAlign w:val="bottom"/>
          </w:tcPr>
          <w:p>
            <w:pPr>
              <w:pStyle w:val="TableContents"/>
              <w:spacing w:before="0" w:after="283"/>
              <w:rPr/>
            </w:pPr>
            <w:r>
              <w:rPr/>
              <w:t>%</w:t>
            </w:r>
          </w:p>
        </w:tc>
      </w:tr>
      <w:tr>
        <w:trPr/>
        <w:tc>
          <w:tcPr>
            <w:tcW w:w="5380" w:type="dxa"/>
            <w:tcBorders/>
            <w:shd w:fill="CCEEFF" w:val="clear"/>
            <w:vAlign w:val="bottom"/>
          </w:tcPr>
          <w:p>
            <w:pPr>
              <w:pStyle w:val="TableContents"/>
              <w:spacing w:before="0" w:after="0"/>
              <w:ind w:left="225" w:right="0" w:hanging="225"/>
              <w:rPr/>
            </w:pPr>
            <w:r>
              <w:rPr/>
              <w:t>Eric Fosse</w:t>
            </w:r>
          </w:p>
        </w:tc>
        <w:tc>
          <w:tcPr>
            <w:tcW w:w="29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195,000</w:t>
            </w:r>
          </w:p>
        </w:tc>
        <w:tc>
          <w:tcPr>
            <w:tcW w:w="208"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207,000</w:t>
            </w:r>
          </w:p>
        </w:tc>
        <w:tc>
          <w:tcPr>
            <w:tcW w:w="208"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right"/>
              <w:rPr/>
            </w:pPr>
            <w:r>
              <w:rPr/>
              <w:t> </w:t>
            </w:r>
          </w:p>
        </w:tc>
        <w:tc>
          <w:tcPr>
            <w:tcW w:w="515" w:type="dxa"/>
            <w:tcBorders/>
            <w:shd w:fill="CCEEFF" w:val="clear"/>
            <w:vAlign w:val="bottom"/>
          </w:tcPr>
          <w:p>
            <w:pPr>
              <w:pStyle w:val="TableContents"/>
              <w:spacing w:before="0" w:after="283"/>
              <w:jc w:val="right"/>
              <w:rPr/>
            </w:pPr>
            <w:r>
              <w:rPr/>
              <w:t>6.2</w:t>
            </w:r>
          </w:p>
        </w:tc>
        <w:tc>
          <w:tcPr>
            <w:tcW w:w="380" w:type="dxa"/>
            <w:tcBorders/>
            <w:shd w:fill="CCEEFF" w:val="clear"/>
            <w:vAlign w:val="bottom"/>
          </w:tcPr>
          <w:p>
            <w:pPr>
              <w:pStyle w:val="TableContents"/>
              <w:spacing w:before="0" w:after="283"/>
              <w:rPr/>
            </w:pPr>
            <w:r>
              <w:rPr/>
              <w:t>%</w:t>
            </w:r>
          </w:p>
        </w:tc>
      </w:tr>
    </w:tbl>
    <w:p>
      <w:pPr>
        <w:pStyle w:val="TextBody"/>
        <w:spacing w:before="240" w:after="283"/>
        <w:jc w:val="left"/>
        <w:rPr>
          <w:rFonts w:ascii="Helvetica;Arial;sans-serif" w:hAnsi="Helvetica;Arial;sans-serif"/>
          <w:sz w:val="17"/>
        </w:rPr>
      </w:pPr>
      <w:r>
        <w:rPr>
          <w:rFonts w:ascii="Helvetica;Arial;sans-serif" w:hAnsi="Helvetica;Arial;sans-serif"/>
          <w:b/>
          <w:sz w:val="17"/>
        </w:rPr>
        <w:t>Short Term Incentive Compensation: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named executives, as well as other key executives, are eligible to participate in our annual Incentive Compensation Plan. Our Incentive Compensation Plan has four primary objectives: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Provide an incentive for individuals to achieve periodic financial goals tied to the companys strategic plans and departmental, corporate and personal objectives;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Attract, retain and motivate top-quality executives who can add significant value;</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Create an incentive compensation opportunity that is an integral part of the executives total compensation program;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Reward participants contributions to the achievement of our business results.</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Incentive Compensation Plan provides each participant an opportunity to receive an annual incentive cash bonus based on our financial performance as a company and the participants personal performance during the fiscal year. The Compensation Committee approves the participants to be included in the Incentive Compensation Plan and the level of participation for each participant. The Board of Directors approves the company financial objectives.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key terms of the Incentive Compensation Plan and the criteria for awarding bonuses under the plan for a fiscal year are: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Each participants target bonus is determined as a percentage of base pay. Each participant has a company financial objective and/or personal objective discussed below. The percentages vary by position.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Our company financial objective during fiscal 2007 was measured by net income. The Compensation Committee may elect to adjust the company financial objective for any special items, charges or credits pursuant to the terms of the Incentive Compensation Plan, but no such adjustments were made in 2007. The company financial objective</w:t>
            </w:r>
          </w:p>
        </w:tc>
      </w:tr>
    </w:tbl>
    <w:p>
      <w:pPr>
        <w:pStyle w:val="TextBody"/>
        <w:jc w:val="center"/>
        <w:rPr>
          <w:rFonts w:ascii="Helvetica;Arial;sans-serif" w:hAnsi="Helvetica;Arial;sans-serif"/>
          <w:sz w:val="17"/>
        </w:rPr>
      </w:pPr>
      <w:r>
        <w:rPr>
          <w:rFonts w:ascii="Helvetica;Arial;sans-serif" w:hAnsi="Helvetica;Arial;sans-serif"/>
          <w:sz w:val="17"/>
        </w:rPr>
        <w:t xml:space="preserve">81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2"/>
        <w:gridCol w:w="305"/>
        <w:gridCol w:w="101"/>
        <w:gridCol w:w="9597"/>
      </w:tblGrid>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payout ranges from 0% to 150% of the company financial objective target bonus for each participant depending on the level of net income achieved, as shown in the table below.</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The participants personal objective may include personal financial or non-financial objectives intended to enhance and support our strategic initiatives. The personal objective payout ranges from 0% to a maximum of 100% of the personal objective target bonus for each participant. No personal objective payout is allowed unless our net income is at least the minimum net income shown below.</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For fiscal 2007, the Compensation Committee approved the following company financial objectives </w:t>
      </w:r>
      <w:r>
        <w:rPr>
          <w:rFonts w:ascii="Helvetica;Arial;sans-serif" w:hAnsi="Helvetica;Arial;sans-serif"/>
          <w:i/>
          <w:sz w:val="17"/>
        </w:rPr>
        <w:t>(in millions)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5222"/>
        <w:gridCol w:w="414"/>
        <w:gridCol w:w="363"/>
        <w:gridCol w:w="530"/>
        <w:gridCol w:w="442"/>
        <w:gridCol w:w="414"/>
        <w:gridCol w:w="339"/>
        <w:gridCol w:w="455"/>
        <w:gridCol w:w="404"/>
        <w:gridCol w:w="414"/>
        <w:gridCol w:w="339"/>
        <w:gridCol w:w="455"/>
        <w:gridCol w:w="414"/>
      </w:tblGrid>
      <w:tr>
        <w:trPr/>
        <w:tc>
          <w:tcPr>
            <w:tcW w:w="5222"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r>
      <w:tr>
        <w:trPr/>
        <w:tc>
          <w:tcPr>
            <w:tcW w:w="5222"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335" w:type="dxa"/>
            <w:gridSpan w:val="3"/>
            <w:tcBorders>
              <w:bottom w:val="single" w:sz="2" w:space="0" w:color="000000"/>
            </w:tcBorders>
            <w:shd w:fill="auto" w:val="clear"/>
            <w:tcMar>
              <w:bottom w:w="28" w:type="dxa"/>
            </w:tcMar>
            <w:vAlign w:val="bottom"/>
          </w:tcPr>
          <w:p>
            <w:pPr>
              <w:pStyle w:val="TableContents"/>
              <w:spacing w:before="0" w:after="283"/>
              <w:jc w:val="center"/>
              <w:rPr/>
            </w:pPr>
            <w:r>
              <w:rPr/>
              <w:t>Minimum</w:t>
            </w:r>
          </w:p>
        </w:tc>
        <w:tc>
          <w:tcPr>
            <w:tcW w:w="414" w:type="dxa"/>
            <w:tcBorders/>
            <w:shd w:fill="auto" w:val="clear"/>
            <w:vAlign w:val="bottom"/>
          </w:tcPr>
          <w:p>
            <w:pPr>
              <w:pStyle w:val="TableContents"/>
              <w:spacing w:before="0" w:after="283"/>
              <w:rPr/>
            </w:pPr>
            <w:r>
              <w:rPr/>
              <w:t> </w:t>
            </w:r>
          </w:p>
        </w:tc>
        <w:tc>
          <w:tcPr>
            <w:tcW w:w="1198" w:type="dxa"/>
            <w:gridSpan w:val="3"/>
            <w:tcBorders>
              <w:bottom w:val="single" w:sz="2" w:space="0" w:color="000000"/>
            </w:tcBorders>
            <w:shd w:fill="auto" w:val="clear"/>
            <w:tcMar>
              <w:bottom w:w="28" w:type="dxa"/>
            </w:tcMar>
            <w:vAlign w:val="bottom"/>
          </w:tcPr>
          <w:p>
            <w:pPr>
              <w:pStyle w:val="TableContents"/>
              <w:spacing w:before="0" w:after="283"/>
              <w:jc w:val="center"/>
              <w:rPr/>
            </w:pPr>
            <w:r>
              <w:rPr/>
              <w:t>Target</w:t>
            </w:r>
          </w:p>
        </w:tc>
        <w:tc>
          <w:tcPr>
            <w:tcW w:w="414" w:type="dxa"/>
            <w:tcBorders/>
            <w:shd w:fill="auto" w:val="clear"/>
            <w:vAlign w:val="bottom"/>
          </w:tcPr>
          <w:p>
            <w:pPr>
              <w:pStyle w:val="TableContents"/>
              <w:spacing w:before="0" w:after="283"/>
              <w:rPr/>
            </w:pPr>
            <w:r>
              <w:rPr/>
              <w:t> </w:t>
            </w:r>
          </w:p>
        </w:tc>
        <w:tc>
          <w:tcPr>
            <w:tcW w:w="1208" w:type="dxa"/>
            <w:gridSpan w:val="3"/>
            <w:tcBorders>
              <w:bottom w:val="single" w:sz="2" w:space="0" w:color="000000"/>
            </w:tcBorders>
            <w:shd w:fill="auto" w:val="clear"/>
            <w:tcMar>
              <w:bottom w:w="28" w:type="dxa"/>
            </w:tcMar>
            <w:vAlign w:val="bottom"/>
          </w:tcPr>
          <w:p>
            <w:pPr>
              <w:pStyle w:val="TableContents"/>
              <w:spacing w:before="0" w:after="283"/>
              <w:jc w:val="center"/>
              <w:rPr/>
            </w:pPr>
            <w:r>
              <w:rPr/>
              <w:t>Stretch</w:t>
            </w:r>
          </w:p>
        </w:tc>
      </w:tr>
      <w:tr>
        <w:trPr/>
        <w:tc>
          <w:tcPr>
            <w:tcW w:w="5222" w:type="dxa"/>
            <w:tcBorders/>
            <w:shd w:fill="CCEEFF" w:val="clear"/>
            <w:vAlign w:val="bottom"/>
          </w:tcPr>
          <w:p>
            <w:pPr>
              <w:pStyle w:val="TableContents"/>
              <w:spacing w:before="0" w:after="0"/>
              <w:ind w:left="225" w:right="0" w:hanging="225"/>
              <w:rPr/>
            </w:pPr>
            <w:r>
              <w:rPr/>
              <w:t>Net income</w:t>
            </w:r>
          </w:p>
        </w:tc>
        <w:tc>
          <w:tcPr>
            <w:tcW w:w="414"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jc w:val="right"/>
              <w:rPr/>
            </w:pPr>
            <w:r>
              <w:rPr/>
              <w:t>$</w:t>
            </w:r>
          </w:p>
        </w:tc>
        <w:tc>
          <w:tcPr>
            <w:tcW w:w="530" w:type="dxa"/>
            <w:tcBorders/>
            <w:shd w:fill="CCEEFF" w:val="clear"/>
            <w:vAlign w:val="bottom"/>
          </w:tcPr>
          <w:p>
            <w:pPr>
              <w:pStyle w:val="TableContents"/>
              <w:spacing w:before="0" w:after="283"/>
              <w:jc w:val="right"/>
              <w:rPr/>
            </w:pPr>
            <w:r>
              <w:rPr/>
              <w:t>32.6</w:t>
            </w:r>
          </w:p>
        </w:tc>
        <w:tc>
          <w:tcPr>
            <w:tcW w:w="442"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pPr>
            <w:r>
              <w:rPr/>
              <w:t>$</w:t>
            </w:r>
          </w:p>
        </w:tc>
        <w:tc>
          <w:tcPr>
            <w:tcW w:w="455" w:type="dxa"/>
            <w:tcBorders/>
            <w:shd w:fill="CCEEFF" w:val="clear"/>
            <w:vAlign w:val="bottom"/>
          </w:tcPr>
          <w:p>
            <w:pPr>
              <w:pStyle w:val="TableContents"/>
              <w:spacing w:before="0" w:after="283"/>
              <w:jc w:val="right"/>
              <w:rPr/>
            </w:pPr>
            <w:r>
              <w:rPr/>
              <w:t>36.3</w:t>
            </w:r>
          </w:p>
        </w:tc>
        <w:tc>
          <w:tcPr>
            <w:tcW w:w="404"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pPr>
            <w:r>
              <w:rPr/>
              <w:t>$</w:t>
            </w:r>
          </w:p>
        </w:tc>
        <w:tc>
          <w:tcPr>
            <w:tcW w:w="455" w:type="dxa"/>
            <w:tcBorders/>
            <w:shd w:fill="CCEEFF" w:val="clear"/>
            <w:vAlign w:val="bottom"/>
          </w:tcPr>
          <w:p>
            <w:pPr>
              <w:pStyle w:val="TableContents"/>
              <w:spacing w:before="0" w:after="283"/>
              <w:jc w:val="right"/>
              <w:rPr/>
            </w:pPr>
            <w:r>
              <w:rPr/>
              <w:t>40.0</w:t>
            </w:r>
          </w:p>
        </w:tc>
        <w:tc>
          <w:tcPr>
            <w:tcW w:w="414" w:type="dxa"/>
            <w:tcBorders/>
            <w:shd w:fill="CCEEFF" w:val="clear"/>
            <w:vAlign w:val="bottom"/>
          </w:tcPr>
          <w:p>
            <w:pPr>
              <w:pStyle w:val="TableContents"/>
              <w:spacing w:before="0" w:after="283"/>
              <w:rPr/>
            </w:pPr>
            <w:r>
              <w:rPr/>
              <w:t> </w:t>
            </w:r>
          </w:p>
        </w:tc>
      </w:tr>
      <w:tr>
        <w:trPr/>
        <w:tc>
          <w:tcPr>
            <w:tcW w:w="5222" w:type="dxa"/>
            <w:tcBorders/>
            <w:shd w:fill="auto" w:val="clear"/>
            <w:vAlign w:val="bottom"/>
          </w:tcPr>
          <w:p>
            <w:pPr>
              <w:pStyle w:val="TableContents"/>
              <w:spacing w:before="0" w:after="0"/>
              <w:ind w:left="225" w:right="0" w:hanging="225"/>
              <w:rPr/>
            </w:pPr>
            <w:r>
              <w:rPr/>
              <w:t>Percent increase from fiscal 2006 actual net income</w:t>
            </w:r>
          </w:p>
        </w:tc>
        <w:tc>
          <w:tcPr>
            <w:tcW w:w="414"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 </w:t>
            </w:r>
          </w:p>
        </w:tc>
        <w:tc>
          <w:tcPr>
            <w:tcW w:w="530" w:type="dxa"/>
            <w:tcBorders/>
            <w:shd w:fill="auto" w:val="clear"/>
            <w:vAlign w:val="bottom"/>
          </w:tcPr>
          <w:p>
            <w:pPr>
              <w:pStyle w:val="TableContents"/>
              <w:spacing w:before="0" w:after="283"/>
              <w:jc w:val="right"/>
              <w:rPr/>
            </w:pPr>
            <w:r>
              <w:rPr/>
              <w:t>11</w:t>
            </w:r>
          </w:p>
        </w:tc>
        <w:tc>
          <w:tcPr>
            <w:tcW w:w="442" w:type="dxa"/>
            <w:tcBorders/>
            <w:shd w:fill="auto" w:val="clear"/>
            <w:vAlign w:val="bottom"/>
          </w:tcPr>
          <w:p>
            <w:pPr>
              <w:pStyle w:val="TableContents"/>
              <w:spacing w:before="0" w:after="283"/>
              <w:rPr/>
            </w:pPr>
            <w:r>
              <w:rPr/>
              <w:t>%</w:t>
            </w:r>
          </w:p>
        </w:tc>
        <w:tc>
          <w:tcPr>
            <w:tcW w:w="41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 </w:t>
            </w:r>
          </w:p>
        </w:tc>
        <w:tc>
          <w:tcPr>
            <w:tcW w:w="455" w:type="dxa"/>
            <w:tcBorders/>
            <w:shd w:fill="auto" w:val="clear"/>
            <w:vAlign w:val="bottom"/>
          </w:tcPr>
          <w:p>
            <w:pPr>
              <w:pStyle w:val="TableContents"/>
              <w:spacing w:before="0" w:after="283"/>
              <w:jc w:val="right"/>
              <w:rPr/>
            </w:pPr>
            <w:r>
              <w:rPr/>
              <w:t>24</w:t>
            </w:r>
          </w:p>
        </w:tc>
        <w:tc>
          <w:tcPr>
            <w:tcW w:w="404" w:type="dxa"/>
            <w:tcBorders/>
            <w:shd w:fill="auto" w:val="clear"/>
            <w:vAlign w:val="bottom"/>
          </w:tcPr>
          <w:p>
            <w:pPr>
              <w:pStyle w:val="TableContents"/>
              <w:spacing w:before="0" w:after="283"/>
              <w:rPr/>
            </w:pPr>
            <w:r>
              <w:rPr/>
              <w:t>%</w:t>
            </w:r>
          </w:p>
        </w:tc>
        <w:tc>
          <w:tcPr>
            <w:tcW w:w="41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pPr>
            <w:r>
              <w:rPr/>
              <w:t> </w:t>
            </w:r>
          </w:p>
        </w:tc>
        <w:tc>
          <w:tcPr>
            <w:tcW w:w="455" w:type="dxa"/>
            <w:tcBorders/>
            <w:shd w:fill="auto" w:val="clear"/>
            <w:vAlign w:val="bottom"/>
          </w:tcPr>
          <w:p>
            <w:pPr>
              <w:pStyle w:val="TableContents"/>
              <w:spacing w:before="0" w:after="283"/>
              <w:jc w:val="right"/>
              <w:rPr/>
            </w:pPr>
            <w:r>
              <w:rPr/>
              <w:t>37</w:t>
            </w:r>
          </w:p>
        </w:tc>
        <w:tc>
          <w:tcPr>
            <w:tcW w:w="414" w:type="dxa"/>
            <w:tcBorders/>
            <w:shd w:fill="auto" w:val="clear"/>
            <w:vAlign w:val="bottom"/>
          </w:tcPr>
          <w:p>
            <w:pPr>
              <w:pStyle w:val="TableContents"/>
              <w:spacing w:before="0" w:after="283"/>
              <w:rPr/>
            </w:pPr>
            <w:r>
              <w:rPr/>
              <w:t>%</w:t>
            </w:r>
          </w:p>
        </w:tc>
      </w:tr>
      <w:tr>
        <w:trPr/>
        <w:tc>
          <w:tcPr>
            <w:tcW w:w="5222" w:type="dxa"/>
            <w:tcBorders/>
            <w:shd w:fill="CCEEFF" w:val="clear"/>
            <w:vAlign w:val="bottom"/>
          </w:tcPr>
          <w:p>
            <w:pPr>
              <w:pStyle w:val="TableContents"/>
              <w:spacing w:before="0" w:after="0"/>
              <w:ind w:left="225" w:right="0" w:hanging="225"/>
              <w:rPr/>
            </w:pPr>
            <w:r>
              <w:rPr/>
              <w:t>Award potential for company financial objective</w:t>
            </w:r>
          </w:p>
        </w:tc>
        <w:tc>
          <w:tcPr>
            <w:tcW w:w="414"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jc w:val="right"/>
              <w:rPr/>
            </w:pPr>
            <w:r>
              <w:rPr/>
              <w:t> </w:t>
            </w:r>
          </w:p>
        </w:tc>
        <w:tc>
          <w:tcPr>
            <w:tcW w:w="530" w:type="dxa"/>
            <w:tcBorders/>
            <w:shd w:fill="CCEEFF" w:val="clear"/>
            <w:vAlign w:val="bottom"/>
          </w:tcPr>
          <w:p>
            <w:pPr>
              <w:pStyle w:val="TableContents"/>
              <w:spacing w:before="0" w:after="283"/>
              <w:jc w:val="right"/>
              <w:rPr/>
            </w:pPr>
            <w:r>
              <w:rPr/>
              <w:t>50</w:t>
            </w:r>
          </w:p>
        </w:tc>
        <w:tc>
          <w:tcPr>
            <w:tcW w:w="442" w:type="dxa"/>
            <w:tcBorders/>
            <w:shd w:fill="CCEEFF" w:val="clear"/>
            <w:vAlign w:val="bottom"/>
          </w:tcPr>
          <w:p>
            <w:pPr>
              <w:pStyle w:val="TableContents"/>
              <w:spacing w:before="0" w:after="283"/>
              <w:rPr/>
            </w:pPr>
            <w:r>
              <w:rPr/>
              <w:t>%</w:t>
            </w:r>
          </w:p>
        </w:tc>
        <w:tc>
          <w:tcPr>
            <w:tcW w:w="414"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pPr>
            <w:r>
              <w:rPr/>
              <w:t> </w:t>
            </w:r>
          </w:p>
        </w:tc>
        <w:tc>
          <w:tcPr>
            <w:tcW w:w="455" w:type="dxa"/>
            <w:tcBorders/>
            <w:shd w:fill="CCEEFF" w:val="clear"/>
            <w:vAlign w:val="bottom"/>
          </w:tcPr>
          <w:p>
            <w:pPr>
              <w:pStyle w:val="TableContents"/>
              <w:spacing w:before="0" w:after="283"/>
              <w:jc w:val="right"/>
              <w:rPr/>
            </w:pPr>
            <w:r>
              <w:rPr/>
              <w:t>100</w:t>
            </w:r>
          </w:p>
        </w:tc>
        <w:tc>
          <w:tcPr>
            <w:tcW w:w="404" w:type="dxa"/>
            <w:tcBorders/>
            <w:shd w:fill="CCEEFF" w:val="clear"/>
            <w:vAlign w:val="bottom"/>
          </w:tcPr>
          <w:p>
            <w:pPr>
              <w:pStyle w:val="TableContents"/>
              <w:spacing w:before="0" w:after="283"/>
              <w:rPr/>
            </w:pPr>
            <w:r>
              <w:rPr/>
              <w:t>%</w:t>
            </w:r>
          </w:p>
        </w:tc>
        <w:tc>
          <w:tcPr>
            <w:tcW w:w="414"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pPr>
            <w:r>
              <w:rPr/>
              <w:t> </w:t>
            </w:r>
          </w:p>
        </w:tc>
        <w:tc>
          <w:tcPr>
            <w:tcW w:w="455" w:type="dxa"/>
            <w:tcBorders/>
            <w:shd w:fill="CCEEFF" w:val="clear"/>
            <w:vAlign w:val="bottom"/>
          </w:tcPr>
          <w:p>
            <w:pPr>
              <w:pStyle w:val="TableContents"/>
              <w:spacing w:before="0" w:after="283"/>
              <w:jc w:val="right"/>
              <w:rPr/>
            </w:pPr>
            <w:r>
              <w:rPr/>
              <w:t>150</w:t>
            </w:r>
          </w:p>
        </w:tc>
        <w:tc>
          <w:tcPr>
            <w:tcW w:w="414" w:type="dxa"/>
            <w:tcBorders/>
            <w:shd w:fill="CCEEFF" w:val="clear"/>
            <w:vAlign w:val="bottom"/>
          </w:tcPr>
          <w:p>
            <w:pPr>
              <w:pStyle w:val="TableContents"/>
              <w:spacing w:before="0" w:after="283"/>
              <w:rPr/>
            </w:pPr>
            <w:r>
              <w:rPr/>
              <w: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All participants in the Incentive Compensation Plan are assigned a weighting between the overall company financial objective and their personal objectives for determining their individual incentive award. The company financial objective is weighted more heavily for more senior positions. The table below shows the target bonus and objective weighting for the named executive officers. The Chairman of the Board was not a participant in the 2007 Incentive Compensation Plan but was added to the fiscal 2008 plan with a target bonus of 50% of his base salary. </w:t>
      </w:r>
    </w:p>
    <w:p>
      <w:pPr>
        <w:pStyle w:val="TextBody"/>
        <w:spacing w:before="360" w:after="283"/>
        <w:jc w:val="center"/>
        <w:rPr>
          <w:rFonts w:ascii="Helvetica;Arial;sans-serif" w:hAnsi="Helvetica;Arial;sans-serif"/>
          <w:sz w:val="17"/>
        </w:rPr>
      </w:pPr>
      <w:r>
        <w:rPr>
          <w:rFonts w:ascii="Helvetica;Arial;sans-serif" w:hAnsi="Helvetica;Arial;sans-serif"/>
          <w:b/>
          <w:sz w:val="17"/>
        </w:rPr>
        <w:t>EXECUTIVE OFFICER SHORT TERM INCENTIVE PLAN OBJECTIVES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4553"/>
        <w:gridCol w:w="228"/>
        <w:gridCol w:w="240"/>
        <w:gridCol w:w="914"/>
        <w:gridCol w:w="601"/>
        <w:gridCol w:w="228"/>
        <w:gridCol w:w="268"/>
        <w:gridCol w:w="1092"/>
        <w:gridCol w:w="701"/>
        <w:gridCol w:w="228"/>
        <w:gridCol w:w="202"/>
        <w:gridCol w:w="473"/>
        <w:gridCol w:w="477"/>
      </w:tblGrid>
      <w:tr>
        <w:trPr/>
        <w:tc>
          <w:tcPr>
            <w:tcW w:w="455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r>
      <w:tr>
        <w:trPr/>
        <w:tc>
          <w:tcPr>
            <w:tcW w:w="455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55" w:type="dxa"/>
            <w:gridSpan w:val="3"/>
            <w:tcBorders/>
            <w:shd w:fill="auto" w:val="clear"/>
            <w:vAlign w:val="bottom"/>
          </w:tcPr>
          <w:p>
            <w:pPr>
              <w:pStyle w:val="TableContents"/>
              <w:spacing w:before="0" w:after="283"/>
              <w:jc w:val="center"/>
              <w:rPr/>
            </w:pPr>
            <w:r>
              <w:rPr/>
              <w:t>Target Bonus as</w:t>
            </w:r>
          </w:p>
        </w:tc>
        <w:tc>
          <w:tcPr>
            <w:tcW w:w="228" w:type="dxa"/>
            <w:tcBorders/>
            <w:shd w:fill="auto" w:val="clear"/>
            <w:vAlign w:val="bottom"/>
          </w:tcPr>
          <w:p>
            <w:pPr>
              <w:pStyle w:val="TableContents"/>
              <w:spacing w:before="0" w:after="283"/>
              <w:rPr/>
            </w:pPr>
            <w:r>
              <w:rPr/>
              <w:t> </w:t>
            </w:r>
          </w:p>
        </w:tc>
        <w:tc>
          <w:tcPr>
            <w:tcW w:w="2061" w:type="dxa"/>
            <w:gridSpan w:val="3"/>
            <w:tcBorders/>
            <w:shd w:fill="auto" w:val="clear"/>
            <w:vAlign w:val="bottom"/>
          </w:tcPr>
          <w:p>
            <w:pPr>
              <w:pStyle w:val="TableContents"/>
              <w:spacing w:before="0" w:after="283"/>
              <w:jc w:val="center"/>
              <w:rPr/>
            </w:pPr>
            <w:r>
              <w:rPr/>
              <w:t>Company Financial</w:t>
            </w:r>
          </w:p>
        </w:tc>
        <w:tc>
          <w:tcPr>
            <w:tcW w:w="228" w:type="dxa"/>
            <w:tcBorders/>
            <w:shd w:fill="auto" w:val="clear"/>
            <w:vAlign w:val="bottom"/>
          </w:tcPr>
          <w:p>
            <w:pPr>
              <w:pStyle w:val="TableContents"/>
              <w:spacing w:before="0" w:after="283"/>
              <w:rPr/>
            </w:pPr>
            <w:r>
              <w:rPr/>
              <w:t> </w:t>
            </w:r>
          </w:p>
        </w:tc>
        <w:tc>
          <w:tcPr>
            <w:tcW w:w="1152" w:type="dxa"/>
            <w:gridSpan w:val="3"/>
            <w:tcBorders/>
            <w:shd w:fill="auto" w:val="clear"/>
            <w:vAlign w:val="bottom"/>
          </w:tcPr>
          <w:p>
            <w:pPr>
              <w:pStyle w:val="TableContents"/>
              <w:spacing w:before="0" w:after="283"/>
              <w:jc w:val="center"/>
              <w:rPr/>
            </w:pPr>
            <w:r>
              <w:rPr/>
              <w:t>Personal</w:t>
            </w:r>
          </w:p>
        </w:tc>
      </w:tr>
      <w:tr>
        <w:trPr/>
        <w:tc>
          <w:tcPr>
            <w:tcW w:w="4553" w:type="dxa"/>
            <w:tcBorders>
              <w:bottom w:val="single" w:sz="2" w:space="0" w:color="000000"/>
            </w:tcBorders>
            <w:shd w:fill="auto" w:val="clear"/>
            <w:tcMar>
              <w:bottom w:w="28" w:type="dxa"/>
            </w:tcMar>
            <w:vAlign w:val="bottom"/>
          </w:tcPr>
          <w:p>
            <w:pPr>
              <w:pStyle w:val="TableContents"/>
              <w:spacing w:before="0" w:after="283"/>
              <w:jc w:val="left"/>
              <w:rPr/>
            </w:pPr>
            <w:r>
              <w:rPr/>
              <w:t>Named Executive Officer</w:t>
            </w:r>
          </w:p>
        </w:tc>
        <w:tc>
          <w:tcPr>
            <w:tcW w:w="228" w:type="dxa"/>
            <w:tcBorders/>
            <w:shd w:fill="auto" w:val="clear"/>
            <w:vAlign w:val="bottom"/>
          </w:tcPr>
          <w:p>
            <w:pPr>
              <w:pStyle w:val="TableContents"/>
              <w:spacing w:before="0" w:after="283"/>
              <w:rPr/>
            </w:pPr>
            <w:r>
              <w:rPr/>
              <w:t> </w:t>
            </w:r>
          </w:p>
        </w:tc>
        <w:tc>
          <w:tcPr>
            <w:tcW w:w="1755" w:type="dxa"/>
            <w:gridSpan w:val="3"/>
            <w:tcBorders>
              <w:bottom w:val="single" w:sz="2" w:space="0" w:color="000000"/>
            </w:tcBorders>
            <w:shd w:fill="auto" w:val="clear"/>
            <w:tcMar>
              <w:bottom w:w="28" w:type="dxa"/>
            </w:tcMar>
            <w:vAlign w:val="bottom"/>
          </w:tcPr>
          <w:p>
            <w:pPr>
              <w:pStyle w:val="TableContents"/>
              <w:spacing w:before="0" w:after="283"/>
              <w:jc w:val="center"/>
              <w:rPr/>
            </w:pPr>
            <w:r>
              <w:rPr/>
              <w:t>Percent of Base</w:t>
            </w:r>
          </w:p>
        </w:tc>
        <w:tc>
          <w:tcPr>
            <w:tcW w:w="228" w:type="dxa"/>
            <w:tcBorders/>
            <w:shd w:fill="auto" w:val="clear"/>
            <w:vAlign w:val="bottom"/>
          </w:tcPr>
          <w:p>
            <w:pPr>
              <w:pStyle w:val="TableContents"/>
              <w:spacing w:before="0" w:after="283"/>
              <w:rPr/>
            </w:pPr>
            <w:r>
              <w:rPr/>
              <w:t> </w:t>
            </w:r>
          </w:p>
        </w:tc>
        <w:tc>
          <w:tcPr>
            <w:tcW w:w="2061" w:type="dxa"/>
            <w:gridSpan w:val="3"/>
            <w:tcBorders>
              <w:bottom w:val="single" w:sz="2" w:space="0" w:color="000000"/>
            </w:tcBorders>
            <w:shd w:fill="auto" w:val="clear"/>
            <w:tcMar>
              <w:bottom w:w="28" w:type="dxa"/>
            </w:tcMar>
            <w:vAlign w:val="bottom"/>
          </w:tcPr>
          <w:p>
            <w:pPr>
              <w:pStyle w:val="TableContents"/>
              <w:spacing w:before="0" w:after="283"/>
              <w:jc w:val="center"/>
              <w:rPr/>
            </w:pPr>
            <w:r>
              <w:rPr/>
              <w:t>Objective</w:t>
            </w:r>
          </w:p>
        </w:tc>
        <w:tc>
          <w:tcPr>
            <w:tcW w:w="228" w:type="dxa"/>
            <w:tcBorders/>
            <w:shd w:fill="auto" w:val="clear"/>
            <w:vAlign w:val="bottom"/>
          </w:tcPr>
          <w:p>
            <w:pPr>
              <w:pStyle w:val="TableContents"/>
              <w:spacing w:before="0" w:after="283"/>
              <w:rPr/>
            </w:pPr>
            <w:r>
              <w:rPr/>
              <w:t> </w:t>
            </w:r>
          </w:p>
        </w:tc>
        <w:tc>
          <w:tcPr>
            <w:tcW w:w="1152" w:type="dxa"/>
            <w:gridSpan w:val="3"/>
            <w:tcBorders>
              <w:bottom w:val="single" w:sz="2" w:space="0" w:color="000000"/>
            </w:tcBorders>
            <w:shd w:fill="auto" w:val="clear"/>
            <w:tcMar>
              <w:bottom w:w="28" w:type="dxa"/>
            </w:tcMar>
            <w:vAlign w:val="bottom"/>
          </w:tcPr>
          <w:p>
            <w:pPr>
              <w:pStyle w:val="TableContents"/>
              <w:spacing w:before="0" w:after="283"/>
              <w:jc w:val="center"/>
              <w:rPr/>
            </w:pPr>
            <w:r>
              <w:rPr/>
              <w:t>Objective</w:t>
            </w:r>
          </w:p>
        </w:tc>
      </w:tr>
      <w:tr>
        <w:trPr/>
        <w:tc>
          <w:tcPr>
            <w:tcW w:w="4553" w:type="dxa"/>
            <w:tcBorders/>
            <w:shd w:fill="CCEEFF" w:val="clear"/>
            <w:vAlign w:val="bottom"/>
          </w:tcPr>
          <w:p>
            <w:pPr>
              <w:pStyle w:val="TableContents"/>
              <w:spacing w:before="0" w:after="0"/>
              <w:ind w:left="225" w:right="0" w:hanging="225"/>
              <w:rPr/>
            </w:pPr>
            <w:r>
              <w:rPr/>
              <w:t>Joseph Rotunda</w:t>
            </w:r>
          </w:p>
        </w:tc>
        <w:tc>
          <w:tcPr>
            <w:tcW w:w="228"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914" w:type="dxa"/>
            <w:tcBorders/>
            <w:shd w:fill="CCEEFF" w:val="clear"/>
            <w:vAlign w:val="bottom"/>
          </w:tcPr>
          <w:p>
            <w:pPr>
              <w:pStyle w:val="TableContents"/>
              <w:spacing w:before="0" w:after="283"/>
              <w:jc w:val="right"/>
              <w:rPr/>
            </w:pPr>
            <w:r>
              <w:rPr/>
              <w:t>100</w:t>
            </w:r>
          </w:p>
        </w:tc>
        <w:tc>
          <w:tcPr>
            <w:tcW w:w="601"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right"/>
              <w:rPr/>
            </w:pPr>
            <w:r>
              <w:rPr/>
              <w:t> </w:t>
            </w:r>
          </w:p>
        </w:tc>
        <w:tc>
          <w:tcPr>
            <w:tcW w:w="1092" w:type="dxa"/>
            <w:tcBorders/>
            <w:shd w:fill="CCEEFF" w:val="clear"/>
            <w:vAlign w:val="bottom"/>
          </w:tcPr>
          <w:p>
            <w:pPr>
              <w:pStyle w:val="TableContents"/>
              <w:spacing w:before="0" w:after="283"/>
              <w:jc w:val="right"/>
              <w:rPr/>
            </w:pPr>
            <w:r>
              <w:rPr/>
              <w:t>100</w:t>
            </w:r>
          </w:p>
        </w:tc>
        <w:tc>
          <w:tcPr>
            <w:tcW w:w="701"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jc w:val="right"/>
              <w:rPr/>
            </w:pPr>
            <w:r>
              <w:rPr/>
              <w:t></w:t>
            </w:r>
          </w:p>
        </w:tc>
        <w:tc>
          <w:tcPr>
            <w:tcW w:w="477" w:type="dxa"/>
            <w:tcBorders/>
            <w:shd w:fill="CCEEFF" w:val="clear"/>
            <w:vAlign w:val="bottom"/>
          </w:tcPr>
          <w:p>
            <w:pPr>
              <w:pStyle w:val="TableContents"/>
              <w:spacing w:before="0" w:after="283"/>
              <w:rPr/>
            </w:pPr>
            <w:r>
              <w:rPr/>
              <w:t> </w:t>
            </w:r>
          </w:p>
        </w:tc>
      </w:tr>
      <w:tr>
        <w:trPr/>
        <w:tc>
          <w:tcPr>
            <w:tcW w:w="4553" w:type="dxa"/>
            <w:tcBorders/>
            <w:shd w:fill="auto" w:val="clear"/>
            <w:vAlign w:val="bottom"/>
          </w:tcPr>
          <w:p>
            <w:pPr>
              <w:pStyle w:val="TableContents"/>
              <w:spacing w:before="0" w:after="0"/>
              <w:ind w:left="225" w:right="0" w:hanging="225"/>
              <w:rPr/>
            </w:pPr>
            <w:r>
              <w:rPr/>
              <w:t>Sterling Brinkley</w:t>
            </w:r>
          </w:p>
        </w:tc>
        <w:tc>
          <w:tcPr>
            <w:tcW w:w="228"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N/A</w:t>
            </w:r>
          </w:p>
        </w:tc>
        <w:tc>
          <w:tcPr>
            <w:tcW w:w="6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N/A</w:t>
            </w:r>
          </w:p>
        </w:tc>
        <w:tc>
          <w:tcPr>
            <w:tcW w:w="7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N/A</w:t>
            </w:r>
          </w:p>
        </w:tc>
        <w:tc>
          <w:tcPr>
            <w:tcW w:w="477" w:type="dxa"/>
            <w:tcBorders/>
            <w:shd w:fill="auto" w:val="clear"/>
            <w:vAlign w:val="bottom"/>
          </w:tcPr>
          <w:p>
            <w:pPr>
              <w:pStyle w:val="TableContents"/>
              <w:spacing w:before="0" w:after="283"/>
              <w:rPr/>
            </w:pPr>
            <w:r>
              <w:rPr/>
              <w:t> </w:t>
            </w:r>
          </w:p>
        </w:tc>
      </w:tr>
      <w:tr>
        <w:trPr/>
        <w:tc>
          <w:tcPr>
            <w:tcW w:w="4553" w:type="dxa"/>
            <w:tcBorders/>
            <w:shd w:fill="CCEEFF" w:val="clear"/>
            <w:vAlign w:val="bottom"/>
          </w:tcPr>
          <w:p>
            <w:pPr>
              <w:pStyle w:val="TableContents"/>
              <w:spacing w:before="0" w:after="0"/>
              <w:ind w:left="225" w:right="0" w:hanging="225"/>
              <w:rPr/>
            </w:pPr>
            <w:r>
              <w:rPr/>
              <w:t>Daniel Tonissen</w:t>
            </w:r>
          </w:p>
        </w:tc>
        <w:tc>
          <w:tcPr>
            <w:tcW w:w="228"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914" w:type="dxa"/>
            <w:tcBorders/>
            <w:shd w:fill="CCEEFF" w:val="clear"/>
            <w:vAlign w:val="bottom"/>
          </w:tcPr>
          <w:p>
            <w:pPr>
              <w:pStyle w:val="TableContents"/>
              <w:spacing w:before="0" w:after="283"/>
              <w:jc w:val="right"/>
              <w:rPr/>
            </w:pPr>
            <w:r>
              <w:rPr/>
              <w:t>50</w:t>
            </w:r>
          </w:p>
        </w:tc>
        <w:tc>
          <w:tcPr>
            <w:tcW w:w="601"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right"/>
              <w:rPr/>
            </w:pPr>
            <w:r>
              <w:rPr/>
              <w:t> </w:t>
            </w:r>
          </w:p>
        </w:tc>
        <w:tc>
          <w:tcPr>
            <w:tcW w:w="1092" w:type="dxa"/>
            <w:tcBorders/>
            <w:shd w:fill="CCEEFF" w:val="clear"/>
            <w:vAlign w:val="bottom"/>
          </w:tcPr>
          <w:p>
            <w:pPr>
              <w:pStyle w:val="TableContents"/>
              <w:spacing w:before="0" w:after="283"/>
              <w:jc w:val="right"/>
              <w:rPr/>
            </w:pPr>
            <w:r>
              <w:rPr/>
              <w:t>40</w:t>
            </w:r>
          </w:p>
        </w:tc>
        <w:tc>
          <w:tcPr>
            <w:tcW w:w="701"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473" w:type="dxa"/>
            <w:tcBorders/>
            <w:shd w:fill="CCEEFF" w:val="clear"/>
            <w:vAlign w:val="bottom"/>
          </w:tcPr>
          <w:p>
            <w:pPr>
              <w:pStyle w:val="TableContents"/>
              <w:spacing w:before="0" w:after="283"/>
              <w:jc w:val="right"/>
              <w:rPr/>
            </w:pPr>
            <w:r>
              <w:rPr/>
              <w:t>10</w:t>
            </w:r>
          </w:p>
        </w:tc>
        <w:tc>
          <w:tcPr>
            <w:tcW w:w="477" w:type="dxa"/>
            <w:tcBorders/>
            <w:shd w:fill="CCEEFF" w:val="clear"/>
            <w:vAlign w:val="bottom"/>
          </w:tcPr>
          <w:p>
            <w:pPr>
              <w:pStyle w:val="TableContents"/>
              <w:spacing w:before="0" w:after="283"/>
              <w:rPr/>
            </w:pPr>
            <w:r>
              <w:rPr/>
              <w:t>%</w:t>
            </w:r>
          </w:p>
        </w:tc>
      </w:tr>
      <w:tr>
        <w:trPr/>
        <w:tc>
          <w:tcPr>
            <w:tcW w:w="4553" w:type="dxa"/>
            <w:tcBorders/>
            <w:shd w:fill="auto" w:val="clear"/>
            <w:vAlign w:val="bottom"/>
          </w:tcPr>
          <w:p>
            <w:pPr>
              <w:pStyle w:val="TableContents"/>
              <w:spacing w:before="0" w:after="0"/>
              <w:ind w:left="225" w:right="0" w:hanging="225"/>
              <w:rPr/>
            </w:pPr>
            <w:r>
              <w:rPr/>
              <w:t>Robert Kasenter</w:t>
            </w:r>
          </w:p>
        </w:tc>
        <w:tc>
          <w:tcPr>
            <w:tcW w:w="228"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914" w:type="dxa"/>
            <w:tcBorders/>
            <w:shd w:fill="auto" w:val="clear"/>
            <w:vAlign w:val="bottom"/>
          </w:tcPr>
          <w:p>
            <w:pPr>
              <w:pStyle w:val="TableContents"/>
              <w:spacing w:before="0" w:after="283"/>
              <w:jc w:val="right"/>
              <w:rPr/>
            </w:pPr>
            <w:r>
              <w:rPr/>
              <w:t>50</w:t>
            </w:r>
          </w:p>
        </w:tc>
        <w:tc>
          <w:tcPr>
            <w:tcW w:w="601" w:type="dxa"/>
            <w:tcBorders/>
            <w:shd w:fill="auto" w:val="clear"/>
            <w:vAlign w:val="bottom"/>
          </w:tcPr>
          <w:p>
            <w:pPr>
              <w:pStyle w:val="TableContents"/>
              <w:spacing w:before="0" w:after="283"/>
              <w:rPr/>
            </w:pPr>
            <w:r>
              <w:rPr/>
              <w:t>%</w:t>
            </w:r>
          </w:p>
        </w:tc>
        <w:tc>
          <w:tcPr>
            <w:tcW w:w="22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right"/>
              <w:rPr/>
            </w:pPr>
            <w:r>
              <w:rPr/>
              <w:t> </w:t>
            </w:r>
          </w:p>
        </w:tc>
        <w:tc>
          <w:tcPr>
            <w:tcW w:w="1092" w:type="dxa"/>
            <w:tcBorders/>
            <w:shd w:fill="auto" w:val="clear"/>
            <w:vAlign w:val="bottom"/>
          </w:tcPr>
          <w:p>
            <w:pPr>
              <w:pStyle w:val="TableContents"/>
              <w:spacing w:before="0" w:after="283"/>
              <w:jc w:val="right"/>
              <w:rPr/>
            </w:pPr>
            <w:r>
              <w:rPr/>
              <w:t>40</w:t>
            </w:r>
          </w:p>
        </w:tc>
        <w:tc>
          <w:tcPr>
            <w:tcW w:w="701" w:type="dxa"/>
            <w:tcBorders/>
            <w:shd w:fill="auto" w:val="clear"/>
            <w:vAlign w:val="bottom"/>
          </w:tcPr>
          <w:p>
            <w:pPr>
              <w:pStyle w:val="TableContents"/>
              <w:spacing w:before="0" w:after="283"/>
              <w:rPr/>
            </w:pPr>
            <w:r>
              <w:rPr/>
              <w:t>%</w:t>
            </w:r>
          </w:p>
        </w:tc>
        <w:tc>
          <w:tcPr>
            <w:tcW w:w="228"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right"/>
              <w:rPr/>
            </w:pPr>
            <w:r>
              <w:rPr/>
              <w:t> </w:t>
            </w:r>
          </w:p>
        </w:tc>
        <w:tc>
          <w:tcPr>
            <w:tcW w:w="473" w:type="dxa"/>
            <w:tcBorders/>
            <w:shd w:fill="auto" w:val="clear"/>
            <w:vAlign w:val="bottom"/>
          </w:tcPr>
          <w:p>
            <w:pPr>
              <w:pStyle w:val="TableContents"/>
              <w:spacing w:before="0" w:after="283"/>
              <w:jc w:val="right"/>
              <w:rPr/>
            </w:pPr>
            <w:r>
              <w:rPr/>
              <w:t>10</w:t>
            </w:r>
          </w:p>
        </w:tc>
        <w:tc>
          <w:tcPr>
            <w:tcW w:w="477" w:type="dxa"/>
            <w:tcBorders/>
            <w:shd w:fill="auto" w:val="clear"/>
            <w:vAlign w:val="bottom"/>
          </w:tcPr>
          <w:p>
            <w:pPr>
              <w:pStyle w:val="TableContents"/>
              <w:spacing w:before="0" w:after="283"/>
              <w:rPr/>
            </w:pPr>
            <w:r>
              <w:rPr/>
              <w:t>%</w:t>
            </w:r>
          </w:p>
        </w:tc>
      </w:tr>
      <w:tr>
        <w:trPr/>
        <w:tc>
          <w:tcPr>
            <w:tcW w:w="4553" w:type="dxa"/>
            <w:tcBorders/>
            <w:shd w:fill="CCEEFF" w:val="clear"/>
            <w:vAlign w:val="bottom"/>
          </w:tcPr>
          <w:p>
            <w:pPr>
              <w:pStyle w:val="TableContents"/>
              <w:spacing w:before="0" w:after="0"/>
              <w:ind w:left="225" w:right="0" w:hanging="225"/>
              <w:rPr/>
            </w:pPr>
            <w:r>
              <w:rPr/>
              <w:t>Eric Fosse</w:t>
            </w:r>
          </w:p>
        </w:tc>
        <w:tc>
          <w:tcPr>
            <w:tcW w:w="228"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914" w:type="dxa"/>
            <w:tcBorders/>
            <w:shd w:fill="CCEEFF" w:val="clear"/>
            <w:vAlign w:val="bottom"/>
          </w:tcPr>
          <w:p>
            <w:pPr>
              <w:pStyle w:val="TableContents"/>
              <w:spacing w:before="0" w:after="283"/>
              <w:jc w:val="right"/>
              <w:rPr/>
            </w:pPr>
            <w:r>
              <w:rPr/>
              <w:t>40</w:t>
            </w:r>
          </w:p>
        </w:tc>
        <w:tc>
          <w:tcPr>
            <w:tcW w:w="601"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right"/>
              <w:rPr/>
            </w:pPr>
            <w:r>
              <w:rPr/>
              <w:t> </w:t>
            </w:r>
          </w:p>
        </w:tc>
        <w:tc>
          <w:tcPr>
            <w:tcW w:w="1092" w:type="dxa"/>
            <w:tcBorders/>
            <w:shd w:fill="CCEEFF" w:val="clear"/>
            <w:vAlign w:val="bottom"/>
          </w:tcPr>
          <w:p>
            <w:pPr>
              <w:pStyle w:val="TableContents"/>
              <w:spacing w:before="0" w:after="283"/>
              <w:jc w:val="right"/>
              <w:rPr/>
            </w:pPr>
            <w:r>
              <w:rPr/>
              <w:t>25</w:t>
            </w:r>
          </w:p>
        </w:tc>
        <w:tc>
          <w:tcPr>
            <w:tcW w:w="701"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right"/>
              <w:rPr/>
            </w:pPr>
            <w:r>
              <w:rPr/>
              <w:t> </w:t>
            </w:r>
          </w:p>
        </w:tc>
        <w:tc>
          <w:tcPr>
            <w:tcW w:w="473" w:type="dxa"/>
            <w:tcBorders/>
            <w:shd w:fill="CCEEFF" w:val="clear"/>
            <w:vAlign w:val="bottom"/>
          </w:tcPr>
          <w:p>
            <w:pPr>
              <w:pStyle w:val="TableContents"/>
              <w:spacing w:before="0" w:after="283"/>
              <w:jc w:val="right"/>
              <w:rPr/>
            </w:pPr>
            <w:r>
              <w:rPr/>
              <w:t>15</w:t>
            </w:r>
          </w:p>
        </w:tc>
        <w:tc>
          <w:tcPr>
            <w:tcW w:w="477" w:type="dxa"/>
            <w:tcBorders/>
            <w:shd w:fill="CCEEFF" w:val="clear"/>
            <w:vAlign w:val="bottom"/>
          </w:tcPr>
          <w:p>
            <w:pPr>
              <w:pStyle w:val="TableContents"/>
              <w:spacing w:before="0" w:after="283"/>
              <w:rPr/>
            </w:pPr>
            <w:r>
              <w:rPr/>
              <w: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All incentive awards are subject to the review and approval of the Compensation Committee and may be adjusted if the Compensation Committee feels that the award does not reflect the contribution of the participant.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November 2007, the Compensation Committee determined the company achieved the fiscal 2007 company financial objective, leading to a 100% payout of the target bonus for the company financial objective. The Compensation Committee also approved the total short-term incentive payment due each named executive. As a result, each of the named executive officers received in November 2007 the amounts reported in the Non-Equity Incentive Plan Compensation column of the Summary Compensation Table. </w:t>
      </w:r>
    </w:p>
    <w:p>
      <w:pPr>
        <w:pStyle w:val="TextBody"/>
        <w:spacing w:before="240" w:after="283"/>
        <w:jc w:val="left"/>
        <w:rPr>
          <w:rFonts w:ascii="Helvetica;Arial;sans-serif" w:hAnsi="Helvetica;Arial;sans-serif"/>
          <w:sz w:val="17"/>
        </w:rPr>
      </w:pPr>
      <w:r>
        <w:rPr>
          <w:rFonts w:ascii="Helvetica;Arial;sans-serif" w:hAnsi="Helvetica;Arial;sans-serif"/>
          <w:b/>
          <w:sz w:val="17"/>
        </w:rPr>
        <w:t>Long Term Compensation: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All of our executives, including the named executives, are eligible to receive stock awards in the form of stock options or restricted share awards from the EZCORP, Inc. 2006 Incentive Plan. Participation in the long-term incentive plan is based on the following criteria: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Analysis of competitive information for comparable positions;</w:t>
            </w:r>
          </w:p>
        </w:tc>
      </w:tr>
    </w:tbl>
    <w:p>
      <w:pPr>
        <w:pStyle w:val="TextBody"/>
        <w:jc w:val="center"/>
        <w:rPr>
          <w:rFonts w:ascii="Helvetica;Arial;sans-serif" w:hAnsi="Helvetica;Arial;sans-serif"/>
          <w:sz w:val="17"/>
        </w:rPr>
      </w:pPr>
      <w:r>
        <w:rPr>
          <w:rFonts w:ascii="Helvetica;Arial;sans-serif" w:hAnsi="Helvetica;Arial;sans-serif"/>
          <w:sz w:val="17"/>
        </w:rPr>
        <w:t xml:space="preserve">82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Evaluation of the value added to the company by hiring or retaining specific executives; and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Each executives long-term potential contributions to our company.</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EZCORP, Inc. 2006 Incentive Plan permits the issuance of up to 2,250,000 shares of our Class A Non-voting Common Stock, of which no more than 1,050,000 shares may be issued to any individual in one fiscal year. Awards may be in the form of incentive and nonstatutory options, restricted stock awards and stock appreciation rights. A committee composed of independent directors administers the plan, except that the full Board serves as the committee for awards to independent members of the Board.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Although awards of share-based compensation may be awarded at any time as determined by the committee, they are generally awarded on the first business day of our fiscal year or on the hire date of an executive or other key personnel. Options have historically been awarded at or above the closing market price on the date of award.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Compensation Committees philosophy on long-term compensation is that equity-based compensation is an effective method to align the interests of shareholders and management and focus managements attention on long-term results. Participation in equity-based compensation plans must also consider the impact the participant can have on our overall performance, strategic direction, financial results and creating shareholder value. Therefore, equity awards are primarily based upon the participants position in the organization, competitive necessity and the individuals performance.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Compensation Committee also believes that cliff vesting of shares after multiple years provides participants with increased incentive to maintain performance levels over a longer period and provides a retention vehicle. Most equity awards have vesting schedules over several years to promote the long-term performance and retention of the recipient. Some of these awards also have specific performance criteria for vesting.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October 2006, 1,692,000 shares of restricted stock were awarded to our named executive officers, with vesting periods ranging from four to ten years. The date for each award was October 2, 2006, which was the first business day of our 2007 fiscal year. (See Outstanding Equity Awards.)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vesting requirements on the October 2006 restricted stock awards to the Chairman and the President and Chief Executive Officer were structured differently than most awards to reflect the different circumstances. The Compensation Committee determined that the awards to these executives should have bi-annual vesting of a portion of the awards and a longer overall vesting term of ten years to provide an on-going retention vehicle. The awards were also structured to provide for an orderly succession plan for these key executives in order to ensure strong management continuity. In addition, the awards include non-compete, non-solicitation and employment continuity clauses. More details of these awards are found in the footnotes of the Outstanding Equity Awards table. </w:t>
      </w:r>
    </w:p>
    <w:p>
      <w:pPr>
        <w:pStyle w:val="TextBody"/>
        <w:spacing w:before="240" w:after="283"/>
        <w:jc w:val="left"/>
        <w:rPr>
          <w:rFonts w:ascii="Helvetica;Arial;sans-serif" w:hAnsi="Helvetica;Arial;sans-serif"/>
          <w:sz w:val="17"/>
        </w:rPr>
      </w:pPr>
      <w:r>
        <w:rPr>
          <w:rFonts w:ascii="Helvetica;Arial;sans-serif" w:hAnsi="Helvetica;Arial;sans-serif"/>
          <w:b/>
          <w:sz w:val="17"/>
        </w:rPr>
        <w:t>Retirement and Other Benefits: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sz w:val="17"/>
        </w:rPr>
        <w:t>Supplemental Executive Retirement Plan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encourage all associates to participate in their retirement planning by providing an opportunity to participate in our 401(k) plan. This pre-tax savings plan allows individuals to have pre-tax amounts withheld from their pay and provides a 25% match in the form of EZCORP stock up to 6% of their salary, based on participation at that level. Participants contributions are invested in various </w:t>
      </w:r>
    </w:p>
    <w:p>
      <w:pPr>
        <w:pStyle w:val="TextBody"/>
        <w:jc w:val="center"/>
        <w:rPr>
          <w:rFonts w:ascii="Helvetica;Arial;sans-serif" w:hAnsi="Helvetica;Arial;sans-serif"/>
          <w:sz w:val="17"/>
        </w:rPr>
      </w:pPr>
      <w:r>
        <w:rPr>
          <w:rFonts w:ascii="Helvetica;Arial;sans-serif" w:hAnsi="Helvetica;Arial;sans-serif"/>
          <w:sz w:val="17"/>
        </w:rPr>
        <w:t xml:space="preserve">83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fund options that are selected by the individual. Participants are immediately vested in their contributions, and the company matching contributions vest over the first five years of employment, and are fully vested for participants who have five or more years of service. Participants are prohibited from investing their contributions in EZCORP stock.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federal tax code limits the amount of pre-tax savings that highly paid executives can contribute to the 401(k) plan. To offset some of the negative impact of these regulations on retirement savings, and to encourage retention of key officers, we provide selected executives with a non-qualified Supplemental Executive Retirement Plan. Company contributions to the Supplemental Executive Retirement Plan are formula-based, reviewed and recommended by management and approved by the Compensation Committee each year.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All Supplemental Executive Retirement Plan funds have a vesting schedule in order to provide an additional retention tool for the participants. Generally, the funds vest over three years from the grant date, with one-third vesting each year. All of a participants Supplemental Executive Retirement Plan funds from all grants vest 100% in the event of his or her death, disability or the termination of the plan due to a change in control of the company. In addition, the Supplemental Executive Retirement Plan funds are 100% vested when a participant attains his or her normal retirement age (60 years old and five years of active service) while actively employed by us.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For purposes of determining the appropriate company contributions to the Supplemental Executive Retirement Plan, it has been designed to provide a potential replacement value of 10%-20% of final pay for each participant, assuming that the individual remains with us and participates in the Supplemental Executive Retirement Plan for twenty years. Using an assumption that the executives salary and investments will grow 5% annually, the Supplemental Executive Retirement Plan balance is estimated to fund the purchase of a single-life annuity at age 65 that will have a replacement value of the 10%-20% goal stated above.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Based upon the income to be replaced and position levels, we make the following annual contribution for each participant: </w:t>
      </w:r>
    </w:p>
    <w:tbl>
      <w:tblPr>
        <w:tblW w:w="5000" w:type="pct"/>
        <w:jc w:val="center"/>
        <w:tblInd w:w="0" w:type="dxa"/>
        <w:tblCellMar>
          <w:top w:w="0" w:type="dxa"/>
          <w:left w:w="0" w:type="dxa"/>
          <w:bottom w:w="0" w:type="dxa"/>
          <w:right w:w="0" w:type="dxa"/>
        </w:tblCellMar>
      </w:tblPr>
      <w:tblGrid>
        <w:gridCol w:w="4593"/>
        <w:gridCol w:w="507"/>
        <w:gridCol w:w="5105"/>
      </w:tblGrid>
      <w:tr>
        <w:trPr/>
        <w:tc>
          <w:tcPr>
            <w:tcW w:w="4593"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5105"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Chairman of the Board,</w:t>
            </w:r>
          </w:p>
        </w:tc>
        <w:tc>
          <w:tcPr>
            <w:tcW w:w="507"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3" w:type="dxa"/>
            <w:tcBorders/>
            <w:shd w:fill="auto" w:val="clear"/>
          </w:tcPr>
          <w:p>
            <w:pPr>
              <w:pStyle w:val="TableContents"/>
              <w:spacing w:before="0" w:after="0"/>
              <w:ind w:left="0" w:right="0" w:hanging="0"/>
              <w:rPr/>
            </w:pPr>
            <w:r>
              <w:rPr/>
              <w:t>President and CEO,</w:t>
            </w:r>
          </w:p>
        </w:tc>
        <w:tc>
          <w:tcPr>
            <w:tcW w:w="507"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 </w:t>
            </w:r>
          </w:p>
        </w:tc>
      </w:tr>
      <w:tr>
        <w:trPr/>
        <w:tc>
          <w:tcPr>
            <w:tcW w:w="4593" w:type="dxa"/>
            <w:tcBorders/>
            <w:shd w:fill="auto" w:val="clear"/>
          </w:tcPr>
          <w:p>
            <w:pPr>
              <w:pStyle w:val="TableContents"/>
              <w:spacing w:before="0" w:after="0"/>
              <w:ind w:left="0" w:right="0" w:hanging="0"/>
              <w:rPr/>
            </w:pPr>
            <w:r>
              <w:rPr/>
              <w:t xml:space="preserve">&amp; Senior Vice Presidents </w:t>
            </w:r>
          </w:p>
        </w:tc>
        <w:tc>
          <w:tcPr>
            <w:tcW w:w="507"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9% of (base + target bonus)</w:t>
            </w:r>
          </w:p>
        </w:tc>
      </w:tr>
      <w:tr>
        <w:trPr/>
        <w:tc>
          <w:tcPr>
            <w:tcW w:w="4593" w:type="dxa"/>
            <w:tcBorders/>
            <w:shd w:fill="auto" w:val="clear"/>
            <w:vAlign w:val="center"/>
          </w:tcPr>
          <w:p>
            <w:pPr>
              <w:pStyle w:val="TableContents"/>
              <w:spacing w:before="0" w:after="283"/>
              <w:rPr/>
            </w:pPr>
            <w:r>
              <w:rPr/>
              <w:t> </w:t>
            </w:r>
          </w:p>
        </w:tc>
        <w:tc>
          <w:tcPr>
            <w:tcW w:w="5612" w:type="dxa"/>
            <w:gridSpan w:val="2"/>
            <w:tcBorders/>
            <w:shd w:fill="auto" w:val="clear"/>
          </w:tcPr>
          <w:p>
            <w:pPr>
              <w:pStyle w:val="TableContents"/>
              <w:spacing w:before="0" w:after="283"/>
              <w:rPr>
                <w:sz w:val="4"/>
                <w:szCs w:val="4"/>
              </w:rPr>
            </w:pPr>
            <w:r>
              <w:rPr>
                <w:sz w:val="4"/>
                <w:szCs w:val="4"/>
              </w:rPr>
            </w:r>
          </w:p>
        </w:tc>
      </w:tr>
      <w:tr>
        <w:trPr/>
        <w:tc>
          <w:tcPr>
            <w:tcW w:w="4593" w:type="dxa"/>
            <w:tcBorders/>
            <w:shd w:fill="auto" w:val="clear"/>
          </w:tcPr>
          <w:p>
            <w:pPr>
              <w:pStyle w:val="TableContents"/>
              <w:spacing w:before="0" w:after="0"/>
              <w:ind w:left="0" w:right="0" w:hanging="0"/>
              <w:rPr/>
            </w:pPr>
            <w:r>
              <w:rPr/>
              <w:t xml:space="preserve">Vice Presidents </w:t>
            </w:r>
          </w:p>
        </w:tc>
        <w:tc>
          <w:tcPr>
            <w:tcW w:w="507" w:type="dxa"/>
            <w:tcBorders/>
            <w:shd w:fill="auto" w:val="clear"/>
            <w:vAlign w:val="bottom"/>
          </w:tcPr>
          <w:p>
            <w:pPr>
              <w:pStyle w:val="TableContents"/>
              <w:spacing w:before="0" w:after="283"/>
              <w:rPr/>
            </w:pPr>
            <w:r>
              <w:rPr/>
              <w:t> </w:t>
            </w:r>
          </w:p>
        </w:tc>
        <w:tc>
          <w:tcPr>
            <w:tcW w:w="5105" w:type="dxa"/>
            <w:tcBorders/>
            <w:shd w:fill="auto" w:val="clear"/>
          </w:tcPr>
          <w:p>
            <w:pPr>
              <w:pStyle w:val="TableContents"/>
              <w:spacing w:before="0" w:after="283"/>
              <w:jc w:val="left"/>
              <w:rPr/>
            </w:pPr>
            <w:r>
              <w:rPr/>
              <w:t>4% of (base + target bonus)</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fiscal 2007, the Supplemental Executive Retirement Plan had nine participants. The table below shows the Supplemental Executive Retirement Plan awards for the named executive officers. </w:t>
      </w:r>
    </w:p>
    <w:p>
      <w:pPr>
        <w:pStyle w:val="TextBody"/>
        <w:spacing w:before="360" w:after="283"/>
        <w:jc w:val="center"/>
        <w:rPr>
          <w:rFonts w:ascii="Helvetica;Arial;sans-serif" w:hAnsi="Helvetica;Arial;sans-serif"/>
          <w:sz w:val="17"/>
        </w:rPr>
      </w:pPr>
      <w:r>
        <w:rPr>
          <w:rFonts w:ascii="Helvetica;Arial;sans-serif" w:hAnsi="Helvetica;Arial;sans-serif"/>
          <w:b/>
          <w:sz w:val="17"/>
        </w:rPr>
        <w:t>EXECUTIVE OFFICERS 2007</w:t>
        <w:br/>
        <w:t>SUPPLEMENTAL EXECUTIVE RETIREMENT PLAN AWARDS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8102"/>
        <w:gridCol w:w="385"/>
        <w:gridCol w:w="372"/>
        <w:gridCol w:w="1071"/>
        <w:gridCol w:w="275"/>
      </w:tblGrid>
      <w:tr>
        <w:trPr/>
        <w:tc>
          <w:tcPr>
            <w:tcW w:w="8102"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r>
      <w:tr>
        <w:trPr/>
        <w:tc>
          <w:tcPr>
            <w:tcW w:w="8102" w:type="dxa"/>
            <w:tcBorders>
              <w:bottom w:val="single" w:sz="2" w:space="0" w:color="000000"/>
            </w:tcBorders>
            <w:shd w:fill="auto" w:val="clear"/>
            <w:tcMar>
              <w:bottom w:w="28" w:type="dxa"/>
            </w:tcMar>
            <w:vAlign w:val="bottom"/>
          </w:tcPr>
          <w:p>
            <w:pPr>
              <w:pStyle w:val="TableContents"/>
              <w:spacing w:before="0" w:after="283"/>
              <w:jc w:val="left"/>
              <w:rPr/>
            </w:pPr>
            <w:r>
              <w:rPr/>
              <w:t>Named Executive Officer</w:t>
            </w:r>
          </w:p>
        </w:tc>
        <w:tc>
          <w:tcPr>
            <w:tcW w:w="385" w:type="dxa"/>
            <w:tcBorders/>
            <w:shd w:fill="auto" w:val="clear"/>
            <w:vAlign w:val="bottom"/>
          </w:tcPr>
          <w:p>
            <w:pPr>
              <w:pStyle w:val="TableContents"/>
              <w:spacing w:before="0" w:after="283"/>
              <w:rPr/>
            </w:pPr>
            <w:r>
              <w:rPr/>
              <w:t> </w:t>
            </w:r>
          </w:p>
        </w:tc>
        <w:tc>
          <w:tcPr>
            <w:tcW w:w="1718" w:type="dxa"/>
            <w:gridSpan w:val="3"/>
            <w:tcBorders>
              <w:bottom w:val="single" w:sz="2" w:space="0" w:color="000000"/>
            </w:tcBorders>
            <w:shd w:fill="auto" w:val="clear"/>
            <w:tcMar>
              <w:bottom w:w="28" w:type="dxa"/>
            </w:tcMar>
            <w:vAlign w:val="bottom"/>
          </w:tcPr>
          <w:p>
            <w:pPr>
              <w:pStyle w:val="TableContents"/>
              <w:spacing w:before="0" w:after="283"/>
              <w:jc w:val="center"/>
              <w:rPr/>
            </w:pPr>
            <w:r>
              <w:rPr/>
              <w:t>SERP Award</w:t>
            </w:r>
          </w:p>
        </w:tc>
      </w:tr>
      <w:tr>
        <w:trPr/>
        <w:tc>
          <w:tcPr>
            <w:tcW w:w="8102" w:type="dxa"/>
            <w:tcBorders/>
            <w:shd w:fill="CCEEFF" w:val="clear"/>
            <w:vAlign w:val="bottom"/>
          </w:tcPr>
          <w:p>
            <w:pPr>
              <w:pStyle w:val="TableContents"/>
              <w:spacing w:before="0" w:after="0"/>
              <w:ind w:left="225" w:right="0" w:hanging="225"/>
              <w:rPr/>
            </w:pPr>
            <w:r>
              <w:rPr/>
              <w:t>Joseph Rotunda</w:t>
            </w:r>
          </w:p>
        </w:tc>
        <w:tc>
          <w:tcPr>
            <w:tcW w:w="385"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jc w:val="right"/>
              <w:rPr/>
            </w:pPr>
            <w:r>
              <w:rPr/>
              <w:t>$</w:t>
            </w:r>
          </w:p>
        </w:tc>
        <w:tc>
          <w:tcPr>
            <w:tcW w:w="1071" w:type="dxa"/>
            <w:tcBorders/>
            <w:shd w:fill="CCEEFF" w:val="clear"/>
            <w:vAlign w:val="bottom"/>
          </w:tcPr>
          <w:p>
            <w:pPr>
              <w:pStyle w:val="TableContents"/>
              <w:spacing w:before="0" w:after="283"/>
              <w:jc w:val="right"/>
              <w:rPr/>
            </w:pPr>
            <w:r>
              <w:rPr/>
              <w:t>126,000</w:t>
            </w:r>
          </w:p>
        </w:tc>
        <w:tc>
          <w:tcPr>
            <w:tcW w:w="275" w:type="dxa"/>
            <w:tcBorders/>
            <w:shd w:fill="CCEEFF" w:val="clear"/>
            <w:vAlign w:val="bottom"/>
          </w:tcPr>
          <w:p>
            <w:pPr>
              <w:pStyle w:val="TableContents"/>
              <w:spacing w:before="0" w:after="283"/>
              <w:rPr/>
            </w:pPr>
            <w:r>
              <w:rPr/>
              <w:t> </w:t>
            </w:r>
          </w:p>
        </w:tc>
      </w:tr>
      <w:tr>
        <w:trPr/>
        <w:tc>
          <w:tcPr>
            <w:tcW w:w="8102" w:type="dxa"/>
            <w:tcBorders/>
            <w:shd w:fill="auto" w:val="clear"/>
            <w:vAlign w:val="bottom"/>
          </w:tcPr>
          <w:p>
            <w:pPr>
              <w:pStyle w:val="TableContents"/>
              <w:spacing w:before="0" w:after="0"/>
              <w:ind w:left="225" w:right="0" w:hanging="225"/>
              <w:rPr/>
            </w:pPr>
            <w:r>
              <w:rPr/>
              <w:t>Sterling Brinkley</w:t>
            </w:r>
          </w:p>
        </w:tc>
        <w:tc>
          <w:tcPr>
            <w:tcW w:w="385"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56,250</w:t>
            </w:r>
          </w:p>
        </w:tc>
        <w:tc>
          <w:tcPr>
            <w:tcW w:w="275" w:type="dxa"/>
            <w:tcBorders/>
            <w:shd w:fill="auto" w:val="clear"/>
            <w:vAlign w:val="bottom"/>
          </w:tcPr>
          <w:p>
            <w:pPr>
              <w:pStyle w:val="TableContents"/>
              <w:spacing w:before="0" w:after="283"/>
              <w:rPr/>
            </w:pPr>
            <w:r>
              <w:rPr/>
              <w:t> </w:t>
            </w:r>
          </w:p>
        </w:tc>
      </w:tr>
      <w:tr>
        <w:trPr/>
        <w:tc>
          <w:tcPr>
            <w:tcW w:w="8102" w:type="dxa"/>
            <w:tcBorders/>
            <w:shd w:fill="CCEEFF" w:val="clear"/>
            <w:vAlign w:val="bottom"/>
          </w:tcPr>
          <w:p>
            <w:pPr>
              <w:pStyle w:val="TableContents"/>
              <w:spacing w:before="0" w:after="0"/>
              <w:ind w:left="225" w:right="0" w:hanging="225"/>
              <w:rPr/>
            </w:pPr>
            <w:r>
              <w:rPr/>
              <w:t>Daniel Tonissen</w:t>
            </w:r>
          </w:p>
        </w:tc>
        <w:tc>
          <w:tcPr>
            <w:tcW w:w="385"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43,600</w:t>
            </w:r>
          </w:p>
        </w:tc>
        <w:tc>
          <w:tcPr>
            <w:tcW w:w="275" w:type="dxa"/>
            <w:tcBorders/>
            <w:shd w:fill="CCEEFF" w:val="clear"/>
            <w:vAlign w:val="bottom"/>
          </w:tcPr>
          <w:p>
            <w:pPr>
              <w:pStyle w:val="TableContents"/>
              <w:spacing w:before="0" w:after="283"/>
              <w:rPr/>
            </w:pPr>
            <w:r>
              <w:rPr/>
              <w:t> </w:t>
            </w:r>
          </w:p>
        </w:tc>
      </w:tr>
      <w:tr>
        <w:trPr/>
        <w:tc>
          <w:tcPr>
            <w:tcW w:w="8102" w:type="dxa"/>
            <w:tcBorders/>
            <w:shd w:fill="auto" w:val="clear"/>
            <w:vAlign w:val="bottom"/>
          </w:tcPr>
          <w:p>
            <w:pPr>
              <w:pStyle w:val="TableContents"/>
              <w:spacing w:before="0" w:after="0"/>
              <w:ind w:left="225" w:right="0" w:hanging="225"/>
              <w:rPr/>
            </w:pPr>
            <w:r>
              <w:rPr/>
              <w:t>Robert Kasenter</w:t>
            </w:r>
          </w:p>
        </w:tc>
        <w:tc>
          <w:tcPr>
            <w:tcW w:w="385"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32,400</w:t>
            </w:r>
          </w:p>
        </w:tc>
        <w:tc>
          <w:tcPr>
            <w:tcW w:w="275" w:type="dxa"/>
            <w:tcBorders/>
            <w:shd w:fill="auto" w:val="clear"/>
            <w:vAlign w:val="bottom"/>
          </w:tcPr>
          <w:p>
            <w:pPr>
              <w:pStyle w:val="TableContents"/>
              <w:spacing w:before="0" w:after="283"/>
              <w:rPr/>
            </w:pPr>
            <w:r>
              <w:rPr/>
              <w:t> </w:t>
            </w:r>
          </w:p>
        </w:tc>
      </w:tr>
      <w:tr>
        <w:trPr/>
        <w:tc>
          <w:tcPr>
            <w:tcW w:w="8102" w:type="dxa"/>
            <w:tcBorders/>
            <w:shd w:fill="CCEEFF" w:val="clear"/>
            <w:vAlign w:val="bottom"/>
          </w:tcPr>
          <w:p>
            <w:pPr>
              <w:pStyle w:val="TableContents"/>
              <w:spacing w:before="0" w:after="0"/>
              <w:ind w:left="225" w:right="0" w:hanging="225"/>
              <w:rPr/>
            </w:pPr>
            <w:r>
              <w:rPr/>
              <w:t>Eric Fosse</w:t>
            </w:r>
          </w:p>
        </w:tc>
        <w:tc>
          <w:tcPr>
            <w:tcW w:w="385"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11,600</w:t>
            </w:r>
          </w:p>
        </w:tc>
        <w:tc>
          <w:tcPr>
            <w:tcW w:w="275" w:type="dxa"/>
            <w:tcBorders/>
            <w:shd w:fill="CCEEFF"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the event of a participants termination without cause, disability, death or termination of the Supplemental Executive Retirement Plan due to a change in control, the funds are paid to the participant (or his or her beneficiary, guardian or estate) in a single lump sum of the total vested </w:t>
      </w:r>
    </w:p>
    <w:p>
      <w:pPr>
        <w:pStyle w:val="TextBody"/>
        <w:jc w:val="center"/>
        <w:rPr>
          <w:rFonts w:ascii="Helvetica;Arial;sans-serif" w:hAnsi="Helvetica;Arial;sans-serif"/>
          <w:sz w:val="17"/>
        </w:rPr>
      </w:pPr>
      <w:r>
        <w:rPr>
          <w:rFonts w:ascii="Helvetica;Arial;sans-serif" w:hAnsi="Helvetica;Arial;sans-serif"/>
          <w:sz w:val="17"/>
        </w:rPr>
        <w:t xml:space="preserve">84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company contribution, adjusted for investment results. All Supplemental Executive Retirement Plan funds, regardless of their vesting status, are forfeited if the participant is terminated for cause.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participant may not withdraw any portion of his or her Supplemental Executive Retirement Plan account while still employed by EZCORP unless in the sole opinion of management the participant has an unforeseeable emergency that is defined as a severe financial hardship to the participant resulting from an illness or accident of the participant, the participants spouse or a dependent, the loss of the participants property due to casualty, or other similar extraordinary and unforeseeable circumstances arising as a result of events beyond the participants control. </w:t>
      </w:r>
    </w:p>
    <w:p>
      <w:pPr>
        <w:pStyle w:val="TextBody"/>
        <w:spacing w:before="240" w:after="283"/>
        <w:jc w:val="left"/>
        <w:rPr>
          <w:rFonts w:ascii="Helvetica;Arial;sans-serif" w:hAnsi="Helvetica;Arial;sans-serif"/>
          <w:sz w:val="17"/>
        </w:rPr>
      </w:pPr>
      <w:r>
        <w:rPr>
          <w:rFonts w:ascii="Helvetica;Arial;sans-serif" w:hAnsi="Helvetica;Arial;sans-serif"/>
          <w:b/>
          <w:sz w:val="17"/>
        </w:rPr>
        <w:t>Other Perquisites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provide additional perquisite plans to senior executives in the area of health care supplements, automobile allowances and club membership. These plans are determined to be competitive with executive plans within the peer group of companies.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Costs of the personal benefits described above for the named executive officers for the year ended September 30, 2007 are included in the All Other Compensation column of the Summary Compensation Table and the notes to that table. </w:t>
      </w:r>
    </w:p>
    <w:p>
      <w:pPr>
        <w:pStyle w:val="TextBody"/>
        <w:spacing w:before="240" w:after="283"/>
        <w:jc w:val="left"/>
        <w:rPr>
          <w:rFonts w:ascii="Helvetica;Arial;sans-serif" w:hAnsi="Helvetica;Arial;sans-serif"/>
          <w:sz w:val="17"/>
        </w:rPr>
      </w:pPr>
      <w:r>
        <w:rPr>
          <w:rFonts w:ascii="Helvetica;Arial;sans-serif" w:hAnsi="Helvetica;Arial;sans-serif"/>
          <w:b/>
          <w:sz w:val="17"/>
        </w:rPr>
        <w:t>Severance Plans and Employment Agreements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Rotundas written compensation agreement specifies certain payments to be made upon his death, disability, or termination without cause. Upon the occurrence of any of those events, a severance payment will be paid within 30 days of such event. Mr. Rotundas severance payment will be one year of base salary, one year of short term incentive compensation determined as of the termination date, one year of car allowance, and a prorated portion of the incentive compensation award for the period he was actively employed during the fiscal year of termination. In addition, we will make all health care COBRA payments for the same period, grossed up for taxes.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Mr. Rotundas compensation agreement also provides that in the event of a change in control of the company, defined as a sale by Phillip Ean Cohen of a majority of the Class B Voting Common Stock, Mr. Rotunda will receive a bonus of 200% of his annual compensation within 30 days of such event. For purposes of this payment, annual compensation is defined as one year of base salary, one year of short term incentive compensation determined as of the termination date and one year of car allowance. In addition, all vesting requirements for any benefit or instrument shall be fully satisfied. If his employment is terminated within six months of a change in control, other than for cause, he will also receive the termination without cause payments described above.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October 2006 restricted stock awards to the Chairman of the Board and the President and Chief Executive Officer contain provisions for accelerated vesting of some of the shares if certain conditions occur that affect their positions and/or responsibilities.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October 2006 restricted stock awards to the Chairman of the Board and the President and Chief Executive Officer provide for immediate vesting of all unvested shares to the effected individual in the event of one of the following: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The failure of the individual to be re-elected to his current position;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His termination without cause.</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addition, each would have a partial acceleration of shares in the event of his death or disability, as described in Notes 2 and 3 to the Outstanding Equity Awards at September 30, 2007 table below. EZCORP is the beneficiary of Key Man life and disability insurance policies for the Chairman of the Board and the President and Chief Executive Officer designed to approximately </w:t>
      </w:r>
    </w:p>
    <w:p>
      <w:pPr>
        <w:pStyle w:val="TextBody"/>
        <w:jc w:val="center"/>
        <w:rPr>
          <w:rFonts w:ascii="Helvetica;Arial;sans-serif" w:hAnsi="Helvetica;Arial;sans-serif"/>
          <w:sz w:val="17"/>
        </w:rPr>
      </w:pPr>
      <w:r>
        <w:rPr>
          <w:rFonts w:ascii="Helvetica;Arial;sans-serif" w:hAnsi="Helvetica;Arial;sans-serif"/>
          <w:sz w:val="17"/>
        </w:rPr>
        <w:t xml:space="preserve">85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offset the additional expense that would be recognized if vesting were accelerated upon death or disability.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the event of any of the following events happening to the Chairman of the Board or the President and Chief Executive Officer, the effected individual would forfeit the rights to all unvested shares in these awards: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Termination for cause as defined in the Award Agreement.</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Voluntary termination of employment except if by mutual written agreement of the effected individual and the company.</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Violation of the Proprietary Information or Non-Competition sections of the Award Agreement.</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table below presents the compensation that would have been payable to the President and Chief Executive Officer and the Chairman of the Board upon death or disability, assuming either event occurred during September 2007: </w:t>
      </w:r>
    </w:p>
    <w:tbl>
      <w:tblPr>
        <w:tblW w:w="5000" w:type="pct"/>
        <w:jc w:val="center"/>
        <w:tblInd w:w="0" w:type="dxa"/>
        <w:tblCellMar>
          <w:top w:w="0" w:type="dxa"/>
          <w:left w:w="0" w:type="dxa"/>
          <w:bottom w:w="0" w:type="dxa"/>
          <w:right w:w="0" w:type="dxa"/>
        </w:tblCellMar>
      </w:tblPr>
      <w:tblGrid>
        <w:gridCol w:w="1526"/>
        <w:gridCol w:w="173"/>
        <w:gridCol w:w="128"/>
        <w:gridCol w:w="839"/>
        <w:gridCol w:w="130"/>
        <w:gridCol w:w="173"/>
        <w:gridCol w:w="142"/>
        <w:gridCol w:w="1241"/>
        <w:gridCol w:w="143"/>
        <w:gridCol w:w="173"/>
        <w:gridCol w:w="178"/>
        <w:gridCol w:w="1835"/>
        <w:gridCol w:w="182"/>
        <w:gridCol w:w="173"/>
        <w:gridCol w:w="152"/>
        <w:gridCol w:w="1148"/>
        <w:gridCol w:w="153"/>
        <w:gridCol w:w="173"/>
        <w:gridCol w:w="170"/>
        <w:gridCol w:w="1185"/>
        <w:gridCol w:w="188"/>
      </w:tblGrid>
      <w:tr>
        <w:trPr/>
        <w:tc>
          <w:tcPr>
            <w:tcW w:w="1526"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83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r>
      <w:tr>
        <w:trPr/>
        <w:tc>
          <w:tcPr>
            <w:tcW w:w="1526"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83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53" w:type="dxa"/>
            <w:gridSpan w:val="3"/>
            <w:tcBorders/>
            <w:shd w:fill="auto" w:val="clear"/>
            <w:vAlign w:val="bottom"/>
          </w:tcPr>
          <w:p>
            <w:pPr>
              <w:pStyle w:val="TableContents"/>
              <w:spacing w:before="0" w:after="283"/>
              <w:jc w:val="center"/>
              <w:rPr/>
            </w:pPr>
            <w:r>
              <w:rPr/>
              <w:t>Supplemental</w:t>
            </w:r>
          </w:p>
        </w:tc>
        <w:tc>
          <w:tcPr>
            <w:tcW w:w="173" w:type="dxa"/>
            <w:tcBorders/>
            <w:shd w:fill="auto" w:val="clear"/>
            <w:vAlign w:val="bottom"/>
          </w:tcPr>
          <w:p>
            <w:pPr>
              <w:pStyle w:val="TableContents"/>
              <w:spacing w:before="0" w:after="283"/>
              <w:rPr/>
            </w:pPr>
            <w:r>
              <w:rPr/>
              <w:t> </w:t>
            </w:r>
          </w:p>
        </w:tc>
        <w:tc>
          <w:tcPr>
            <w:tcW w:w="1543" w:type="dxa"/>
            <w:gridSpan w:val="3"/>
            <w:tcBorders/>
            <w:shd w:fill="auto" w:val="clear"/>
            <w:vAlign w:val="bottom"/>
          </w:tcPr>
          <w:p>
            <w:pPr>
              <w:pStyle w:val="TableContents"/>
              <w:spacing w:before="0" w:after="283"/>
              <w:jc w:val="center"/>
              <w:rPr/>
            </w:pPr>
            <w:r>
              <w:rPr/>
              <w:t> </w:t>
            </w:r>
          </w:p>
        </w:tc>
      </w:tr>
      <w:tr>
        <w:trPr/>
        <w:tc>
          <w:tcPr>
            <w:tcW w:w="1526"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83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53" w:type="dxa"/>
            <w:gridSpan w:val="3"/>
            <w:tcBorders/>
            <w:shd w:fill="auto" w:val="clear"/>
            <w:vAlign w:val="bottom"/>
          </w:tcPr>
          <w:p>
            <w:pPr>
              <w:pStyle w:val="TableContents"/>
              <w:spacing w:before="0" w:after="283"/>
              <w:jc w:val="center"/>
              <w:rPr/>
            </w:pPr>
            <w:r>
              <w:rPr/>
              <w:t>Executive</w:t>
            </w:r>
          </w:p>
        </w:tc>
        <w:tc>
          <w:tcPr>
            <w:tcW w:w="173" w:type="dxa"/>
            <w:tcBorders/>
            <w:shd w:fill="auto" w:val="clear"/>
            <w:vAlign w:val="bottom"/>
          </w:tcPr>
          <w:p>
            <w:pPr>
              <w:pStyle w:val="TableContents"/>
              <w:spacing w:before="0" w:after="283"/>
              <w:rPr/>
            </w:pPr>
            <w:r>
              <w:rPr/>
              <w:t> </w:t>
            </w:r>
          </w:p>
        </w:tc>
        <w:tc>
          <w:tcPr>
            <w:tcW w:w="1543" w:type="dxa"/>
            <w:gridSpan w:val="3"/>
            <w:tcBorders/>
            <w:shd w:fill="auto" w:val="clear"/>
            <w:vAlign w:val="bottom"/>
          </w:tcPr>
          <w:p>
            <w:pPr>
              <w:pStyle w:val="TableContents"/>
              <w:spacing w:before="0" w:after="283"/>
              <w:jc w:val="center"/>
              <w:rPr/>
            </w:pPr>
            <w:r>
              <w:rPr/>
              <w:t> </w:t>
            </w:r>
          </w:p>
        </w:tc>
      </w:tr>
      <w:tr>
        <w:trPr/>
        <w:tc>
          <w:tcPr>
            <w:tcW w:w="1526"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26" w:type="dxa"/>
            <w:gridSpan w:val="3"/>
            <w:tcBorders/>
            <w:shd w:fill="auto" w:val="clear"/>
            <w:vAlign w:val="bottom"/>
          </w:tcPr>
          <w:p>
            <w:pPr>
              <w:pStyle w:val="TableContents"/>
              <w:spacing w:before="0" w:after="283"/>
              <w:jc w:val="center"/>
              <w:rPr/>
            </w:pPr>
            <w:r>
              <w:rPr/>
              <w:t>Incentive</w:t>
            </w:r>
          </w:p>
        </w:tc>
        <w:tc>
          <w:tcPr>
            <w:tcW w:w="173" w:type="dxa"/>
            <w:tcBorders/>
            <w:shd w:fill="auto" w:val="clear"/>
            <w:vAlign w:val="bottom"/>
          </w:tcPr>
          <w:p>
            <w:pPr>
              <w:pStyle w:val="TableContents"/>
              <w:spacing w:before="0" w:after="283"/>
              <w:rPr/>
            </w:pPr>
            <w:r>
              <w:rPr/>
              <w:t> </w:t>
            </w:r>
          </w:p>
        </w:tc>
        <w:tc>
          <w:tcPr>
            <w:tcW w:w="2195" w:type="dxa"/>
            <w:gridSpan w:val="3"/>
            <w:tcBorders/>
            <w:shd w:fill="auto" w:val="clear"/>
            <w:vAlign w:val="bottom"/>
          </w:tcPr>
          <w:p>
            <w:pPr>
              <w:pStyle w:val="TableContents"/>
              <w:spacing w:before="0" w:after="283"/>
              <w:jc w:val="center"/>
              <w:rPr/>
            </w:pPr>
            <w:r>
              <w:rPr/>
              <w:t>Award date value of</w:t>
            </w:r>
          </w:p>
        </w:tc>
        <w:tc>
          <w:tcPr>
            <w:tcW w:w="173" w:type="dxa"/>
            <w:tcBorders/>
            <w:shd w:fill="auto" w:val="clear"/>
            <w:vAlign w:val="bottom"/>
          </w:tcPr>
          <w:p>
            <w:pPr>
              <w:pStyle w:val="TableContents"/>
              <w:spacing w:before="0" w:after="283"/>
              <w:rPr/>
            </w:pPr>
            <w:r>
              <w:rPr/>
              <w:t> </w:t>
            </w:r>
          </w:p>
        </w:tc>
        <w:tc>
          <w:tcPr>
            <w:tcW w:w="1453" w:type="dxa"/>
            <w:gridSpan w:val="3"/>
            <w:tcBorders/>
            <w:shd w:fill="auto" w:val="clear"/>
            <w:vAlign w:val="bottom"/>
          </w:tcPr>
          <w:p>
            <w:pPr>
              <w:pStyle w:val="TableContents"/>
              <w:spacing w:before="0" w:after="283"/>
              <w:jc w:val="center"/>
              <w:rPr/>
            </w:pPr>
            <w:r>
              <w:rPr/>
              <w:t>Retirement</w:t>
            </w:r>
          </w:p>
        </w:tc>
        <w:tc>
          <w:tcPr>
            <w:tcW w:w="173" w:type="dxa"/>
            <w:tcBorders/>
            <w:shd w:fill="auto" w:val="clear"/>
            <w:vAlign w:val="bottom"/>
          </w:tcPr>
          <w:p>
            <w:pPr>
              <w:pStyle w:val="TableContents"/>
              <w:spacing w:before="0" w:after="283"/>
              <w:rPr/>
            </w:pPr>
            <w:r>
              <w:rPr/>
              <w:t> </w:t>
            </w:r>
          </w:p>
        </w:tc>
        <w:tc>
          <w:tcPr>
            <w:tcW w:w="1543" w:type="dxa"/>
            <w:gridSpan w:val="3"/>
            <w:tcBorders/>
            <w:shd w:fill="auto" w:val="clear"/>
            <w:vAlign w:val="bottom"/>
          </w:tcPr>
          <w:p>
            <w:pPr>
              <w:pStyle w:val="TableContents"/>
              <w:spacing w:before="0" w:after="283"/>
              <w:jc w:val="center"/>
              <w:rPr/>
            </w:pPr>
            <w:r>
              <w:rPr/>
              <w:t> </w:t>
            </w:r>
          </w:p>
        </w:tc>
      </w:tr>
      <w:tr>
        <w:trPr/>
        <w:tc>
          <w:tcPr>
            <w:tcW w:w="1526"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26" w:type="dxa"/>
            <w:gridSpan w:val="3"/>
            <w:tcBorders/>
            <w:shd w:fill="auto" w:val="clear"/>
            <w:vAlign w:val="bottom"/>
          </w:tcPr>
          <w:p>
            <w:pPr>
              <w:pStyle w:val="TableContents"/>
              <w:spacing w:before="0" w:after="283"/>
              <w:jc w:val="center"/>
              <w:rPr/>
            </w:pPr>
            <w:r>
              <w:rPr/>
              <w:t>Compensation</w:t>
            </w:r>
          </w:p>
        </w:tc>
        <w:tc>
          <w:tcPr>
            <w:tcW w:w="173" w:type="dxa"/>
            <w:tcBorders/>
            <w:shd w:fill="auto" w:val="clear"/>
            <w:vAlign w:val="bottom"/>
          </w:tcPr>
          <w:p>
            <w:pPr>
              <w:pStyle w:val="TableContents"/>
              <w:spacing w:before="0" w:after="283"/>
              <w:rPr/>
            </w:pPr>
            <w:r>
              <w:rPr/>
              <w:t> </w:t>
            </w:r>
          </w:p>
        </w:tc>
        <w:tc>
          <w:tcPr>
            <w:tcW w:w="2195" w:type="dxa"/>
            <w:gridSpan w:val="3"/>
            <w:tcBorders/>
            <w:shd w:fill="auto" w:val="clear"/>
            <w:vAlign w:val="bottom"/>
          </w:tcPr>
          <w:p>
            <w:pPr>
              <w:pStyle w:val="TableContents"/>
              <w:spacing w:before="0" w:after="283"/>
              <w:jc w:val="center"/>
              <w:rPr/>
            </w:pPr>
            <w:r>
              <w:rPr/>
              <w:t>accelerated vesting of</w:t>
            </w:r>
          </w:p>
        </w:tc>
        <w:tc>
          <w:tcPr>
            <w:tcW w:w="173" w:type="dxa"/>
            <w:tcBorders/>
            <w:shd w:fill="auto" w:val="clear"/>
            <w:vAlign w:val="bottom"/>
          </w:tcPr>
          <w:p>
            <w:pPr>
              <w:pStyle w:val="TableContents"/>
              <w:spacing w:before="0" w:after="283"/>
              <w:rPr/>
            </w:pPr>
            <w:r>
              <w:rPr/>
              <w:t> </w:t>
            </w:r>
          </w:p>
        </w:tc>
        <w:tc>
          <w:tcPr>
            <w:tcW w:w="1453" w:type="dxa"/>
            <w:gridSpan w:val="3"/>
            <w:tcBorders/>
            <w:shd w:fill="auto" w:val="clear"/>
            <w:vAlign w:val="bottom"/>
          </w:tcPr>
          <w:p>
            <w:pPr>
              <w:pStyle w:val="TableContents"/>
              <w:spacing w:before="0" w:after="283"/>
              <w:jc w:val="center"/>
              <w:rPr/>
            </w:pPr>
            <w:r>
              <w:rPr/>
              <w:t>Plan balance</w:t>
            </w:r>
          </w:p>
        </w:tc>
        <w:tc>
          <w:tcPr>
            <w:tcW w:w="173" w:type="dxa"/>
            <w:tcBorders/>
            <w:shd w:fill="auto" w:val="clear"/>
            <w:vAlign w:val="bottom"/>
          </w:tcPr>
          <w:p>
            <w:pPr>
              <w:pStyle w:val="TableContents"/>
              <w:spacing w:before="0" w:after="283"/>
              <w:rPr/>
            </w:pPr>
            <w:r>
              <w:rPr/>
              <w:t> </w:t>
            </w:r>
          </w:p>
        </w:tc>
        <w:tc>
          <w:tcPr>
            <w:tcW w:w="1543" w:type="dxa"/>
            <w:gridSpan w:val="3"/>
            <w:tcBorders/>
            <w:shd w:fill="auto" w:val="clear"/>
            <w:vAlign w:val="bottom"/>
          </w:tcPr>
          <w:p>
            <w:pPr>
              <w:pStyle w:val="TableContents"/>
              <w:spacing w:before="0" w:after="283"/>
              <w:jc w:val="center"/>
              <w:rPr/>
            </w:pPr>
            <w:r>
              <w:rPr/>
              <w:t>Auto</w:t>
            </w:r>
          </w:p>
        </w:tc>
      </w:tr>
      <w:tr>
        <w:trPr/>
        <w:tc>
          <w:tcPr>
            <w:tcW w:w="1526"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173" w:type="dxa"/>
            <w:tcBorders/>
            <w:shd w:fill="auto" w:val="clear"/>
            <w:vAlign w:val="bottom"/>
          </w:tcPr>
          <w:p>
            <w:pPr>
              <w:pStyle w:val="TableContents"/>
              <w:spacing w:before="0" w:after="283"/>
              <w:rPr/>
            </w:pPr>
            <w:r>
              <w:rPr/>
              <w:t> </w:t>
            </w:r>
          </w:p>
        </w:tc>
        <w:tc>
          <w:tcPr>
            <w:tcW w:w="1097" w:type="dxa"/>
            <w:gridSpan w:val="3"/>
            <w:tcBorders>
              <w:bottom w:val="single" w:sz="2" w:space="0" w:color="000000"/>
            </w:tcBorders>
            <w:shd w:fill="auto" w:val="clear"/>
            <w:tcMar>
              <w:bottom w:w="28" w:type="dxa"/>
            </w:tcMar>
            <w:vAlign w:val="bottom"/>
          </w:tcPr>
          <w:p>
            <w:pPr>
              <w:pStyle w:val="TableContents"/>
              <w:spacing w:before="0" w:after="283"/>
              <w:jc w:val="center"/>
              <w:rPr/>
            </w:pPr>
            <w:r>
              <w:rPr/>
              <w:t>Salary ($)</w:t>
            </w:r>
          </w:p>
        </w:tc>
        <w:tc>
          <w:tcPr>
            <w:tcW w:w="173" w:type="dxa"/>
            <w:tcBorders/>
            <w:shd w:fill="auto" w:val="clear"/>
            <w:vAlign w:val="bottom"/>
          </w:tcPr>
          <w:p>
            <w:pPr>
              <w:pStyle w:val="TableContents"/>
              <w:spacing w:before="0" w:after="283"/>
              <w:rPr/>
            </w:pPr>
            <w:r>
              <w:rPr/>
              <w:t> </w:t>
            </w:r>
          </w:p>
        </w:tc>
        <w:tc>
          <w:tcPr>
            <w:tcW w:w="1526" w:type="dxa"/>
            <w:gridSpan w:val="3"/>
            <w:tcBorders>
              <w:bottom w:val="single" w:sz="2" w:space="0" w:color="000000"/>
            </w:tcBorders>
            <w:shd w:fill="auto" w:val="clear"/>
            <w:tcMar>
              <w:bottom w:w="28" w:type="dxa"/>
            </w:tcMar>
            <w:vAlign w:val="bottom"/>
          </w:tcPr>
          <w:p>
            <w:pPr>
              <w:pStyle w:val="TableContents"/>
              <w:spacing w:before="0" w:after="283"/>
              <w:jc w:val="center"/>
              <w:rPr/>
            </w:pPr>
            <w:r>
              <w:rPr/>
              <w:t>($) (a)</w:t>
            </w:r>
          </w:p>
        </w:tc>
        <w:tc>
          <w:tcPr>
            <w:tcW w:w="173" w:type="dxa"/>
            <w:tcBorders/>
            <w:shd w:fill="auto" w:val="clear"/>
            <w:vAlign w:val="bottom"/>
          </w:tcPr>
          <w:p>
            <w:pPr>
              <w:pStyle w:val="TableContents"/>
              <w:spacing w:before="0" w:after="283"/>
              <w:rPr/>
            </w:pPr>
            <w:r>
              <w:rPr/>
              <w:t> </w:t>
            </w:r>
          </w:p>
        </w:tc>
        <w:tc>
          <w:tcPr>
            <w:tcW w:w="2195" w:type="dxa"/>
            <w:gridSpan w:val="3"/>
            <w:tcBorders>
              <w:bottom w:val="single" w:sz="2" w:space="0" w:color="000000"/>
            </w:tcBorders>
            <w:shd w:fill="auto" w:val="clear"/>
            <w:tcMar>
              <w:bottom w:w="28" w:type="dxa"/>
            </w:tcMar>
            <w:vAlign w:val="bottom"/>
          </w:tcPr>
          <w:p>
            <w:pPr>
              <w:pStyle w:val="TableContents"/>
              <w:spacing w:before="0" w:after="283"/>
              <w:jc w:val="center"/>
              <w:rPr/>
            </w:pPr>
            <w:r>
              <w:rPr/>
              <w:t>restricted stock ($)</w:t>
            </w:r>
          </w:p>
        </w:tc>
        <w:tc>
          <w:tcPr>
            <w:tcW w:w="173" w:type="dxa"/>
            <w:tcBorders/>
            <w:shd w:fill="auto" w:val="clear"/>
            <w:vAlign w:val="bottom"/>
          </w:tcPr>
          <w:p>
            <w:pPr>
              <w:pStyle w:val="TableContents"/>
              <w:spacing w:before="0" w:after="283"/>
              <w:rPr/>
            </w:pPr>
            <w:r>
              <w:rPr/>
              <w:t> </w:t>
            </w:r>
          </w:p>
        </w:tc>
        <w:tc>
          <w:tcPr>
            <w:tcW w:w="1453" w:type="dxa"/>
            <w:gridSpan w:val="3"/>
            <w:tcBorders>
              <w:bottom w:val="single" w:sz="2" w:space="0" w:color="000000"/>
            </w:tcBorders>
            <w:shd w:fill="auto" w:val="clear"/>
            <w:tcMar>
              <w:bottom w:w="28" w:type="dxa"/>
            </w:tcMar>
            <w:vAlign w:val="bottom"/>
          </w:tcPr>
          <w:p>
            <w:pPr>
              <w:pStyle w:val="TableContents"/>
              <w:spacing w:before="0" w:after="283"/>
              <w:jc w:val="center"/>
              <w:rPr/>
            </w:pPr>
            <w:r>
              <w:rPr/>
              <w:t>($) (b)</w:t>
            </w:r>
          </w:p>
        </w:tc>
        <w:tc>
          <w:tcPr>
            <w:tcW w:w="173" w:type="dxa"/>
            <w:tcBorders/>
            <w:shd w:fill="auto" w:val="clear"/>
            <w:vAlign w:val="bottom"/>
          </w:tcPr>
          <w:p>
            <w:pPr>
              <w:pStyle w:val="TableContents"/>
              <w:spacing w:before="0" w:after="283"/>
              <w:rPr/>
            </w:pPr>
            <w:r>
              <w:rPr/>
              <w:t> </w:t>
            </w:r>
          </w:p>
        </w:tc>
        <w:tc>
          <w:tcPr>
            <w:tcW w:w="1543" w:type="dxa"/>
            <w:gridSpan w:val="3"/>
            <w:tcBorders>
              <w:bottom w:val="single" w:sz="2" w:space="0" w:color="000000"/>
            </w:tcBorders>
            <w:shd w:fill="auto" w:val="clear"/>
            <w:tcMar>
              <w:bottom w:w="28" w:type="dxa"/>
            </w:tcMar>
            <w:vAlign w:val="bottom"/>
          </w:tcPr>
          <w:p>
            <w:pPr>
              <w:pStyle w:val="TableContents"/>
              <w:spacing w:before="0" w:after="283"/>
              <w:jc w:val="center"/>
              <w:rPr/>
            </w:pPr>
            <w:r>
              <w:rPr/>
              <w:t>Allowance ($)</w:t>
            </w:r>
          </w:p>
        </w:tc>
      </w:tr>
      <w:tr>
        <w:trPr/>
        <w:tc>
          <w:tcPr>
            <w:tcW w:w="1526" w:type="dxa"/>
            <w:tcBorders/>
            <w:shd w:fill="auto" w:val="clear"/>
            <w:vAlign w:val="bottom"/>
          </w:tcPr>
          <w:p>
            <w:pPr>
              <w:pStyle w:val="TableContents"/>
              <w:spacing w:before="0" w:after="0"/>
              <w:ind w:left="225" w:right="0" w:hanging="225"/>
              <w:rPr/>
            </w:pPr>
            <w:r>
              <w:rPr/>
              <w:t xml:space="preserve">  </w:t>
            </w:r>
            <w:r>
              <w:rPr/>
              <w:t>Joseph L. Rotunda</w:t>
            </w:r>
          </w:p>
        </w:tc>
        <w:tc>
          <w:tcPr>
            <w:tcW w:w="17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700,000</w:t>
            </w:r>
          </w:p>
        </w:tc>
        <w:tc>
          <w:tcPr>
            <w:tcW w:w="1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pPr>
            <w:r>
              <w:rPr/>
              <w:t>1,400,000</w:t>
            </w:r>
          </w:p>
        </w:tc>
        <w:tc>
          <w:tcPr>
            <w:tcW w:w="14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835" w:type="dxa"/>
            <w:tcBorders/>
            <w:shd w:fill="auto" w:val="clear"/>
            <w:vAlign w:val="bottom"/>
          </w:tcPr>
          <w:p>
            <w:pPr>
              <w:pStyle w:val="TableContents"/>
              <w:spacing w:before="0" w:after="283"/>
              <w:jc w:val="right"/>
              <w:rPr/>
            </w:pPr>
            <w:r>
              <w:rPr/>
              <w:t>4,057,400</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231,542</w:t>
            </w:r>
          </w:p>
        </w:tc>
        <w:tc>
          <w:tcPr>
            <w:tcW w:w="15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26,654</w:t>
            </w:r>
          </w:p>
        </w:tc>
        <w:tc>
          <w:tcPr>
            <w:tcW w:w="188" w:type="dxa"/>
            <w:tcBorders/>
            <w:shd w:fill="auto" w:val="clear"/>
            <w:vAlign w:val="bottom"/>
          </w:tcPr>
          <w:p>
            <w:pPr>
              <w:pStyle w:val="TableContents"/>
              <w:spacing w:before="0" w:after="283"/>
              <w:rPr/>
            </w:pPr>
            <w:r>
              <w:rPr/>
              <w:t> </w:t>
            </w:r>
          </w:p>
        </w:tc>
      </w:tr>
      <w:tr>
        <w:trPr/>
        <w:tc>
          <w:tcPr>
            <w:tcW w:w="1526" w:type="dxa"/>
            <w:tcBorders/>
            <w:shd w:fill="auto" w:val="clear"/>
            <w:vAlign w:val="bottom"/>
          </w:tcPr>
          <w:p>
            <w:pPr>
              <w:pStyle w:val="TableContents"/>
              <w:spacing w:before="0" w:after="0"/>
              <w:ind w:left="225" w:right="0" w:hanging="225"/>
              <w:rPr/>
            </w:pPr>
            <w:r>
              <w:rPr/>
              <w:t xml:space="preserve">  </w:t>
            </w:r>
            <w:r>
              <w:rPr/>
              <w:t>Sterling B. Brinkley</w:t>
            </w:r>
          </w:p>
        </w:tc>
        <w:tc>
          <w:tcPr>
            <w:tcW w:w="17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pPr>
            <w:r>
              <w:rPr/>
              <w:t></w:t>
            </w:r>
          </w:p>
        </w:tc>
        <w:tc>
          <w:tcPr>
            <w:tcW w:w="14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835" w:type="dxa"/>
            <w:tcBorders/>
            <w:shd w:fill="auto" w:val="clear"/>
            <w:vAlign w:val="bottom"/>
          </w:tcPr>
          <w:p>
            <w:pPr>
              <w:pStyle w:val="TableContents"/>
              <w:spacing w:before="0" w:after="283"/>
              <w:jc w:val="right"/>
              <w:rPr/>
            </w:pPr>
            <w:r>
              <w:rPr/>
              <w:t>2,619,000</w:t>
            </w:r>
          </w:p>
        </w:tc>
        <w:tc>
          <w:tcPr>
            <w:tcW w:w="18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159,107</w:t>
            </w:r>
          </w:p>
        </w:tc>
        <w:tc>
          <w:tcPr>
            <w:tcW w:w="15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w:t>
            </w:r>
          </w:p>
        </w:tc>
        <w:tc>
          <w:tcPr>
            <w:tcW w:w="188"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14"/>
        <w:gridCol w:w="2205"/>
        <w:gridCol w:w="1386"/>
      </w:tblGrid>
      <w:tr>
        <w:trPr/>
        <w:tc>
          <w:tcPr>
            <w:tcW w:w="6614"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(a)</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One half of the incentive compensation amount above was fully earned by September 30, 2007, but was not yet paid at year-end and is not prorated, as the year was complete. This is the same amount as shown under Non-Equity Incentive Plan Compensation in the Summary Compensation Table below, and would not be paid in addition to that amount but in lieu of it in the case of death or disability.</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(b)</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We have already funded these amounts to the Supplemental Executive Retirement Plan, and the Supplemental Executive Retirement Plan would pay these amounts to the named executive.</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table below presents the compensation that would have been payable to the President and Chief Executive Officer upon a termination without cause, assuming that the event occurred during September 2007: </w:t>
      </w:r>
    </w:p>
    <w:tbl>
      <w:tblPr>
        <w:tblW w:w="5000" w:type="pct"/>
        <w:jc w:val="center"/>
        <w:tblInd w:w="0" w:type="dxa"/>
        <w:tblCellMar>
          <w:top w:w="0" w:type="dxa"/>
          <w:left w:w="0" w:type="dxa"/>
          <w:bottom w:w="0" w:type="dxa"/>
          <w:right w:w="0" w:type="dxa"/>
        </w:tblCellMar>
      </w:tblPr>
      <w:tblGrid>
        <w:gridCol w:w="1517"/>
        <w:gridCol w:w="174"/>
        <w:gridCol w:w="129"/>
        <w:gridCol w:w="839"/>
        <w:gridCol w:w="131"/>
        <w:gridCol w:w="174"/>
        <w:gridCol w:w="143"/>
        <w:gridCol w:w="1241"/>
        <w:gridCol w:w="145"/>
        <w:gridCol w:w="174"/>
        <w:gridCol w:w="168"/>
        <w:gridCol w:w="1857"/>
        <w:gridCol w:w="170"/>
        <w:gridCol w:w="173"/>
        <w:gridCol w:w="153"/>
        <w:gridCol w:w="1148"/>
        <w:gridCol w:w="154"/>
        <w:gridCol w:w="174"/>
        <w:gridCol w:w="170"/>
        <w:gridCol w:w="1186"/>
        <w:gridCol w:w="185"/>
      </w:tblGrid>
      <w:tr>
        <w:trPr/>
        <w:tc>
          <w:tcPr>
            <w:tcW w:w="151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85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r>
      <w:tr>
        <w:trPr/>
        <w:tc>
          <w:tcPr>
            <w:tcW w:w="151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85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55" w:type="dxa"/>
            <w:gridSpan w:val="3"/>
            <w:tcBorders/>
            <w:shd w:fill="auto" w:val="clear"/>
            <w:vAlign w:val="bottom"/>
          </w:tcPr>
          <w:p>
            <w:pPr>
              <w:pStyle w:val="TableContents"/>
              <w:spacing w:before="0" w:after="283"/>
              <w:jc w:val="center"/>
              <w:rPr/>
            </w:pPr>
            <w:r>
              <w:rPr/>
              <w:t>Supplemental</w:t>
            </w:r>
          </w:p>
        </w:tc>
        <w:tc>
          <w:tcPr>
            <w:tcW w:w="174" w:type="dxa"/>
            <w:tcBorders/>
            <w:shd w:fill="auto" w:val="clear"/>
            <w:vAlign w:val="bottom"/>
          </w:tcPr>
          <w:p>
            <w:pPr>
              <w:pStyle w:val="TableContents"/>
              <w:spacing w:before="0" w:after="283"/>
              <w:rPr/>
            </w:pPr>
            <w:r>
              <w:rPr/>
              <w:t> </w:t>
            </w:r>
          </w:p>
        </w:tc>
        <w:tc>
          <w:tcPr>
            <w:tcW w:w="1541" w:type="dxa"/>
            <w:gridSpan w:val="3"/>
            <w:tcBorders/>
            <w:shd w:fill="auto" w:val="clear"/>
            <w:vAlign w:val="bottom"/>
          </w:tcPr>
          <w:p>
            <w:pPr>
              <w:pStyle w:val="TableContents"/>
              <w:spacing w:before="0" w:after="283"/>
              <w:jc w:val="center"/>
              <w:rPr/>
            </w:pPr>
            <w:r>
              <w:rPr/>
              <w:t> </w:t>
            </w:r>
          </w:p>
        </w:tc>
      </w:tr>
      <w:tr>
        <w:trPr/>
        <w:tc>
          <w:tcPr>
            <w:tcW w:w="151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29" w:type="dxa"/>
            <w:gridSpan w:val="3"/>
            <w:tcBorders/>
            <w:shd w:fill="auto" w:val="clear"/>
            <w:vAlign w:val="bottom"/>
          </w:tcPr>
          <w:p>
            <w:pPr>
              <w:pStyle w:val="TableContents"/>
              <w:spacing w:before="0" w:after="283"/>
              <w:jc w:val="center"/>
              <w:rPr/>
            </w:pPr>
            <w:r>
              <w:rPr/>
              <w:t>Incentive</w:t>
            </w:r>
          </w:p>
        </w:tc>
        <w:tc>
          <w:tcPr>
            <w:tcW w:w="174" w:type="dxa"/>
            <w:tcBorders/>
            <w:shd w:fill="auto" w:val="clear"/>
            <w:vAlign w:val="bottom"/>
          </w:tcPr>
          <w:p>
            <w:pPr>
              <w:pStyle w:val="TableContents"/>
              <w:spacing w:before="0" w:after="283"/>
              <w:rPr/>
            </w:pPr>
            <w:r>
              <w:rPr/>
              <w:t> </w:t>
            </w:r>
          </w:p>
        </w:tc>
        <w:tc>
          <w:tcPr>
            <w:tcW w:w="2195" w:type="dxa"/>
            <w:gridSpan w:val="3"/>
            <w:tcBorders/>
            <w:shd w:fill="auto" w:val="clear"/>
            <w:vAlign w:val="bottom"/>
          </w:tcPr>
          <w:p>
            <w:pPr>
              <w:pStyle w:val="TableContents"/>
              <w:spacing w:before="0" w:after="283"/>
              <w:jc w:val="center"/>
              <w:rPr/>
            </w:pPr>
            <w:r>
              <w:rPr/>
              <w:t>Award date value of</w:t>
            </w:r>
          </w:p>
        </w:tc>
        <w:tc>
          <w:tcPr>
            <w:tcW w:w="173" w:type="dxa"/>
            <w:tcBorders/>
            <w:shd w:fill="auto" w:val="clear"/>
            <w:vAlign w:val="bottom"/>
          </w:tcPr>
          <w:p>
            <w:pPr>
              <w:pStyle w:val="TableContents"/>
              <w:spacing w:before="0" w:after="283"/>
              <w:rPr/>
            </w:pPr>
            <w:r>
              <w:rPr/>
              <w:t> </w:t>
            </w:r>
          </w:p>
        </w:tc>
        <w:tc>
          <w:tcPr>
            <w:tcW w:w="1455" w:type="dxa"/>
            <w:gridSpan w:val="3"/>
            <w:tcBorders/>
            <w:shd w:fill="auto" w:val="clear"/>
            <w:vAlign w:val="bottom"/>
          </w:tcPr>
          <w:p>
            <w:pPr>
              <w:pStyle w:val="TableContents"/>
              <w:spacing w:before="0" w:after="283"/>
              <w:jc w:val="center"/>
              <w:rPr/>
            </w:pPr>
            <w:r>
              <w:rPr/>
              <w:t>Executive</w:t>
            </w:r>
          </w:p>
        </w:tc>
        <w:tc>
          <w:tcPr>
            <w:tcW w:w="174" w:type="dxa"/>
            <w:tcBorders/>
            <w:shd w:fill="auto" w:val="clear"/>
            <w:vAlign w:val="bottom"/>
          </w:tcPr>
          <w:p>
            <w:pPr>
              <w:pStyle w:val="TableContents"/>
              <w:spacing w:before="0" w:after="283"/>
              <w:rPr/>
            </w:pPr>
            <w:r>
              <w:rPr/>
              <w:t> </w:t>
            </w:r>
          </w:p>
        </w:tc>
        <w:tc>
          <w:tcPr>
            <w:tcW w:w="1541" w:type="dxa"/>
            <w:gridSpan w:val="3"/>
            <w:tcBorders/>
            <w:shd w:fill="auto" w:val="clear"/>
            <w:vAlign w:val="bottom"/>
          </w:tcPr>
          <w:p>
            <w:pPr>
              <w:pStyle w:val="TableContents"/>
              <w:spacing w:before="0" w:after="283"/>
              <w:jc w:val="center"/>
              <w:rPr/>
            </w:pPr>
            <w:r>
              <w:rPr/>
              <w:t> </w:t>
            </w:r>
          </w:p>
        </w:tc>
      </w:tr>
      <w:tr>
        <w:trPr/>
        <w:tc>
          <w:tcPr>
            <w:tcW w:w="151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29" w:type="dxa"/>
            <w:gridSpan w:val="3"/>
            <w:tcBorders/>
            <w:shd w:fill="auto" w:val="clear"/>
            <w:vAlign w:val="bottom"/>
          </w:tcPr>
          <w:p>
            <w:pPr>
              <w:pStyle w:val="TableContents"/>
              <w:spacing w:before="0" w:after="283"/>
              <w:jc w:val="center"/>
              <w:rPr/>
            </w:pPr>
            <w:r>
              <w:rPr/>
              <w:t>Compensation</w:t>
            </w:r>
          </w:p>
        </w:tc>
        <w:tc>
          <w:tcPr>
            <w:tcW w:w="174" w:type="dxa"/>
            <w:tcBorders/>
            <w:shd w:fill="auto" w:val="clear"/>
            <w:vAlign w:val="bottom"/>
          </w:tcPr>
          <w:p>
            <w:pPr>
              <w:pStyle w:val="TableContents"/>
              <w:spacing w:before="0" w:after="283"/>
              <w:rPr/>
            </w:pPr>
            <w:r>
              <w:rPr/>
              <w:t> </w:t>
            </w:r>
          </w:p>
        </w:tc>
        <w:tc>
          <w:tcPr>
            <w:tcW w:w="2195" w:type="dxa"/>
            <w:gridSpan w:val="3"/>
            <w:tcBorders/>
            <w:shd w:fill="auto" w:val="clear"/>
            <w:vAlign w:val="bottom"/>
          </w:tcPr>
          <w:p>
            <w:pPr>
              <w:pStyle w:val="TableContents"/>
              <w:spacing w:before="0" w:after="283"/>
              <w:jc w:val="center"/>
              <w:rPr/>
            </w:pPr>
            <w:r>
              <w:rPr/>
              <w:t>accelerated vesting of</w:t>
            </w:r>
          </w:p>
        </w:tc>
        <w:tc>
          <w:tcPr>
            <w:tcW w:w="173" w:type="dxa"/>
            <w:tcBorders/>
            <w:shd w:fill="auto" w:val="clear"/>
            <w:vAlign w:val="bottom"/>
          </w:tcPr>
          <w:p>
            <w:pPr>
              <w:pStyle w:val="TableContents"/>
              <w:spacing w:before="0" w:after="283"/>
              <w:rPr/>
            </w:pPr>
            <w:r>
              <w:rPr/>
              <w:t> </w:t>
            </w:r>
          </w:p>
        </w:tc>
        <w:tc>
          <w:tcPr>
            <w:tcW w:w="1455" w:type="dxa"/>
            <w:gridSpan w:val="3"/>
            <w:tcBorders/>
            <w:shd w:fill="auto" w:val="clear"/>
            <w:vAlign w:val="bottom"/>
          </w:tcPr>
          <w:p>
            <w:pPr>
              <w:pStyle w:val="TableContents"/>
              <w:spacing w:before="0" w:after="283"/>
              <w:jc w:val="center"/>
              <w:rPr/>
            </w:pPr>
            <w:r>
              <w:rPr/>
              <w:t>Retirement</w:t>
            </w:r>
          </w:p>
        </w:tc>
        <w:tc>
          <w:tcPr>
            <w:tcW w:w="174" w:type="dxa"/>
            <w:tcBorders/>
            <w:shd w:fill="auto" w:val="clear"/>
            <w:vAlign w:val="bottom"/>
          </w:tcPr>
          <w:p>
            <w:pPr>
              <w:pStyle w:val="TableContents"/>
              <w:spacing w:before="0" w:after="283"/>
              <w:rPr/>
            </w:pPr>
            <w:r>
              <w:rPr/>
              <w:t> </w:t>
            </w:r>
          </w:p>
        </w:tc>
        <w:tc>
          <w:tcPr>
            <w:tcW w:w="1541" w:type="dxa"/>
            <w:gridSpan w:val="3"/>
            <w:tcBorders/>
            <w:shd w:fill="auto" w:val="clear"/>
            <w:vAlign w:val="bottom"/>
          </w:tcPr>
          <w:p>
            <w:pPr>
              <w:pStyle w:val="TableContents"/>
              <w:spacing w:before="0" w:after="283"/>
              <w:jc w:val="center"/>
              <w:rPr/>
            </w:pPr>
            <w:r>
              <w:rPr/>
              <w:t>Auto</w:t>
            </w:r>
          </w:p>
        </w:tc>
      </w:tr>
      <w:tr>
        <w:trPr/>
        <w:tc>
          <w:tcPr>
            <w:tcW w:w="1517"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174" w:type="dxa"/>
            <w:tcBorders/>
            <w:shd w:fill="auto" w:val="clear"/>
            <w:vAlign w:val="bottom"/>
          </w:tcPr>
          <w:p>
            <w:pPr>
              <w:pStyle w:val="TableContents"/>
              <w:spacing w:before="0" w:after="283"/>
              <w:rPr/>
            </w:pPr>
            <w:r>
              <w:rPr/>
              <w:t> </w:t>
            </w:r>
          </w:p>
        </w:tc>
        <w:tc>
          <w:tcPr>
            <w:tcW w:w="1099" w:type="dxa"/>
            <w:gridSpan w:val="3"/>
            <w:tcBorders>
              <w:bottom w:val="single" w:sz="2" w:space="0" w:color="000000"/>
            </w:tcBorders>
            <w:shd w:fill="auto" w:val="clear"/>
            <w:tcMar>
              <w:bottom w:w="28" w:type="dxa"/>
            </w:tcMar>
            <w:vAlign w:val="bottom"/>
          </w:tcPr>
          <w:p>
            <w:pPr>
              <w:pStyle w:val="TableContents"/>
              <w:spacing w:before="0" w:after="283"/>
              <w:jc w:val="center"/>
              <w:rPr/>
            </w:pPr>
            <w:r>
              <w:rPr/>
              <w:t>Salary ($)</w:t>
            </w:r>
          </w:p>
        </w:tc>
        <w:tc>
          <w:tcPr>
            <w:tcW w:w="174" w:type="dxa"/>
            <w:tcBorders/>
            <w:shd w:fill="auto" w:val="clear"/>
            <w:vAlign w:val="bottom"/>
          </w:tcPr>
          <w:p>
            <w:pPr>
              <w:pStyle w:val="TableContents"/>
              <w:spacing w:before="0" w:after="283"/>
              <w:rPr/>
            </w:pPr>
            <w:r>
              <w:rPr/>
              <w:t> </w:t>
            </w:r>
          </w:p>
        </w:tc>
        <w:tc>
          <w:tcPr>
            <w:tcW w:w="1529" w:type="dxa"/>
            <w:gridSpan w:val="3"/>
            <w:tcBorders>
              <w:bottom w:val="single" w:sz="2" w:space="0" w:color="000000"/>
            </w:tcBorders>
            <w:shd w:fill="auto" w:val="clear"/>
            <w:tcMar>
              <w:bottom w:w="28" w:type="dxa"/>
            </w:tcMar>
            <w:vAlign w:val="bottom"/>
          </w:tcPr>
          <w:p>
            <w:pPr>
              <w:pStyle w:val="TableContents"/>
              <w:spacing w:before="0" w:after="283"/>
              <w:jc w:val="center"/>
              <w:rPr/>
            </w:pPr>
            <w:r>
              <w:rPr/>
              <w:t>($)</w:t>
            </w:r>
          </w:p>
        </w:tc>
        <w:tc>
          <w:tcPr>
            <w:tcW w:w="174" w:type="dxa"/>
            <w:tcBorders/>
            <w:shd w:fill="auto" w:val="clear"/>
            <w:vAlign w:val="bottom"/>
          </w:tcPr>
          <w:p>
            <w:pPr>
              <w:pStyle w:val="TableContents"/>
              <w:spacing w:before="0" w:after="283"/>
              <w:rPr/>
            </w:pPr>
            <w:r>
              <w:rPr/>
              <w:t> </w:t>
            </w:r>
          </w:p>
        </w:tc>
        <w:tc>
          <w:tcPr>
            <w:tcW w:w="2195" w:type="dxa"/>
            <w:gridSpan w:val="3"/>
            <w:tcBorders>
              <w:bottom w:val="single" w:sz="2" w:space="0" w:color="000000"/>
            </w:tcBorders>
            <w:shd w:fill="auto" w:val="clear"/>
            <w:tcMar>
              <w:bottom w:w="28" w:type="dxa"/>
            </w:tcMar>
            <w:vAlign w:val="bottom"/>
          </w:tcPr>
          <w:p>
            <w:pPr>
              <w:pStyle w:val="TableContents"/>
              <w:spacing w:before="0" w:after="283"/>
              <w:jc w:val="center"/>
              <w:rPr/>
            </w:pPr>
            <w:r>
              <w:rPr/>
              <w:t>restricted stock ($)</w:t>
            </w:r>
          </w:p>
        </w:tc>
        <w:tc>
          <w:tcPr>
            <w:tcW w:w="173" w:type="dxa"/>
            <w:tcBorders/>
            <w:shd w:fill="auto" w:val="clear"/>
            <w:vAlign w:val="bottom"/>
          </w:tcPr>
          <w:p>
            <w:pPr>
              <w:pStyle w:val="TableContents"/>
              <w:spacing w:before="0" w:after="283"/>
              <w:rPr/>
            </w:pPr>
            <w:r>
              <w:rPr/>
              <w:t> </w:t>
            </w:r>
          </w:p>
        </w:tc>
        <w:tc>
          <w:tcPr>
            <w:tcW w:w="1455" w:type="dxa"/>
            <w:gridSpan w:val="3"/>
            <w:tcBorders>
              <w:bottom w:val="single" w:sz="2" w:space="0" w:color="000000"/>
            </w:tcBorders>
            <w:shd w:fill="auto" w:val="clear"/>
            <w:tcMar>
              <w:bottom w:w="28" w:type="dxa"/>
            </w:tcMar>
            <w:vAlign w:val="bottom"/>
          </w:tcPr>
          <w:p>
            <w:pPr>
              <w:pStyle w:val="TableContents"/>
              <w:spacing w:before="0" w:after="283"/>
              <w:jc w:val="center"/>
              <w:rPr/>
            </w:pPr>
            <w:r>
              <w:rPr/>
              <w:t>Plan balance</w:t>
            </w:r>
          </w:p>
        </w:tc>
        <w:tc>
          <w:tcPr>
            <w:tcW w:w="174" w:type="dxa"/>
            <w:tcBorders/>
            <w:shd w:fill="auto" w:val="clear"/>
            <w:vAlign w:val="bottom"/>
          </w:tcPr>
          <w:p>
            <w:pPr>
              <w:pStyle w:val="TableContents"/>
              <w:spacing w:before="0" w:after="283"/>
              <w:rPr/>
            </w:pPr>
            <w:r>
              <w:rPr/>
              <w:t> </w:t>
            </w:r>
          </w:p>
        </w:tc>
        <w:tc>
          <w:tcPr>
            <w:tcW w:w="1541" w:type="dxa"/>
            <w:gridSpan w:val="3"/>
            <w:tcBorders>
              <w:bottom w:val="single" w:sz="2" w:space="0" w:color="000000"/>
            </w:tcBorders>
            <w:shd w:fill="auto" w:val="clear"/>
            <w:tcMar>
              <w:bottom w:w="28" w:type="dxa"/>
            </w:tcMar>
            <w:vAlign w:val="bottom"/>
          </w:tcPr>
          <w:p>
            <w:pPr>
              <w:pStyle w:val="TableContents"/>
              <w:spacing w:before="0" w:after="283"/>
              <w:jc w:val="center"/>
              <w:rPr/>
            </w:pPr>
            <w:r>
              <w:rPr/>
              <w:t>Allowance ($)</w:t>
            </w:r>
          </w:p>
        </w:tc>
      </w:tr>
      <w:tr>
        <w:trPr/>
        <w:tc>
          <w:tcPr>
            <w:tcW w:w="1517" w:type="dxa"/>
            <w:tcBorders/>
            <w:shd w:fill="auto" w:val="clear"/>
            <w:vAlign w:val="bottom"/>
          </w:tcPr>
          <w:p>
            <w:pPr>
              <w:pStyle w:val="TableContents"/>
              <w:spacing w:before="0" w:after="0"/>
              <w:ind w:left="225" w:right="0" w:hanging="225"/>
              <w:rPr/>
            </w:pPr>
            <w:r>
              <w:rPr/>
              <w:t>Joseph L. Rotunda</w:t>
            </w:r>
          </w:p>
        </w:tc>
        <w:tc>
          <w:tcPr>
            <w:tcW w:w="17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700,000</w:t>
            </w:r>
          </w:p>
        </w:tc>
        <w:tc>
          <w:tcPr>
            <w:tcW w:w="13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pPr>
            <w:r>
              <w:rPr/>
              <w:t>1,400,000</w:t>
            </w:r>
          </w:p>
        </w:tc>
        <w:tc>
          <w:tcPr>
            <w:tcW w:w="14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857" w:type="dxa"/>
            <w:tcBorders/>
            <w:shd w:fill="auto" w:val="clear"/>
            <w:vAlign w:val="bottom"/>
          </w:tcPr>
          <w:p>
            <w:pPr>
              <w:pStyle w:val="TableContents"/>
              <w:spacing w:before="0" w:after="283"/>
              <w:jc w:val="right"/>
              <w:rPr/>
            </w:pPr>
            <w:r>
              <w:rPr/>
              <w:t>12,612,799</w:t>
            </w:r>
          </w:p>
        </w:tc>
        <w:tc>
          <w:tcPr>
            <w:tcW w:w="17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231,542</w:t>
            </w:r>
          </w:p>
        </w:tc>
        <w:tc>
          <w:tcPr>
            <w:tcW w:w="15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26,654</w:t>
            </w:r>
          </w:p>
        </w:tc>
        <w:tc>
          <w:tcPr>
            <w:tcW w:w="185" w:type="dxa"/>
            <w:tcBorders/>
            <w:shd w:fill="auto" w:val="clear"/>
            <w:vAlign w:val="bottom"/>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table below presents the compensation payable to the President and Chief Executive Officer as a bonus upon a change in control of the company, as defined, as if the change in control occurred on September 30, 2007: </w:t>
      </w:r>
    </w:p>
    <w:tbl>
      <w:tblPr>
        <w:tblW w:w="5000" w:type="pct"/>
        <w:jc w:val="center"/>
        <w:tblInd w:w="0" w:type="dxa"/>
        <w:tblCellMar>
          <w:top w:w="0" w:type="dxa"/>
          <w:left w:w="0" w:type="dxa"/>
          <w:bottom w:w="0" w:type="dxa"/>
          <w:right w:w="0" w:type="dxa"/>
        </w:tblCellMar>
      </w:tblPr>
      <w:tblGrid>
        <w:gridCol w:w="2712"/>
        <w:gridCol w:w="262"/>
        <w:gridCol w:w="95"/>
        <w:gridCol w:w="1080"/>
        <w:gridCol w:w="95"/>
        <w:gridCol w:w="262"/>
        <w:gridCol w:w="108"/>
        <w:gridCol w:w="1305"/>
        <w:gridCol w:w="110"/>
        <w:gridCol w:w="262"/>
        <w:gridCol w:w="131"/>
        <w:gridCol w:w="1858"/>
        <w:gridCol w:w="133"/>
        <w:gridCol w:w="262"/>
        <w:gridCol w:w="133"/>
        <w:gridCol w:w="1254"/>
        <w:gridCol w:w="143"/>
      </w:tblGrid>
      <w:tr>
        <w:trPr/>
        <w:tc>
          <w:tcPr>
            <w:tcW w:w="2712"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2712"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523" w:type="dxa"/>
            <w:gridSpan w:val="3"/>
            <w:tcBorders/>
            <w:shd w:fill="auto" w:val="clear"/>
            <w:vAlign w:val="bottom"/>
          </w:tcPr>
          <w:p>
            <w:pPr>
              <w:pStyle w:val="TableContents"/>
              <w:spacing w:before="0" w:after="283"/>
              <w:jc w:val="center"/>
              <w:rPr/>
            </w:pPr>
            <w:r>
              <w:rPr/>
              <w:t>Incentive</w:t>
            </w:r>
          </w:p>
        </w:tc>
        <w:tc>
          <w:tcPr>
            <w:tcW w:w="262" w:type="dxa"/>
            <w:tcBorders/>
            <w:shd w:fill="auto" w:val="clear"/>
            <w:vAlign w:val="bottom"/>
          </w:tcPr>
          <w:p>
            <w:pPr>
              <w:pStyle w:val="TableContents"/>
              <w:spacing w:before="0" w:after="283"/>
              <w:rPr/>
            </w:pPr>
            <w:r>
              <w:rPr/>
              <w:t> </w:t>
            </w:r>
          </w:p>
        </w:tc>
        <w:tc>
          <w:tcPr>
            <w:tcW w:w="2122" w:type="dxa"/>
            <w:gridSpan w:val="3"/>
            <w:tcBorders/>
            <w:shd w:fill="auto" w:val="clear"/>
            <w:vAlign w:val="bottom"/>
          </w:tcPr>
          <w:p>
            <w:pPr>
              <w:pStyle w:val="TableContents"/>
              <w:spacing w:before="0" w:after="283"/>
              <w:jc w:val="center"/>
              <w:rPr/>
            </w:pPr>
            <w:r>
              <w:rPr/>
              <w:t>Award date value of</w:t>
            </w:r>
          </w:p>
        </w:tc>
        <w:tc>
          <w:tcPr>
            <w:tcW w:w="262" w:type="dxa"/>
            <w:tcBorders/>
            <w:shd w:fill="auto" w:val="clear"/>
            <w:vAlign w:val="bottom"/>
          </w:tcPr>
          <w:p>
            <w:pPr>
              <w:pStyle w:val="TableContents"/>
              <w:spacing w:before="0" w:after="283"/>
              <w:rPr/>
            </w:pPr>
            <w:r>
              <w:rPr/>
              <w:t> </w:t>
            </w:r>
          </w:p>
        </w:tc>
        <w:tc>
          <w:tcPr>
            <w:tcW w:w="1530" w:type="dxa"/>
            <w:gridSpan w:val="3"/>
            <w:tcBorders/>
            <w:shd w:fill="auto" w:val="clear"/>
            <w:vAlign w:val="bottom"/>
          </w:tcPr>
          <w:p>
            <w:pPr>
              <w:pStyle w:val="TableContents"/>
              <w:spacing w:before="0" w:after="283"/>
              <w:jc w:val="center"/>
              <w:rPr/>
            </w:pPr>
            <w:r>
              <w:rPr/>
              <w:t> </w:t>
            </w:r>
          </w:p>
        </w:tc>
      </w:tr>
      <w:tr>
        <w:trPr/>
        <w:tc>
          <w:tcPr>
            <w:tcW w:w="2712"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523" w:type="dxa"/>
            <w:gridSpan w:val="3"/>
            <w:tcBorders/>
            <w:shd w:fill="auto" w:val="clear"/>
            <w:vAlign w:val="bottom"/>
          </w:tcPr>
          <w:p>
            <w:pPr>
              <w:pStyle w:val="TableContents"/>
              <w:spacing w:before="0" w:after="283"/>
              <w:jc w:val="center"/>
              <w:rPr/>
            </w:pPr>
            <w:r>
              <w:rPr/>
              <w:t>Compensation</w:t>
            </w:r>
          </w:p>
        </w:tc>
        <w:tc>
          <w:tcPr>
            <w:tcW w:w="262" w:type="dxa"/>
            <w:tcBorders/>
            <w:shd w:fill="auto" w:val="clear"/>
            <w:vAlign w:val="bottom"/>
          </w:tcPr>
          <w:p>
            <w:pPr>
              <w:pStyle w:val="TableContents"/>
              <w:spacing w:before="0" w:after="283"/>
              <w:rPr/>
            </w:pPr>
            <w:r>
              <w:rPr/>
              <w:t> </w:t>
            </w:r>
          </w:p>
        </w:tc>
        <w:tc>
          <w:tcPr>
            <w:tcW w:w="2122" w:type="dxa"/>
            <w:gridSpan w:val="3"/>
            <w:tcBorders/>
            <w:shd w:fill="auto" w:val="clear"/>
            <w:vAlign w:val="bottom"/>
          </w:tcPr>
          <w:p>
            <w:pPr>
              <w:pStyle w:val="TableContents"/>
              <w:spacing w:before="0" w:after="283"/>
              <w:jc w:val="center"/>
              <w:rPr/>
            </w:pPr>
            <w:r>
              <w:rPr/>
              <w:t>accelerated vesting of</w:t>
            </w:r>
          </w:p>
        </w:tc>
        <w:tc>
          <w:tcPr>
            <w:tcW w:w="262" w:type="dxa"/>
            <w:tcBorders/>
            <w:shd w:fill="auto" w:val="clear"/>
            <w:vAlign w:val="bottom"/>
          </w:tcPr>
          <w:p>
            <w:pPr>
              <w:pStyle w:val="TableContents"/>
              <w:spacing w:before="0" w:after="283"/>
              <w:rPr/>
            </w:pPr>
            <w:r>
              <w:rPr/>
              <w:t> </w:t>
            </w:r>
          </w:p>
        </w:tc>
        <w:tc>
          <w:tcPr>
            <w:tcW w:w="1530" w:type="dxa"/>
            <w:gridSpan w:val="3"/>
            <w:tcBorders/>
            <w:shd w:fill="auto" w:val="clear"/>
            <w:vAlign w:val="bottom"/>
          </w:tcPr>
          <w:p>
            <w:pPr>
              <w:pStyle w:val="TableContents"/>
              <w:spacing w:before="0" w:after="283"/>
              <w:jc w:val="center"/>
              <w:rPr/>
            </w:pPr>
            <w:r>
              <w:rPr/>
              <w:t>Auto</w:t>
            </w:r>
          </w:p>
        </w:tc>
      </w:tr>
      <w:tr>
        <w:trPr/>
        <w:tc>
          <w:tcPr>
            <w:tcW w:w="2712"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262" w:type="dxa"/>
            <w:tcBorders/>
            <w:shd w:fill="auto" w:val="clear"/>
            <w:vAlign w:val="bottom"/>
          </w:tcPr>
          <w:p>
            <w:pPr>
              <w:pStyle w:val="TableContents"/>
              <w:spacing w:before="0" w:after="283"/>
              <w:rPr/>
            </w:pPr>
            <w:r>
              <w:rPr/>
              <w:t> </w:t>
            </w:r>
          </w:p>
        </w:tc>
        <w:tc>
          <w:tcPr>
            <w:tcW w:w="1270" w:type="dxa"/>
            <w:gridSpan w:val="3"/>
            <w:tcBorders>
              <w:bottom w:val="single" w:sz="2" w:space="0" w:color="000000"/>
            </w:tcBorders>
            <w:shd w:fill="auto" w:val="clear"/>
            <w:tcMar>
              <w:bottom w:w="28" w:type="dxa"/>
            </w:tcMar>
            <w:vAlign w:val="bottom"/>
          </w:tcPr>
          <w:p>
            <w:pPr>
              <w:pStyle w:val="TableContents"/>
              <w:spacing w:before="0" w:after="283"/>
              <w:jc w:val="center"/>
              <w:rPr/>
            </w:pPr>
            <w:r>
              <w:rPr/>
              <w:t>Salary ($)</w:t>
            </w:r>
          </w:p>
        </w:tc>
        <w:tc>
          <w:tcPr>
            <w:tcW w:w="262" w:type="dxa"/>
            <w:tcBorders/>
            <w:shd w:fill="auto" w:val="clear"/>
            <w:vAlign w:val="bottom"/>
          </w:tcPr>
          <w:p>
            <w:pPr>
              <w:pStyle w:val="TableContents"/>
              <w:spacing w:before="0" w:after="283"/>
              <w:rPr/>
            </w:pPr>
            <w:r>
              <w:rPr/>
              <w:t> </w:t>
            </w:r>
          </w:p>
        </w:tc>
        <w:tc>
          <w:tcPr>
            <w:tcW w:w="1523" w:type="dxa"/>
            <w:gridSpan w:val="3"/>
            <w:tcBorders>
              <w:bottom w:val="single" w:sz="2" w:space="0" w:color="000000"/>
            </w:tcBorders>
            <w:shd w:fill="auto" w:val="clear"/>
            <w:tcMar>
              <w:bottom w:w="28" w:type="dxa"/>
            </w:tcMar>
            <w:vAlign w:val="bottom"/>
          </w:tcPr>
          <w:p>
            <w:pPr>
              <w:pStyle w:val="TableContents"/>
              <w:spacing w:before="0" w:after="283"/>
              <w:jc w:val="center"/>
              <w:rPr/>
            </w:pPr>
            <w:r>
              <w:rPr/>
              <w:t>($)</w:t>
            </w:r>
          </w:p>
        </w:tc>
        <w:tc>
          <w:tcPr>
            <w:tcW w:w="262" w:type="dxa"/>
            <w:tcBorders/>
            <w:shd w:fill="auto" w:val="clear"/>
            <w:vAlign w:val="bottom"/>
          </w:tcPr>
          <w:p>
            <w:pPr>
              <w:pStyle w:val="TableContents"/>
              <w:spacing w:before="0" w:after="283"/>
              <w:rPr/>
            </w:pPr>
            <w:r>
              <w:rPr/>
              <w:t> </w:t>
            </w:r>
          </w:p>
        </w:tc>
        <w:tc>
          <w:tcPr>
            <w:tcW w:w="2122" w:type="dxa"/>
            <w:gridSpan w:val="3"/>
            <w:tcBorders>
              <w:bottom w:val="single" w:sz="2" w:space="0" w:color="000000"/>
            </w:tcBorders>
            <w:shd w:fill="auto" w:val="clear"/>
            <w:tcMar>
              <w:bottom w:w="28" w:type="dxa"/>
            </w:tcMar>
            <w:vAlign w:val="bottom"/>
          </w:tcPr>
          <w:p>
            <w:pPr>
              <w:pStyle w:val="TableContents"/>
              <w:spacing w:before="0" w:after="283"/>
              <w:jc w:val="center"/>
              <w:rPr/>
            </w:pPr>
            <w:r>
              <w:rPr/>
              <w:t>restricted stock ($)</w:t>
            </w:r>
          </w:p>
        </w:tc>
        <w:tc>
          <w:tcPr>
            <w:tcW w:w="262" w:type="dxa"/>
            <w:tcBorders/>
            <w:shd w:fill="auto" w:val="clear"/>
            <w:vAlign w:val="bottom"/>
          </w:tcPr>
          <w:p>
            <w:pPr>
              <w:pStyle w:val="TableContents"/>
              <w:spacing w:before="0" w:after="283"/>
              <w:rPr/>
            </w:pPr>
            <w:r>
              <w:rPr/>
              <w:t> </w:t>
            </w:r>
          </w:p>
        </w:tc>
        <w:tc>
          <w:tcPr>
            <w:tcW w:w="1530" w:type="dxa"/>
            <w:gridSpan w:val="3"/>
            <w:tcBorders>
              <w:bottom w:val="single" w:sz="2" w:space="0" w:color="000000"/>
            </w:tcBorders>
            <w:shd w:fill="auto" w:val="clear"/>
            <w:tcMar>
              <w:bottom w:w="28" w:type="dxa"/>
            </w:tcMar>
            <w:vAlign w:val="bottom"/>
          </w:tcPr>
          <w:p>
            <w:pPr>
              <w:pStyle w:val="TableContents"/>
              <w:spacing w:before="0" w:after="283"/>
              <w:jc w:val="center"/>
              <w:rPr/>
            </w:pPr>
            <w:r>
              <w:rPr/>
              <w:t>Allowance ($)</w:t>
            </w:r>
          </w:p>
        </w:tc>
      </w:tr>
      <w:tr>
        <w:trPr/>
        <w:tc>
          <w:tcPr>
            <w:tcW w:w="2712" w:type="dxa"/>
            <w:tcBorders/>
            <w:shd w:fill="auto" w:val="clear"/>
            <w:vAlign w:val="bottom"/>
          </w:tcPr>
          <w:p>
            <w:pPr>
              <w:pStyle w:val="TableContents"/>
              <w:spacing w:before="0" w:after="0"/>
              <w:ind w:left="225" w:right="0" w:hanging="225"/>
              <w:rPr/>
            </w:pPr>
            <w:r>
              <w:rPr/>
              <w:t xml:space="preserve">  </w:t>
            </w:r>
            <w:r>
              <w:rPr/>
              <w:t>Joseph L. Rotunda</w:t>
            </w:r>
          </w:p>
        </w:tc>
        <w:tc>
          <w:tcPr>
            <w:tcW w:w="2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080" w:type="dxa"/>
            <w:tcBorders/>
            <w:shd w:fill="auto" w:val="clear"/>
            <w:vAlign w:val="bottom"/>
          </w:tcPr>
          <w:p>
            <w:pPr>
              <w:pStyle w:val="TableContents"/>
              <w:spacing w:before="0" w:after="283"/>
              <w:jc w:val="right"/>
              <w:rPr/>
            </w:pPr>
            <w:r>
              <w:rPr/>
              <w:t>1,400,000</w:t>
            </w:r>
          </w:p>
        </w:tc>
        <w:tc>
          <w:tcPr>
            <w:tcW w:w="9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1,400,000</w:t>
            </w:r>
          </w:p>
        </w:tc>
        <w:tc>
          <w:tcPr>
            <w:tcW w:w="11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pPr>
            <w:r>
              <w:rPr/>
              <w:t>12,612,799</w:t>
            </w:r>
          </w:p>
        </w:tc>
        <w:tc>
          <w:tcPr>
            <w:tcW w:w="13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54" w:type="dxa"/>
            <w:tcBorders/>
            <w:shd w:fill="auto" w:val="clear"/>
            <w:vAlign w:val="bottom"/>
          </w:tcPr>
          <w:p>
            <w:pPr>
              <w:pStyle w:val="TableContents"/>
              <w:spacing w:before="0" w:after="283"/>
              <w:jc w:val="right"/>
              <w:rPr/>
            </w:pPr>
            <w:r>
              <w:rPr/>
              <w:t>53,308</w:t>
            </w:r>
          </w:p>
        </w:tc>
        <w:tc>
          <w:tcPr>
            <w:tcW w:w="143" w:type="dxa"/>
            <w:tcBorders/>
            <w:shd w:fill="auto" w:val="clear"/>
            <w:vAlign w:val="bottom"/>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86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No other employee has any contractual right to any base salary, incentive, or stock-based compensation payments upon termination, nor are there any other compensation or employment agreements. </w:t>
      </w:r>
    </w:p>
    <w:p>
      <w:pPr>
        <w:pStyle w:val="TextBody"/>
        <w:spacing w:before="240" w:after="283"/>
        <w:jc w:val="left"/>
        <w:rPr>
          <w:rFonts w:ascii="Helvetica;Arial;sans-serif" w:hAnsi="Helvetica;Arial;sans-serif"/>
          <w:sz w:val="17"/>
        </w:rPr>
      </w:pPr>
      <w:r>
        <w:rPr>
          <w:rFonts w:ascii="Helvetica;Arial;sans-serif" w:hAnsi="Helvetica;Arial;sans-serif"/>
          <w:b/>
          <w:sz w:val="17"/>
        </w:rPr>
        <w:t>Compensation Committee Interlocks and Insider Participation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None of the members of the Compensation Committee is an officer or employee of EZCORP. None of our executive officers serves or has served on a board of directors or compensation committee of any other company that had a member of our Board as an executive officer. There are no interlocks or insider participation among the Compensation Committee members and our executive officers. </w:t>
      </w:r>
    </w:p>
    <w:p>
      <w:pPr>
        <w:pStyle w:val="TextBody"/>
        <w:spacing w:before="240" w:after="283"/>
        <w:jc w:val="left"/>
        <w:rPr>
          <w:rFonts w:ascii="Helvetica;Arial;sans-serif" w:hAnsi="Helvetica;Arial;sans-serif"/>
          <w:sz w:val="17"/>
        </w:rPr>
      </w:pPr>
      <w:r>
        <w:rPr>
          <w:rFonts w:ascii="Helvetica;Arial;sans-serif" w:hAnsi="Helvetica;Arial;sans-serif"/>
          <w:b/>
          <w:sz w:val="17"/>
        </w:rPr>
        <w:t>Compensation Committee Report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Compensation Committee has reviewed this Compensation Discussion and Analysis and has discussed it with management. Based on its review and discussion with management, the Compensation Committee has recommended to the Board that this report be included in this annual report.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EZCORP Compensation Committee members: </w:t>
      </w:r>
    </w:p>
    <w:p>
      <w:pPr>
        <w:pStyle w:val="TextBody"/>
        <w:spacing w:before="120" w:after="283"/>
        <w:jc w:val="left"/>
        <w:rPr>
          <w:rFonts w:ascii="Helvetica;Arial;sans-serif" w:hAnsi="Helvetica;Arial;sans-serif"/>
          <w:sz w:val="17"/>
        </w:rPr>
      </w:pPr>
      <w:r>
        <w:rPr>
          <w:rFonts w:ascii="Helvetica;Arial;sans-serif" w:hAnsi="Helvetica;Arial;sans-serif"/>
          <w:sz w:val="17"/>
        </w:rPr>
        <w:t>Richard D. Sage</w:t>
        <w:br/>
        <w:t>Richard M. Edwards</w:t>
        <w:br/>
        <w:t xml:space="preserve">Thomas C. Roberts </w:t>
      </w:r>
    </w:p>
    <w:p>
      <w:pPr>
        <w:pStyle w:val="TextBody"/>
        <w:jc w:val="center"/>
        <w:rPr>
          <w:rFonts w:ascii="Helvetica;Arial;sans-serif" w:hAnsi="Helvetica;Arial;sans-serif"/>
          <w:sz w:val="17"/>
        </w:rPr>
      </w:pPr>
      <w:r>
        <w:rPr>
          <w:rFonts w:ascii="Helvetica;Arial;sans-serif" w:hAnsi="Helvetica;Arial;sans-serif"/>
          <w:sz w:val="17"/>
        </w:rPr>
        <w:t xml:space="preserve">87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r>
        <w:rPr>
          <w:rFonts w:ascii="Helvetica;Arial;sans-serif" w:hAnsi="Helvetica;Arial;sans-serif"/>
          <w:b/>
          <w:sz w:val="17"/>
          <w:u w:val="single"/>
        </w:rPr>
        <w:t>Compensation Tables &amp; Footnotes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table below summarizes the total compensation paid or earned by each named executive officer in the year ended September 30, 2007: </w:t>
      </w:r>
    </w:p>
    <w:p>
      <w:pPr>
        <w:pStyle w:val="TextBody"/>
        <w:spacing w:before="240" w:after="283"/>
        <w:jc w:val="left"/>
        <w:rPr>
          <w:rFonts w:ascii="Helvetica;Arial;sans-serif" w:hAnsi="Helvetica;Arial;sans-serif"/>
          <w:sz w:val="17"/>
        </w:rPr>
      </w:pPr>
      <w:r>
        <w:rPr>
          <w:rFonts w:ascii="Helvetica;Arial;sans-serif" w:hAnsi="Helvetica;Arial;sans-serif"/>
          <w:b/>
          <w:sz w:val="17"/>
        </w:rPr>
        <w:t>Summary Compensation Table</w:t>
      </w:r>
      <w:r>
        <w:rPr>
          <w:rFonts w:ascii="Helvetica;Arial;sans-serif" w:hAnsi="Helvetica;Arial;sans-serif"/>
          <w:sz w:val="17"/>
        </w:rPr>
        <w:t xml:space="preserve"> </w:t>
      </w:r>
    </w:p>
    <w:tbl>
      <w:tblPr>
        <w:tblW w:w="12215" w:type="dxa"/>
        <w:jc w:val="center"/>
        <w:tblInd w:w="0" w:type="dxa"/>
        <w:tblCellMar>
          <w:top w:w="0" w:type="dxa"/>
          <w:left w:w="0" w:type="dxa"/>
          <w:bottom w:w="0" w:type="dxa"/>
          <w:right w:w="0" w:type="dxa"/>
        </w:tblCellMar>
      </w:tblPr>
      <w:tblGrid>
        <w:gridCol w:w="1895"/>
        <w:gridCol w:w="60"/>
        <w:gridCol w:w="60"/>
        <w:gridCol w:w="500"/>
        <w:gridCol w:w="60"/>
        <w:gridCol w:w="60"/>
        <w:gridCol w:w="60"/>
        <w:gridCol w:w="800"/>
        <w:gridCol w:w="60"/>
        <w:gridCol w:w="60"/>
        <w:gridCol w:w="119"/>
        <w:gridCol w:w="396"/>
        <w:gridCol w:w="120"/>
        <w:gridCol w:w="60"/>
        <w:gridCol w:w="60"/>
        <w:gridCol w:w="980"/>
        <w:gridCol w:w="60"/>
        <w:gridCol w:w="60"/>
        <w:gridCol w:w="60"/>
        <w:gridCol w:w="800"/>
        <w:gridCol w:w="60"/>
        <w:gridCol w:w="60"/>
        <w:gridCol w:w="88"/>
        <w:gridCol w:w="1203"/>
        <w:gridCol w:w="94"/>
        <w:gridCol w:w="60"/>
        <w:gridCol w:w="102"/>
        <w:gridCol w:w="1176"/>
        <w:gridCol w:w="107"/>
        <w:gridCol w:w="60"/>
        <w:gridCol w:w="128"/>
        <w:gridCol w:w="1457"/>
        <w:gridCol w:w="130"/>
        <w:gridCol w:w="60"/>
        <w:gridCol w:w="60"/>
        <w:gridCol w:w="980"/>
        <w:gridCol w:w="60"/>
      </w:tblGrid>
      <w:tr>
        <w:trPr/>
        <w:tc>
          <w:tcPr>
            <w:tcW w:w="18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5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Nonqualified</w:t>
            </w:r>
          </w:p>
        </w:tc>
        <w:tc>
          <w:tcPr>
            <w:tcW w:w="60" w:type="dxa"/>
            <w:tcBorders/>
            <w:shd w:fill="auto" w:val="clear"/>
            <w:vAlign w:val="bottom"/>
          </w:tcPr>
          <w:p>
            <w:pPr>
              <w:pStyle w:val="TableContents"/>
              <w:spacing w:before="0" w:after="283"/>
              <w:rPr/>
            </w:pPr>
            <w:r>
              <w:rPr/>
              <w:t> </w:t>
            </w:r>
          </w:p>
        </w:tc>
        <w:tc>
          <w:tcPr>
            <w:tcW w:w="1715" w:type="dxa"/>
            <w:gridSpan w:val="3"/>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100" w:type="dxa"/>
            <w:gridSpan w:val="3"/>
            <w:tcBorders/>
            <w:shd w:fill="auto" w:val="clear"/>
            <w:vAlign w:val="bottom"/>
          </w:tcPr>
          <w:p>
            <w:pPr>
              <w:pStyle w:val="TableContents"/>
              <w:spacing w:before="0" w:after="283"/>
              <w:jc w:val="center"/>
              <w:rPr/>
            </w:pPr>
            <w:r>
              <w:rPr/>
              <w:t> </w:t>
            </w:r>
          </w:p>
        </w:tc>
      </w:tr>
      <w:tr>
        <w:trPr/>
        <w:tc>
          <w:tcPr>
            <w:tcW w:w="18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Non-Equity</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Deferred</w:t>
            </w:r>
          </w:p>
        </w:tc>
        <w:tc>
          <w:tcPr>
            <w:tcW w:w="60" w:type="dxa"/>
            <w:tcBorders/>
            <w:shd w:fill="auto" w:val="clear"/>
            <w:vAlign w:val="bottom"/>
          </w:tcPr>
          <w:p>
            <w:pPr>
              <w:pStyle w:val="TableContents"/>
              <w:spacing w:before="0" w:after="283"/>
              <w:rPr/>
            </w:pPr>
            <w:r>
              <w:rPr/>
              <w:t> </w:t>
            </w:r>
          </w:p>
        </w:tc>
        <w:tc>
          <w:tcPr>
            <w:tcW w:w="1715" w:type="dxa"/>
            <w:gridSpan w:val="3"/>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100" w:type="dxa"/>
            <w:gridSpan w:val="3"/>
            <w:tcBorders/>
            <w:shd w:fill="auto" w:val="clear"/>
            <w:vAlign w:val="bottom"/>
          </w:tcPr>
          <w:p>
            <w:pPr>
              <w:pStyle w:val="TableContents"/>
              <w:spacing w:before="0" w:after="283"/>
              <w:jc w:val="center"/>
              <w:rPr/>
            </w:pPr>
            <w:r>
              <w:rPr/>
              <w:t> </w:t>
            </w:r>
          </w:p>
        </w:tc>
      </w:tr>
      <w:tr>
        <w:trPr/>
        <w:tc>
          <w:tcPr>
            <w:tcW w:w="18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3"/>
            <w:tcBorders/>
            <w:shd w:fill="auto" w:val="clear"/>
            <w:vAlign w:val="bottom"/>
          </w:tcPr>
          <w:p>
            <w:pPr>
              <w:pStyle w:val="TableContents"/>
              <w:spacing w:before="0" w:after="283"/>
              <w:jc w:val="center"/>
              <w:rPr/>
            </w:pPr>
            <w:r>
              <w:rPr/>
              <w:t>Stock</w:t>
            </w:r>
          </w:p>
        </w:tc>
        <w:tc>
          <w:tcPr>
            <w:tcW w:w="60" w:type="dxa"/>
            <w:tcBorders/>
            <w:shd w:fill="auto" w:val="clear"/>
            <w:vAlign w:val="bottom"/>
          </w:tcPr>
          <w:p>
            <w:pPr>
              <w:pStyle w:val="TableContents"/>
              <w:spacing w:before="0" w:after="283"/>
              <w:rPr/>
            </w:pPr>
            <w:r>
              <w:rPr/>
              <w:t> </w:t>
            </w:r>
          </w:p>
        </w:tc>
        <w:tc>
          <w:tcPr>
            <w:tcW w:w="920" w:type="dxa"/>
            <w:gridSpan w:val="3"/>
            <w:tcBorders/>
            <w:shd w:fill="auto" w:val="clear"/>
            <w:vAlign w:val="bottom"/>
          </w:tcPr>
          <w:p>
            <w:pPr>
              <w:pStyle w:val="TableContents"/>
              <w:spacing w:before="0" w:after="283"/>
              <w:jc w:val="center"/>
              <w:rPr/>
            </w:pPr>
            <w:r>
              <w:rPr/>
              <w:t>Option</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Incentive Plan</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Compensation</w:t>
            </w:r>
          </w:p>
        </w:tc>
        <w:tc>
          <w:tcPr>
            <w:tcW w:w="60" w:type="dxa"/>
            <w:tcBorders/>
            <w:shd w:fill="auto" w:val="clear"/>
            <w:vAlign w:val="bottom"/>
          </w:tcPr>
          <w:p>
            <w:pPr>
              <w:pStyle w:val="TableContents"/>
              <w:spacing w:before="0" w:after="283"/>
              <w:rPr/>
            </w:pPr>
            <w:r>
              <w:rPr/>
              <w:t> </w:t>
            </w:r>
          </w:p>
        </w:tc>
        <w:tc>
          <w:tcPr>
            <w:tcW w:w="1715" w:type="dxa"/>
            <w:gridSpan w:val="3"/>
            <w:tcBorders/>
            <w:shd w:fill="auto" w:val="clear"/>
            <w:vAlign w:val="bottom"/>
          </w:tcPr>
          <w:p>
            <w:pPr>
              <w:pStyle w:val="TableContents"/>
              <w:spacing w:before="0" w:after="283"/>
              <w:jc w:val="center"/>
              <w:rPr/>
            </w:pPr>
            <w:r>
              <w:rPr/>
              <w:t>All Other</w:t>
            </w:r>
          </w:p>
        </w:tc>
        <w:tc>
          <w:tcPr>
            <w:tcW w:w="60" w:type="dxa"/>
            <w:tcBorders/>
            <w:shd w:fill="auto" w:val="clear"/>
            <w:vAlign w:val="bottom"/>
          </w:tcPr>
          <w:p>
            <w:pPr>
              <w:pStyle w:val="TableContents"/>
              <w:spacing w:before="0" w:after="283"/>
              <w:rPr/>
            </w:pPr>
            <w:r>
              <w:rPr/>
              <w:t> </w:t>
            </w:r>
          </w:p>
        </w:tc>
        <w:tc>
          <w:tcPr>
            <w:tcW w:w="1100" w:type="dxa"/>
            <w:gridSpan w:val="3"/>
            <w:tcBorders/>
            <w:shd w:fill="auto" w:val="clear"/>
            <w:vAlign w:val="bottom"/>
          </w:tcPr>
          <w:p>
            <w:pPr>
              <w:pStyle w:val="TableContents"/>
              <w:spacing w:before="0" w:after="283"/>
              <w:jc w:val="center"/>
              <w:rPr/>
            </w:pPr>
            <w:r>
              <w:rPr/>
              <w:t> </w:t>
            </w:r>
          </w:p>
        </w:tc>
      </w:tr>
      <w:tr>
        <w:trPr/>
        <w:tc>
          <w:tcPr>
            <w:tcW w:w="1895" w:type="dxa"/>
            <w:tcBorders/>
            <w:shd w:fill="auto" w:val="clear"/>
            <w:vAlign w:val="bottom"/>
          </w:tcPr>
          <w:p>
            <w:pPr>
              <w:pStyle w:val="TableContents"/>
              <w:spacing w:before="0" w:after="283"/>
              <w:jc w:val="left"/>
              <w:rPr/>
            </w:pPr>
            <w:r>
              <w:rPr/>
              <w:t>Name and Principal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3"/>
            <w:tcBorders/>
            <w:shd w:fill="auto" w:val="clear"/>
            <w:vAlign w:val="bottom"/>
          </w:tcPr>
          <w:p>
            <w:pPr>
              <w:pStyle w:val="TableContents"/>
              <w:spacing w:before="0" w:after="283"/>
              <w:jc w:val="center"/>
              <w:rPr/>
            </w:pPr>
            <w:r>
              <w:rPr/>
              <w:t>Salary</w:t>
            </w:r>
          </w:p>
        </w:tc>
        <w:tc>
          <w:tcPr>
            <w:tcW w:w="60" w:type="dxa"/>
            <w:tcBorders/>
            <w:shd w:fill="auto" w:val="clear"/>
            <w:vAlign w:val="bottom"/>
          </w:tcPr>
          <w:p>
            <w:pPr>
              <w:pStyle w:val="TableContents"/>
              <w:spacing w:before="0" w:after="283"/>
              <w:rPr/>
            </w:pPr>
            <w:r>
              <w:rPr/>
              <w:t> </w:t>
            </w:r>
          </w:p>
        </w:tc>
        <w:tc>
          <w:tcPr>
            <w:tcW w:w="635" w:type="dxa"/>
            <w:gridSpan w:val="3"/>
            <w:tcBorders/>
            <w:shd w:fill="auto" w:val="clear"/>
            <w:vAlign w:val="bottom"/>
          </w:tcPr>
          <w:p>
            <w:pPr>
              <w:pStyle w:val="TableContents"/>
              <w:spacing w:before="0" w:after="283"/>
              <w:jc w:val="center"/>
              <w:rPr/>
            </w:pPr>
            <w:r>
              <w:rPr/>
              <w:t>Bonus</w:t>
            </w:r>
          </w:p>
        </w:tc>
        <w:tc>
          <w:tcPr>
            <w:tcW w:w="60" w:type="dxa"/>
            <w:tcBorders/>
            <w:shd w:fill="auto" w:val="clear"/>
            <w:vAlign w:val="bottom"/>
          </w:tcPr>
          <w:p>
            <w:pPr>
              <w:pStyle w:val="TableContents"/>
              <w:spacing w:before="0" w:after="283"/>
              <w:rPr/>
            </w:pPr>
            <w:r>
              <w:rPr/>
              <w:t> </w:t>
            </w:r>
          </w:p>
        </w:tc>
        <w:tc>
          <w:tcPr>
            <w:tcW w:w="1100" w:type="dxa"/>
            <w:gridSpan w:val="3"/>
            <w:tcBorders/>
            <w:shd w:fill="auto" w:val="clear"/>
            <w:vAlign w:val="bottom"/>
          </w:tcPr>
          <w:p>
            <w:pPr>
              <w:pStyle w:val="TableContents"/>
              <w:spacing w:before="0" w:after="283"/>
              <w:jc w:val="center"/>
              <w:rPr/>
            </w:pPr>
            <w:r>
              <w:rPr/>
              <w:t>Awards</w:t>
            </w:r>
          </w:p>
        </w:tc>
        <w:tc>
          <w:tcPr>
            <w:tcW w:w="60" w:type="dxa"/>
            <w:tcBorders/>
            <w:shd w:fill="auto" w:val="clear"/>
            <w:vAlign w:val="bottom"/>
          </w:tcPr>
          <w:p>
            <w:pPr>
              <w:pStyle w:val="TableContents"/>
              <w:spacing w:before="0" w:after="283"/>
              <w:rPr/>
            </w:pPr>
            <w:r>
              <w:rPr/>
              <w:t> </w:t>
            </w:r>
          </w:p>
        </w:tc>
        <w:tc>
          <w:tcPr>
            <w:tcW w:w="920" w:type="dxa"/>
            <w:gridSpan w:val="3"/>
            <w:tcBorders/>
            <w:shd w:fill="auto" w:val="clear"/>
            <w:vAlign w:val="bottom"/>
          </w:tcPr>
          <w:p>
            <w:pPr>
              <w:pStyle w:val="TableContents"/>
              <w:spacing w:before="0" w:after="283"/>
              <w:jc w:val="center"/>
              <w:rPr/>
            </w:pPr>
            <w:r>
              <w:rPr/>
              <w:t>Awards</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Compensation</w:t>
            </w:r>
          </w:p>
        </w:tc>
        <w:tc>
          <w:tcPr>
            <w:tcW w:w="60" w:type="dxa"/>
            <w:tcBorders/>
            <w:shd w:fill="auto" w:val="clear"/>
            <w:vAlign w:val="bottom"/>
          </w:tcPr>
          <w:p>
            <w:pPr>
              <w:pStyle w:val="TableContents"/>
              <w:spacing w:before="0" w:after="283"/>
              <w:rPr/>
            </w:pPr>
            <w:r>
              <w:rPr/>
              <w:t> </w:t>
            </w:r>
          </w:p>
        </w:tc>
        <w:tc>
          <w:tcPr>
            <w:tcW w:w="1385" w:type="dxa"/>
            <w:gridSpan w:val="3"/>
            <w:tcBorders/>
            <w:shd w:fill="auto" w:val="clear"/>
            <w:vAlign w:val="bottom"/>
          </w:tcPr>
          <w:p>
            <w:pPr>
              <w:pStyle w:val="TableContents"/>
              <w:spacing w:before="0" w:after="283"/>
              <w:jc w:val="center"/>
              <w:rPr/>
            </w:pPr>
            <w:r>
              <w:rPr/>
              <w:t>Earnings</w:t>
            </w:r>
          </w:p>
        </w:tc>
        <w:tc>
          <w:tcPr>
            <w:tcW w:w="60" w:type="dxa"/>
            <w:tcBorders/>
            <w:shd w:fill="auto" w:val="clear"/>
            <w:vAlign w:val="bottom"/>
          </w:tcPr>
          <w:p>
            <w:pPr>
              <w:pStyle w:val="TableContents"/>
              <w:spacing w:before="0" w:after="283"/>
              <w:rPr/>
            </w:pPr>
            <w:r>
              <w:rPr/>
              <w:t> </w:t>
            </w:r>
          </w:p>
        </w:tc>
        <w:tc>
          <w:tcPr>
            <w:tcW w:w="1715" w:type="dxa"/>
            <w:gridSpan w:val="3"/>
            <w:tcBorders/>
            <w:shd w:fill="auto" w:val="clear"/>
            <w:vAlign w:val="bottom"/>
          </w:tcPr>
          <w:p>
            <w:pPr>
              <w:pStyle w:val="TableContents"/>
              <w:spacing w:before="0" w:after="283"/>
              <w:jc w:val="center"/>
              <w:rPr/>
            </w:pPr>
            <w:r>
              <w:rPr/>
              <w:t>Compensation ($)</w:t>
            </w:r>
          </w:p>
        </w:tc>
        <w:tc>
          <w:tcPr>
            <w:tcW w:w="60" w:type="dxa"/>
            <w:tcBorders/>
            <w:shd w:fill="auto" w:val="clear"/>
            <w:vAlign w:val="bottom"/>
          </w:tcPr>
          <w:p>
            <w:pPr>
              <w:pStyle w:val="TableContents"/>
              <w:spacing w:before="0" w:after="283"/>
              <w:rPr/>
            </w:pPr>
            <w:r>
              <w:rPr/>
              <w:t> </w:t>
            </w:r>
          </w:p>
        </w:tc>
        <w:tc>
          <w:tcPr>
            <w:tcW w:w="1100" w:type="dxa"/>
            <w:gridSpan w:val="3"/>
            <w:tcBorders/>
            <w:shd w:fill="auto" w:val="clear"/>
            <w:vAlign w:val="bottom"/>
          </w:tcPr>
          <w:p>
            <w:pPr>
              <w:pStyle w:val="TableContents"/>
              <w:spacing w:before="0" w:after="283"/>
              <w:jc w:val="center"/>
              <w:rPr/>
            </w:pPr>
            <w:r>
              <w:rPr/>
              <w:t>Total</w:t>
            </w:r>
          </w:p>
        </w:tc>
      </w:tr>
      <w:tr>
        <w:trPr/>
        <w:tc>
          <w:tcPr>
            <w:tcW w:w="1895" w:type="dxa"/>
            <w:tcBorders>
              <w:bottom w:val="single" w:sz="2" w:space="0" w:color="000000"/>
            </w:tcBorders>
            <w:shd w:fill="auto" w:val="clear"/>
            <w:tcMar>
              <w:bottom w:w="28" w:type="dxa"/>
            </w:tcMar>
            <w:vAlign w:val="bottom"/>
          </w:tcPr>
          <w:p>
            <w:pPr>
              <w:pStyle w:val="TableContents"/>
              <w:spacing w:before="0" w:after="283"/>
              <w:jc w:val="left"/>
              <w:rPr/>
            </w:pPr>
            <w:r>
              <w:rPr/>
              <w:t>        </w:t>
            </w:r>
            <w:r>
              <w:rPr/>
              <w:t>Position</w:t>
            </w:r>
          </w:p>
        </w:tc>
        <w:tc>
          <w:tcPr>
            <w:tcW w:w="60" w:type="dxa"/>
            <w:tcBorders/>
            <w:shd w:fill="auto" w:val="clear"/>
            <w:vAlign w:val="bottom"/>
          </w:tcPr>
          <w:p>
            <w:pPr>
              <w:pStyle w:val="TableContents"/>
              <w:spacing w:before="0" w:after="283"/>
              <w:rPr/>
            </w:pPr>
            <w:r>
              <w:rPr/>
              <w:t> </w:t>
            </w:r>
          </w:p>
        </w:tc>
        <w:tc>
          <w:tcPr>
            <w:tcW w:w="620" w:type="dxa"/>
            <w:gridSpan w:val="3"/>
            <w:tcBorders>
              <w:bottom w:val="single" w:sz="2" w:space="0" w:color="000000"/>
            </w:tcBorders>
            <w:shd w:fill="auto" w:val="clear"/>
            <w:tcMar>
              <w:bottom w:w="28" w:type="dxa"/>
            </w:tcMar>
            <w:vAlign w:val="bottom"/>
          </w:tcPr>
          <w:p>
            <w:pPr>
              <w:pStyle w:val="TableContents"/>
              <w:spacing w:before="0" w:after="283"/>
              <w:jc w:val="center"/>
              <w:rPr/>
            </w:pPr>
            <w:r>
              <w:rPr/>
              <w:t>Year</w:t>
            </w:r>
          </w:p>
        </w:tc>
        <w:tc>
          <w:tcPr>
            <w:tcW w:w="60" w:type="dxa"/>
            <w:tcBorders/>
            <w:shd w:fill="auto" w:val="clear"/>
            <w:vAlign w:val="bottom"/>
          </w:tcPr>
          <w:p>
            <w:pPr>
              <w:pStyle w:val="TableContents"/>
              <w:spacing w:before="0" w:after="283"/>
              <w:rPr/>
            </w:pPr>
            <w:r>
              <w:rPr/>
              <w:t> </w:t>
            </w:r>
          </w:p>
        </w:tc>
        <w:tc>
          <w:tcPr>
            <w:tcW w:w="920" w:type="dxa"/>
            <w:gridSpan w:val="3"/>
            <w:tcBorders>
              <w:bottom w:val="single" w:sz="2" w:space="0" w:color="000000"/>
            </w:tcBorders>
            <w:shd w:fill="auto" w:val="clear"/>
            <w:tcMar>
              <w:bottom w:w="28" w:type="dxa"/>
            </w:tcMar>
            <w:vAlign w:val="bottom"/>
          </w:tcPr>
          <w:p>
            <w:pPr>
              <w:pStyle w:val="TableContents"/>
              <w:spacing w:before="0" w:after="283"/>
              <w:jc w:val="center"/>
              <w:rPr/>
            </w:pPr>
            <w:r>
              <w:rPr/>
              <w:t>($) (1)</w:t>
            </w:r>
          </w:p>
        </w:tc>
        <w:tc>
          <w:tcPr>
            <w:tcW w:w="60" w:type="dxa"/>
            <w:tcBorders/>
            <w:shd w:fill="auto" w:val="clear"/>
            <w:vAlign w:val="bottom"/>
          </w:tcPr>
          <w:p>
            <w:pPr>
              <w:pStyle w:val="TableContents"/>
              <w:spacing w:before="0" w:after="283"/>
              <w:rPr/>
            </w:pPr>
            <w:r>
              <w:rPr/>
              <w:t> </w:t>
            </w:r>
          </w:p>
        </w:tc>
        <w:tc>
          <w:tcPr>
            <w:tcW w:w="635" w:type="dxa"/>
            <w:gridSpan w:val="3"/>
            <w:tcBorders>
              <w:bottom w:val="single" w:sz="2" w:space="0" w:color="000000"/>
            </w:tcBorders>
            <w:shd w:fill="auto" w:val="clear"/>
            <w:tcMar>
              <w:bottom w:w="28" w:type="dxa"/>
            </w:tcM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100" w:type="dxa"/>
            <w:gridSpan w:val="3"/>
            <w:tcBorders>
              <w:bottom w:val="single" w:sz="2" w:space="0" w:color="000000"/>
            </w:tcBorders>
            <w:shd w:fill="auto" w:val="clear"/>
            <w:tcMar>
              <w:bottom w:w="28" w:type="dxa"/>
            </w:tcMar>
            <w:vAlign w:val="bottom"/>
          </w:tcPr>
          <w:p>
            <w:pPr>
              <w:pStyle w:val="TableContents"/>
              <w:spacing w:before="0" w:after="283"/>
              <w:jc w:val="center"/>
              <w:rPr/>
            </w:pPr>
            <w:r>
              <w:rPr/>
              <w:t>($) (2)</w:t>
            </w:r>
          </w:p>
        </w:tc>
        <w:tc>
          <w:tcPr>
            <w:tcW w:w="60" w:type="dxa"/>
            <w:tcBorders/>
            <w:shd w:fill="auto" w:val="clear"/>
            <w:vAlign w:val="bottom"/>
          </w:tcPr>
          <w:p>
            <w:pPr>
              <w:pStyle w:val="TableContents"/>
              <w:spacing w:before="0" w:after="283"/>
              <w:rPr/>
            </w:pPr>
            <w:r>
              <w:rPr/>
              <w:t> </w:t>
            </w:r>
          </w:p>
        </w:tc>
        <w:tc>
          <w:tcPr>
            <w:tcW w:w="920" w:type="dxa"/>
            <w:gridSpan w:val="3"/>
            <w:tcBorders>
              <w:bottom w:val="single" w:sz="2" w:space="0" w:color="000000"/>
            </w:tcBorders>
            <w:shd w:fill="auto" w:val="clear"/>
            <w:tcMar>
              <w:bottom w:w="28" w:type="dxa"/>
            </w:tcMar>
            <w:vAlign w:val="bottom"/>
          </w:tcPr>
          <w:p>
            <w:pPr>
              <w:pStyle w:val="TableContents"/>
              <w:spacing w:before="0" w:after="283"/>
              <w:jc w:val="center"/>
              <w:rPr/>
            </w:pPr>
            <w:r>
              <w:rPr/>
              <w:t>($) (3)</w:t>
            </w:r>
          </w:p>
        </w:tc>
        <w:tc>
          <w:tcPr>
            <w:tcW w:w="60" w:type="dxa"/>
            <w:tcBorders/>
            <w:shd w:fill="auto" w:val="clear"/>
            <w:vAlign w:val="bottom"/>
          </w:tcPr>
          <w:p>
            <w:pPr>
              <w:pStyle w:val="TableContents"/>
              <w:spacing w:before="0" w:after="283"/>
              <w:rPr/>
            </w:pPr>
            <w:r>
              <w:rPr/>
              <w:t> </w:t>
            </w:r>
          </w:p>
        </w:tc>
        <w:tc>
          <w:tcPr>
            <w:tcW w:w="1385" w:type="dxa"/>
            <w:gridSpan w:val="3"/>
            <w:tcBorders>
              <w:bottom w:val="single" w:sz="2" w:space="0" w:color="000000"/>
            </w:tcBorders>
            <w:shd w:fill="auto" w:val="clear"/>
            <w:tcMar>
              <w:bottom w:w="28" w:type="dxa"/>
            </w:tcMar>
            <w:vAlign w:val="bottom"/>
          </w:tcPr>
          <w:p>
            <w:pPr>
              <w:pStyle w:val="TableContents"/>
              <w:spacing w:before="0" w:after="283"/>
              <w:jc w:val="center"/>
              <w:rPr/>
            </w:pPr>
            <w:r>
              <w:rPr/>
              <w:t>($) (4)</w:t>
            </w:r>
          </w:p>
        </w:tc>
        <w:tc>
          <w:tcPr>
            <w:tcW w:w="60" w:type="dxa"/>
            <w:tcBorders/>
            <w:shd w:fill="auto" w:val="clear"/>
            <w:vAlign w:val="bottom"/>
          </w:tcPr>
          <w:p>
            <w:pPr>
              <w:pStyle w:val="TableContents"/>
              <w:spacing w:before="0" w:after="283"/>
              <w:rPr/>
            </w:pPr>
            <w:r>
              <w:rPr/>
              <w:t> </w:t>
            </w:r>
          </w:p>
        </w:tc>
        <w:tc>
          <w:tcPr>
            <w:tcW w:w="1385" w:type="dxa"/>
            <w:gridSpan w:val="3"/>
            <w:tcBorders>
              <w:bottom w:val="single" w:sz="2" w:space="0" w:color="000000"/>
            </w:tcBorders>
            <w:shd w:fill="auto" w:val="clear"/>
            <w:tcMar>
              <w:bottom w:w="28" w:type="dxa"/>
            </w:tcM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15" w:type="dxa"/>
            <w:gridSpan w:val="3"/>
            <w:tcBorders>
              <w:bottom w:val="single" w:sz="2" w:space="0" w:color="000000"/>
            </w:tcBorders>
            <w:shd w:fill="auto" w:val="clear"/>
            <w:tcMar>
              <w:bottom w:w="28" w:type="dxa"/>
            </w:tcMar>
            <w:vAlign w:val="bottom"/>
          </w:tcPr>
          <w:p>
            <w:pPr>
              <w:pStyle w:val="TableContents"/>
              <w:spacing w:before="0" w:after="283"/>
              <w:jc w:val="center"/>
              <w:rPr/>
            </w:pPr>
            <w:r>
              <w:rPr/>
              <w:t>(5)</w:t>
            </w:r>
          </w:p>
        </w:tc>
        <w:tc>
          <w:tcPr>
            <w:tcW w:w="60" w:type="dxa"/>
            <w:tcBorders/>
            <w:shd w:fill="auto" w:val="clear"/>
            <w:vAlign w:val="bottom"/>
          </w:tcPr>
          <w:p>
            <w:pPr>
              <w:pStyle w:val="TableContents"/>
              <w:spacing w:before="0" w:after="283"/>
              <w:rPr/>
            </w:pPr>
            <w:r>
              <w:rPr/>
              <w:t> </w:t>
            </w:r>
          </w:p>
        </w:tc>
        <w:tc>
          <w:tcPr>
            <w:tcW w:w="1100" w:type="dxa"/>
            <w:gridSpan w:val="3"/>
            <w:tcBorders>
              <w:bottom w:val="single" w:sz="2" w:space="0" w:color="000000"/>
            </w:tcBorders>
            <w:shd w:fill="auto" w:val="clear"/>
            <w:tcMar>
              <w:bottom w:w="28" w:type="dxa"/>
            </w:tcMar>
            <w:vAlign w:val="bottom"/>
          </w:tcPr>
          <w:p>
            <w:pPr>
              <w:pStyle w:val="TableContents"/>
              <w:spacing w:before="0" w:after="283"/>
              <w:jc w:val="center"/>
              <w:rPr/>
            </w:pPr>
            <w:r>
              <w:rPr/>
              <w:t>($)</w:t>
            </w:r>
          </w:p>
        </w:tc>
      </w:tr>
      <w:tr>
        <w:trPr/>
        <w:tc>
          <w:tcPr>
            <w:tcW w:w="1895" w:type="dxa"/>
            <w:tcBorders/>
            <w:shd w:fill="CCEEFF" w:val="clear"/>
            <w:vAlign w:val="bottom"/>
          </w:tcPr>
          <w:p>
            <w:pPr>
              <w:pStyle w:val="TableContents"/>
              <w:spacing w:before="0" w:after="0"/>
              <w:ind w:left="0" w:right="0" w:hanging="0"/>
              <w:rPr/>
            </w:pPr>
            <w:r>
              <w:rPr/>
              <w:t>Joseph L. Rotunda,</w:t>
              <w:br/>
              <w:t>President and Chief</w:t>
              <w:br/>
              <w:t>Executive Officer</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697,500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1,288,994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203" w:type="dxa"/>
            <w:tcBorders/>
            <w:shd w:fill="CCEEFF" w:val="clear"/>
            <w:vAlign w:val="bottom"/>
          </w:tcPr>
          <w:p>
            <w:pPr>
              <w:pStyle w:val="TableContents"/>
              <w:spacing w:before="0" w:after="283"/>
              <w:jc w:val="right"/>
              <w:rPr/>
            </w:pPr>
            <w:r>
              <w:rPr/>
              <w:t>700,000</w:t>
            </w:r>
          </w:p>
        </w:tc>
        <w:tc>
          <w:tcPr>
            <w:tcW w:w="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24,070</w:t>
            </w:r>
          </w:p>
        </w:tc>
        <w:tc>
          <w:tcPr>
            <w:tcW w:w="1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457" w:type="dxa"/>
            <w:tcBorders/>
            <w:shd w:fill="CCEEFF" w:val="clear"/>
            <w:vAlign w:val="bottom"/>
          </w:tcPr>
          <w:p>
            <w:pPr>
              <w:pStyle w:val="TableContents"/>
              <w:spacing w:before="0" w:after="283"/>
              <w:jc w:val="right"/>
              <w:rPr/>
            </w:pPr>
            <w:r>
              <w:rPr/>
              <w:t>44,823</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2,755,387</w:t>
            </w:r>
          </w:p>
        </w:tc>
        <w:tc>
          <w:tcPr>
            <w:tcW w:w="60" w:type="dxa"/>
            <w:tcBorders/>
            <w:shd w:fill="CCEEFF" w:val="clear"/>
            <w:vAlign w:val="bottom"/>
          </w:tcPr>
          <w:p>
            <w:pPr>
              <w:pStyle w:val="TableContents"/>
              <w:spacing w:before="0" w:after="283"/>
              <w:rPr/>
            </w:pPr>
            <w:r>
              <w:rPr/>
              <w:t> </w:t>
            </w:r>
          </w:p>
        </w:tc>
      </w:tr>
      <w:tr>
        <w:trPr/>
        <w:tc>
          <w:tcPr>
            <w:tcW w:w="18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5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95" w:type="dxa"/>
            <w:tcBorders/>
            <w:shd w:fill="auto" w:val="clear"/>
            <w:vAlign w:val="bottom"/>
          </w:tcPr>
          <w:p>
            <w:pPr>
              <w:pStyle w:val="TableContents"/>
              <w:spacing w:before="0" w:after="0"/>
              <w:ind w:left="0" w:right="0" w:hanging="0"/>
              <w:rPr/>
            </w:pPr>
            <w:r>
              <w:rPr/>
              <w:t>Sterling B. Brinkley,</w:t>
              <w:br/>
              <w:t>Chairman of the Board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621,058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867,029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254,964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right"/>
              <w:rPr/>
            </w:pPr>
            <w:r>
              <w:rPr/>
              <w:t></w:t>
            </w:r>
          </w:p>
        </w:tc>
        <w:tc>
          <w:tcPr>
            <w:tcW w:w="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23,241</w:t>
            </w:r>
          </w:p>
        </w:tc>
        <w:tc>
          <w:tcPr>
            <w:tcW w:w="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57" w:type="dxa"/>
            <w:tcBorders/>
            <w:shd w:fill="auto" w:val="clear"/>
            <w:vAlign w:val="bottom"/>
          </w:tcPr>
          <w:p>
            <w:pPr>
              <w:pStyle w:val="TableContents"/>
              <w:spacing w:before="0" w:after="283"/>
              <w:jc w:val="right"/>
              <w:rPr/>
            </w:pPr>
            <w:r>
              <w:rPr/>
              <w:t>43,200</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1,809,492</w:t>
            </w:r>
          </w:p>
        </w:tc>
        <w:tc>
          <w:tcPr>
            <w:tcW w:w="60" w:type="dxa"/>
            <w:tcBorders/>
            <w:shd w:fill="auto" w:val="clear"/>
            <w:vAlign w:val="bottom"/>
          </w:tcPr>
          <w:p>
            <w:pPr>
              <w:pStyle w:val="TableContents"/>
              <w:spacing w:before="0" w:after="283"/>
              <w:rPr/>
            </w:pPr>
            <w:r>
              <w:rPr/>
              <w:t> </w:t>
            </w:r>
          </w:p>
        </w:tc>
      </w:tr>
      <w:tr>
        <w:trPr/>
        <w:tc>
          <w:tcPr>
            <w:tcW w:w="18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5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95" w:type="dxa"/>
            <w:tcBorders/>
            <w:shd w:fill="CCEEFF" w:val="clear"/>
            <w:vAlign w:val="bottom"/>
          </w:tcPr>
          <w:p>
            <w:pPr>
              <w:pStyle w:val="TableContents"/>
              <w:spacing w:before="0" w:after="0"/>
              <w:ind w:left="0" w:right="0" w:hanging="0"/>
              <w:rPr/>
            </w:pPr>
            <w:r>
              <w:rPr/>
              <w:t>Daniel N. Tonissen,</w:t>
              <w:br/>
              <w:t>Senior Vice President,</w:t>
              <w:br/>
              <w:t>Chief Financial Officer</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322,308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96,402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144,493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203" w:type="dxa"/>
            <w:tcBorders/>
            <w:shd w:fill="CCEEFF" w:val="clear"/>
            <w:vAlign w:val="bottom"/>
          </w:tcPr>
          <w:p>
            <w:pPr>
              <w:pStyle w:val="TableContents"/>
              <w:spacing w:before="0" w:after="283"/>
              <w:jc w:val="right"/>
              <w:rPr/>
            </w:pPr>
            <w:r>
              <w:rPr/>
              <w:t>161,500</w:t>
            </w:r>
          </w:p>
        </w:tc>
        <w:tc>
          <w:tcPr>
            <w:tcW w:w="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13,843</w:t>
            </w:r>
          </w:p>
        </w:tc>
        <w:tc>
          <w:tcPr>
            <w:tcW w:w="1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457" w:type="dxa"/>
            <w:tcBorders/>
            <w:shd w:fill="CCEEFF" w:val="clear"/>
            <w:vAlign w:val="bottom"/>
          </w:tcPr>
          <w:p>
            <w:pPr>
              <w:pStyle w:val="TableContents"/>
              <w:spacing w:before="0" w:after="283"/>
              <w:jc w:val="right"/>
              <w:rPr/>
            </w:pPr>
            <w:r>
              <w:rPr/>
              <w:t>22,838</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761,384</w:t>
            </w:r>
          </w:p>
        </w:tc>
        <w:tc>
          <w:tcPr>
            <w:tcW w:w="60" w:type="dxa"/>
            <w:tcBorders/>
            <w:shd w:fill="CCEEFF" w:val="clear"/>
            <w:vAlign w:val="bottom"/>
          </w:tcPr>
          <w:p>
            <w:pPr>
              <w:pStyle w:val="TableContents"/>
              <w:spacing w:before="0" w:after="283"/>
              <w:rPr/>
            </w:pPr>
            <w:r>
              <w:rPr/>
              <w:t> </w:t>
            </w:r>
          </w:p>
        </w:tc>
      </w:tr>
      <w:tr>
        <w:trPr/>
        <w:tc>
          <w:tcPr>
            <w:tcW w:w="18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5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95" w:type="dxa"/>
            <w:tcBorders/>
            <w:shd w:fill="auto" w:val="clear"/>
            <w:vAlign w:val="bottom"/>
          </w:tcPr>
          <w:p>
            <w:pPr>
              <w:pStyle w:val="TableContents"/>
              <w:spacing w:before="0" w:after="0"/>
              <w:ind w:left="0" w:right="0" w:hanging="0"/>
              <w:rPr/>
            </w:pPr>
            <w:r>
              <w:rPr/>
              <w:t>Robert Kasenter,</w:t>
              <w:br/>
              <w:t>Senior Vice President,</w:t>
              <w:br/>
              <w:t>Administration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2007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239,423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96,402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87,128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right"/>
              <w:rPr/>
            </w:pPr>
            <w:r>
              <w:rPr/>
              <w:t>110,400</w:t>
            </w:r>
          </w:p>
        </w:tc>
        <w:tc>
          <w:tcPr>
            <w:tcW w:w="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jc w:val="right"/>
              <w:rPr/>
            </w:pPr>
            <w:r>
              <w:rPr/>
              <w:t>10,563</w:t>
            </w:r>
          </w:p>
        </w:tc>
        <w:tc>
          <w:tcPr>
            <w:tcW w:w="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57" w:type="dxa"/>
            <w:tcBorders/>
            <w:shd w:fill="auto" w:val="clear"/>
            <w:vAlign w:val="bottom"/>
          </w:tcPr>
          <w:p>
            <w:pPr>
              <w:pStyle w:val="TableContents"/>
              <w:spacing w:before="0" w:after="283"/>
              <w:jc w:val="right"/>
              <w:rPr/>
            </w:pPr>
            <w:r>
              <w:rPr/>
              <w:t>21,529</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565,445</w:t>
            </w:r>
          </w:p>
        </w:tc>
        <w:tc>
          <w:tcPr>
            <w:tcW w:w="60" w:type="dxa"/>
            <w:tcBorders/>
            <w:shd w:fill="auto" w:val="clear"/>
            <w:vAlign w:val="bottom"/>
          </w:tcPr>
          <w:p>
            <w:pPr>
              <w:pStyle w:val="TableContents"/>
              <w:spacing w:before="0" w:after="283"/>
              <w:rPr/>
            </w:pPr>
            <w:r>
              <w:rPr/>
              <w:t> </w:t>
            </w:r>
          </w:p>
        </w:tc>
      </w:tr>
      <w:tr>
        <w:trPr/>
        <w:tc>
          <w:tcPr>
            <w:tcW w:w="18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76"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5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895" w:type="dxa"/>
            <w:tcBorders/>
            <w:shd w:fill="CCEEFF" w:val="clear"/>
            <w:vAlign w:val="bottom"/>
          </w:tcPr>
          <w:p>
            <w:pPr>
              <w:pStyle w:val="TableContents"/>
              <w:spacing w:before="0" w:after="0"/>
              <w:ind w:left="0" w:right="0" w:hanging="0"/>
              <w:rPr/>
            </w:pPr>
            <w:r>
              <w:rPr/>
              <w:t>Eric Fosse, President -</w:t>
              <w:br/>
              <w:t>EZMONEY Operations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208,750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40,667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25,755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203" w:type="dxa"/>
            <w:tcBorders/>
            <w:shd w:fill="CCEEFF" w:val="clear"/>
            <w:vAlign w:val="bottom"/>
          </w:tcPr>
          <w:p>
            <w:pPr>
              <w:pStyle w:val="TableContents"/>
              <w:spacing w:before="0" w:after="283"/>
              <w:jc w:val="right"/>
              <w:rPr/>
            </w:pPr>
            <w:r>
              <w:rPr/>
              <w:t>73,873</w:t>
            </w:r>
          </w:p>
        </w:tc>
        <w:tc>
          <w:tcPr>
            <w:tcW w:w="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pPr>
            <w:r>
              <w:rPr/>
              <w:t>2,333</w:t>
            </w:r>
          </w:p>
        </w:tc>
        <w:tc>
          <w:tcPr>
            <w:tcW w:w="1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457" w:type="dxa"/>
            <w:tcBorders/>
            <w:shd w:fill="CCEEFF" w:val="clear"/>
            <w:vAlign w:val="bottom"/>
          </w:tcPr>
          <w:p>
            <w:pPr>
              <w:pStyle w:val="TableContents"/>
              <w:spacing w:before="0" w:after="283"/>
              <w:jc w:val="right"/>
              <w:rPr/>
            </w:pPr>
            <w:r>
              <w:rPr/>
              <w:t>3,689</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355,067</w:t>
            </w:r>
          </w:p>
        </w:tc>
        <w:tc>
          <w:tcPr>
            <w:tcW w:w="60"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490"/>
        <w:gridCol w:w="2149"/>
        <w:gridCol w:w="1566"/>
      </w:tblGrid>
      <w:tr>
        <w:trPr/>
        <w:tc>
          <w:tcPr>
            <w:tcW w:w="6490"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r>
      <w:tr>
        <w:trPr/>
        <w:tc>
          <w:tcPr>
            <w:tcW w:w="6490" w:type="dxa"/>
            <w:tcBorders/>
            <w:shd w:fill="auto" w:val="clear"/>
          </w:tcPr>
          <w:p>
            <w:pPr>
              <w:pStyle w:val="TableContents"/>
              <w:spacing w:before="0" w:after="283"/>
              <w:jc w:val="left"/>
              <w:rPr/>
            </w:pPr>
            <w:r>
              <w:rPr/>
              <w:t>(1)</w:t>
            </w:r>
          </w:p>
        </w:tc>
        <w:tc>
          <w:tcPr>
            <w:tcW w:w="2149"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Portions of the amounts in this column have been deferred under the 401(k) plan.</w:t>
            </w:r>
          </w:p>
        </w:tc>
      </w:tr>
      <w:tr>
        <w:trPr/>
        <w:tc>
          <w:tcPr>
            <w:tcW w:w="6490" w:type="dxa"/>
            <w:tcBorders/>
            <w:shd w:fill="auto" w:val="clear"/>
            <w:vAlign w:val="center"/>
          </w:tcPr>
          <w:p>
            <w:pPr>
              <w:pStyle w:val="TableContents"/>
              <w:spacing w:before="0" w:after="283"/>
              <w:rPr/>
            </w:pPr>
            <w:r>
              <w:rPr/>
              <w:t> </w:t>
            </w:r>
          </w:p>
        </w:tc>
        <w:tc>
          <w:tcPr>
            <w:tcW w:w="3715" w:type="dxa"/>
            <w:gridSpan w:val="2"/>
            <w:tcBorders/>
            <w:shd w:fill="auto" w:val="clear"/>
          </w:tcPr>
          <w:p>
            <w:pPr>
              <w:pStyle w:val="TableContents"/>
              <w:spacing w:before="0" w:after="283"/>
              <w:rPr>
                <w:sz w:val="4"/>
                <w:szCs w:val="4"/>
              </w:rPr>
            </w:pPr>
            <w:r>
              <w:rPr>
                <w:sz w:val="4"/>
                <w:szCs w:val="4"/>
              </w:rPr>
            </w:r>
          </w:p>
        </w:tc>
      </w:tr>
      <w:tr>
        <w:trPr/>
        <w:tc>
          <w:tcPr>
            <w:tcW w:w="6490" w:type="dxa"/>
            <w:tcBorders/>
            <w:shd w:fill="auto" w:val="clear"/>
          </w:tcPr>
          <w:p>
            <w:pPr>
              <w:pStyle w:val="TableContents"/>
              <w:spacing w:before="0" w:after="283"/>
              <w:jc w:val="left"/>
              <w:rPr/>
            </w:pPr>
            <w:r>
              <w:rPr/>
              <w:t>(2)</w:t>
            </w:r>
          </w:p>
        </w:tc>
        <w:tc>
          <w:tcPr>
            <w:tcW w:w="2149"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Amounts in the Stock Awards column reflect the dollar amount we have recognized for financial reporting purposes (excluding estimated forfeitures) for the year ended September 30, 2007, in accordance with SFAS No. 123(R) of restricted stock awards, including awards granted in and prior to fiscal 2007.</w:t>
            </w:r>
          </w:p>
        </w:tc>
      </w:tr>
      <w:tr>
        <w:trPr/>
        <w:tc>
          <w:tcPr>
            <w:tcW w:w="6490" w:type="dxa"/>
            <w:tcBorders/>
            <w:shd w:fill="auto" w:val="clear"/>
            <w:vAlign w:val="center"/>
          </w:tcPr>
          <w:p>
            <w:pPr>
              <w:pStyle w:val="TableContents"/>
              <w:spacing w:before="0" w:after="283"/>
              <w:rPr/>
            </w:pPr>
            <w:r>
              <w:rPr/>
              <w:t> </w:t>
            </w:r>
          </w:p>
        </w:tc>
        <w:tc>
          <w:tcPr>
            <w:tcW w:w="3715" w:type="dxa"/>
            <w:gridSpan w:val="2"/>
            <w:tcBorders/>
            <w:shd w:fill="auto" w:val="clear"/>
          </w:tcPr>
          <w:p>
            <w:pPr>
              <w:pStyle w:val="TableContents"/>
              <w:spacing w:before="0" w:after="283"/>
              <w:rPr>
                <w:sz w:val="4"/>
                <w:szCs w:val="4"/>
              </w:rPr>
            </w:pPr>
            <w:r>
              <w:rPr>
                <w:sz w:val="4"/>
                <w:szCs w:val="4"/>
              </w:rPr>
            </w:r>
          </w:p>
        </w:tc>
      </w:tr>
      <w:tr>
        <w:trPr/>
        <w:tc>
          <w:tcPr>
            <w:tcW w:w="6490" w:type="dxa"/>
            <w:tcBorders/>
            <w:shd w:fill="auto" w:val="clear"/>
          </w:tcPr>
          <w:p>
            <w:pPr>
              <w:pStyle w:val="TableContents"/>
              <w:spacing w:before="0" w:after="283"/>
              <w:jc w:val="left"/>
              <w:rPr/>
            </w:pPr>
            <w:r>
              <w:rPr/>
              <w:t>(3)</w:t>
            </w:r>
          </w:p>
        </w:tc>
        <w:tc>
          <w:tcPr>
            <w:tcW w:w="2149"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Amounts in the Option Awards column reflect the dollar amount we have recognized for financial reporting purposes (excluding estimated forfeitures) for the year ended September 30, 2007, in accordance with SFAS No. 123(R) of option awards, including awards granted in and prior to fiscal 2007. Assumptions used in the calculation of these amounts are included in the footnotes to our audited financial statements included in this annual report.</w:t>
            </w:r>
          </w:p>
        </w:tc>
      </w:tr>
      <w:tr>
        <w:trPr/>
        <w:tc>
          <w:tcPr>
            <w:tcW w:w="6490" w:type="dxa"/>
            <w:tcBorders/>
            <w:shd w:fill="auto" w:val="clear"/>
            <w:vAlign w:val="center"/>
          </w:tcPr>
          <w:p>
            <w:pPr>
              <w:pStyle w:val="TableContents"/>
              <w:spacing w:before="0" w:after="283"/>
              <w:rPr/>
            </w:pPr>
            <w:r>
              <w:rPr/>
              <w:t> </w:t>
            </w:r>
          </w:p>
        </w:tc>
        <w:tc>
          <w:tcPr>
            <w:tcW w:w="3715" w:type="dxa"/>
            <w:gridSpan w:val="2"/>
            <w:tcBorders/>
            <w:shd w:fill="auto" w:val="clear"/>
          </w:tcPr>
          <w:p>
            <w:pPr>
              <w:pStyle w:val="TableContents"/>
              <w:spacing w:before="0" w:after="283"/>
              <w:rPr>
                <w:sz w:val="4"/>
                <w:szCs w:val="4"/>
              </w:rPr>
            </w:pPr>
            <w:r>
              <w:rPr>
                <w:sz w:val="4"/>
                <w:szCs w:val="4"/>
              </w:rPr>
            </w:r>
          </w:p>
        </w:tc>
      </w:tr>
      <w:tr>
        <w:trPr/>
        <w:tc>
          <w:tcPr>
            <w:tcW w:w="6490" w:type="dxa"/>
            <w:tcBorders/>
            <w:shd w:fill="auto" w:val="clear"/>
          </w:tcPr>
          <w:p>
            <w:pPr>
              <w:pStyle w:val="TableContents"/>
              <w:spacing w:before="0" w:after="283"/>
              <w:jc w:val="left"/>
              <w:rPr/>
            </w:pPr>
            <w:r>
              <w:rPr/>
              <w:t>(4)</w:t>
            </w:r>
          </w:p>
        </w:tc>
        <w:tc>
          <w:tcPr>
            <w:tcW w:w="2149"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The amounts in the Non-Equity Incentive Plan Compensation column reflect the cash awards earned in fiscal 2007 and paid in November 2007 under the short-term Incentive Compensation Plan, which is discussed in further detail in the Compensation Discussion and Analysis Section under the heading Short Term Incentive Compensation.</w:t>
            </w:r>
          </w:p>
        </w:tc>
      </w:tr>
      <w:tr>
        <w:trPr/>
        <w:tc>
          <w:tcPr>
            <w:tcW w:w="6490" w:type="dxa"/>
            <w:tcBorders/>
            <w:shd w:fill="auto" w:val="clear"/>
            <w:vAlign w:val="center"/>
          </w:tcPr>
          <w:p>
            <w:pPr>
              <w:pStyle w:val="TableContents"/>
              <w:spacing w:before="0" w:after="283"/>
              <w:rPr/>
            </w:pPr>
            <w:r>
              <w:rPr/>
              <w:t> </w:t>
            </w:r>
          </w:p>
        </w:tc>
        <w:tc>
          <w:tcPr>
            <w:tcW w:w="3715" w:type="dxa"/>
            <w:gridSpan w:val="2"/>
            <w:tcBorders/>
            <w:shd w:fill="auto" w:val="clear"/>
          </w:tcPr>
          <w:p>
            <w:pPr>
              <w:pStyle w:val="TableContents"/>
              <w:spacing w:before="0" w:after="283"/>
              <w:rPr>
                <w:sz w:val="4"/>
                <w:szCs w:val="4"/>
              </w:rPr>
            </w:pPr>
            <w:r>
              <w:rPr>
                <w:sz w:val="4"/>
                <w:szCs w:val="4"/>
              </w:rPr>
            </w:r>
          </w:p>
        </w:tc>
      </w:tr>
      <w:tr>
        <w:trPr/>
        <w:tc>
          <w:tcPr>
            <w:tcW w:w="6490" w:type="dxa"/>
            <w:tcBorders/>
            <w:shd w:fill="auto" w:val="clear"/>
          </w:tcPr>
          <w:p>
            <w:pPr>
              <w:pStyle w:val="TableContents"/>
              <w:spacing w:before="0" w:after="283"/>
              <w:jc w:val="left"/>
              <w:rPr/>
            </w:pPr>
            <w:r>
              <w:rPr/>
              <w:t>(5)</w:t>
            </w:r>
          </w:p>
        </w:tc>
        <w:tc>
          <w:tcPr>
            <w:tcW w:w="2149"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These amounts consist of Company contributions to each named executive officers accounts under the 401(k) plan and the Supplemental Executive Retirement Plan. They also include personal benefits and perquisites. 2007 contributions to the Supplemental Executive Retirement Plan are also reported below in the Nonqualified Deferred Compensation Table. See the All Other Compensation Table for additional information.</w:t>
            </w:r>
          </w:p>
        </w:tc>
      </w:tr>
    </w:tbl>
    <w:p>
      <w:pPr>
        <w:pStyle w:val="TextBody"/>
        <w:jc w:val="center"/>
        <w:rPr>
          <w:rFonts w:ascii="Helvetica;Arial;sans-serif" w:hAnsi="Helvetica;Arial;sans-serif"/>
          <w:sz w:val="17"/>
        </w:rPr>
      </w:pPr>
      <w:r>
        <w:rPr>
          <w:rFonts w:ascii="Helvetica;Arial;sans-serif" w:hAnsi="Helvetica;Arial;sans-serif"/>
          <w:sz w:val="17"/>
        </w:rPr>
        <w:t xml:space="preserve">88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Grants of Plan-Based Awards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No named executive officers were entitled to receive estimated future payouts under non-equity or equity incentive plan awards in 2007. The following table provides information about stock awards made to our named executive officers under our share-based plans during the year ended September 30, 2007: </w:t>
      </w:r>
    </w:p>
    <w:tbl>
      <w:tblPr>
        <w:tblW w:w="5000" w:type="pct"/>
        <w:jc w:val="center"/>
        <w:tblInd w:w="0" w:type="dxa"/>
        <w:tblCellMar>
          <w:top w:w="0" w:type="dxa"/>
          <w:left w:w="0" w:type="dxa"/>
          <w:bottom w:w="0" w:type="dxa"/>
          <w:right w:w="0" w:type="dxa"/>
        </w:tblCellMar>
      </w:tblPr>
      <w:tblGrid>
        <w:gridCol w:w="3777"/>
        <w:gridCol w:w="276"/>
        <w:gridCol w:w="243"/>
        <w:gridCol w:w="981"/>
        <w:gridCol w:w="244"/>
        <w:gridCol w:w="276"/>
        <w:gridCol w:w="259"/>
        <w:gridCol w:w="1781"/>
        <w:gridCol w:w="263"/>
        <w:gridCol w:w="276"/>
        <w:gridCol w:w="205"/>
        <w:gridCol w:w="1409"/>
        <w:gridCol w:w="215"/>
      </w:tblGrid>
      <w:tr>
        <w:trPr/>
        <w:tc>
          <w:tcPr>
            <w:tcW w:w="3777"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777"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303" w:type="dxa"/>
            <w:gridSpan w:val="3"/>
            <w:tcBorders/>
            <w:shd w:fill="auto" w:val="clear"/>
            <w:vAlign w:val="bottom"/>
          </w:tcPr>
          <w:p>
            <w:pPr>
              <w:pStyle w:val="TableContents"/>
              <w:spacing w:before="0" w:after="283"/>
              <w:jc w:val="center"/>
              <w:rPr/>
            </w:pPr>
            <w:r>
              <w:rPr/>
              <w:t>Stock Awards:</w:t>
            </w:r>
          </w:p>
        </w:tc>
        <w:tc>
          <w:tcPr>
            <w:tcW w:w="276" w:type="dxa"/>
            <w:tcBorders/>
            <w:shd w:fill="auto" w:val="clear"/>
            <w:vAlign w:val="bottom"/>
          </w:tcPr>
          <w:p>
            <w:pPr>
              <w:pStyle w:val="TableContents"/>
              <w:spacing w:before="0" w:after="283"/>
              <w:rPr/>
            </w:pPr>
            <w:r>
              <w:rPr/>
              <w:t> </w:t>
            </w:r>
          </w:p>
        </w:tc>
        <w:tc>
          <w:tcPr>
            <w:tcW w:w="1829" w:type="dxa"/>
            <w:gridSpan w:val="3"/>
            <w:tcBorders/>
            <w:shd w:fill="auto" w:val="clear"/>
            <w:vAlign w:val="bottom"/>
          </w:tcPr>
          <w:p>
            <w:pPr>
              <w:pStyle w:val="TableContents"/>
              <w:spacing w:before="0" w:after="283"/>
              <w:jc w:val="center"/>
              <w:rPr/>
            </w:pPr>
            <w:r>
              <w:rPr/>
              <w:t> </w:t>
            </w:r>
          </w:p>
        </w:tc>
      </w:tr>
      <w:tr>
        <w:trPr/>
        <w:tc>
          <w:tcPr>
            <w:tcW w:w="3777"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303" w:type="dxa"/>
            <w:gridSpan w:val="3"/>
            <w:tcBorders/>
            <w:shd w:fill="auto" w:val="clear"/>
            <w:vAlign w:val="bottom"/>
          </w:tcPr>
          <w:p>
            <w:pPr>
              <w:pStyle w:val="TableContents"/>
              <w:spacing w:before="0" w:after="283"/>
              <w:jc w:val="center"/>
              <w:rPr/>
            </w:pPr>
            <w:r>
              <w:rPr/>
              <w:t>Number of Shares or</w:t>
            </w:r>
          </w:p>
        </w:tc>
        <w:tc>
          <w:tcPr>
            <w:tcW w:w="276" w:type="dxa"/>
            <w:tcBorders/>
            <w:shd w:fill="auto" w:val="clear"/>
            <w:vAlign w:val="bottom"/>
          </w:tcPr>
          <w:p>
            <w:pPr>
              <w:pStyle w:val="TableContents"/>
              <w:spacing w:before="0" w:after="283"/>
              <w:rPr/>
            </w:pPr>
            <w:r>
              <w:rPr/>
              <w:t> </w:t>
            </w:r>
          </w:p>
        </w:tc>
        <w:tc>
          <w:tcPr>
            <w:tcW w:w="1829" w:type="dxa"/>
            <w:gridSpan w:val="3"/>
            <w:tcBorders/>
            <w:shd w:fill="auto" w:val="clear"/>
            <w:vAlign w:val="bottom"/>
          </w:tcPr>
          <w:p>
            <w:pPr>
              <w:pStyle w:val="TableContents"/>
              <w:spacing w:before="0" w:after="283"/>
              <w:jc w:val="center"/>
              <w:rPr/>
            </w:pPr>
            <w:r>
              <w:rPr/>
              <w:t>Full Award Fair</w:t>
            </w:r>
          </w:p>
        </w:tc>
      </w:tr>
      <w:tr>
        <w:trPr/>
        <w:tc>
          <w:tcPr>
            <w:tcW w:w="3777"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276" w:type="dxa"/>
            <w:tcBorders/>
            <w:shd w:fill="auto" w:val="clear"/>
            <w:vAlign w:val="bottom"/>
          </w:tcPr>
          <w:p>
            <w:pPr>
              <w:pStyle w:val="TableContents"/>
              <w:spacing w:before="0" w:after="283"/>
              <w:rPr/>
            </w:pPr>
            <w:r>
              <w:rPr/>
              <w:t> </w:t>
            </w:r>
          </w:p>
        </w:tc>
        <w:tc>
          <w:tcPr>
            <w:tcW w:w="1468" w:type="dxa"/>
            <w:gridSpan w:val="3"/>
            <w:tcBorders>
              <w:bottom w:val="single" w:sz="2" w:space="0" w:color="000000"/>
            </w:tcBorders>
            <w:shd w:fill="auto" w:val="clear"/>
            <w:tcMar>
              <w:bottom w:w="28" w:type="dxa"/>
            </w:tcMar>
            <w:vAlign w:val="bottom"/>
          </w:tcPr>
          <w:p>
            <w:pPr>
              <w:pStyle w:val="TableContents"/>
              <w:spacing w:before="0" w:after="283"/>
              <w:jc w:val="center"/>
              <w:rPr/>
            </w:pPr>
            <w:r>
              <w:rPr/>
              <w:t>Award Date</w:t>
            </w:r>
          </w:p>
        </w:tc>
        <w:tc>
          <w:tcPr>
            <w:tcW w:w="276" w:type="dxa"/>
            <w:tcBorders/>
            <w:shd w:fill="auto" w:val="clear"/>
            <w:vAlign w:val="bottom"/>
          </w:tcPr>
          <w:p>
            <w:pPr>
              <w:pStyle w:val="TableContents"/>
              <w:spacing w:before="0" w:after="283"/>
              <w:rPr/>
            </w:pPr>
            <w:r>
              <w:rPr/>
              <w:t> </w:t>
            </w:r>
          </w:p>
        </w:tc>
        <w:tc>
          <w:tcPr>
            <w:tcW w:w="2303" w:type="dxa"/>
            <w:gridSpan w:val="3"/>
            <w:tcBorders>
              <w:bottom w:val="single" w:sz="2" w:space="0" w:color="000000"/>
            </w:tcBorders>
            <w:shd w:fill="auto" w:val="clear"/>
            <w:tcMar>
              <w:bottom w:w="28" w:type="dxa"/>
            </w:tcMar>
            <w:vAlign w:val="bottom"/>
          </w:tcPr>
          <w:p>
            <w:pPr>
              <w:pStyle w:val="TableContents"/>
              <w:spacing w:before="0" w:after="283"/>
              <w:jc w:val="center"/>
              <w:rPr/>
            </w:pPr>
            <w:r>
              <w:rPr/>
              <w:t>Stock or Units (#) (1)</w:t>
            </w:r>
          </w:p>
        </w:tc>
        <w:tc>
          <w:tcPr>
            <w:tcW w:w="276" w:type="dxa"/>
            <w:tcBorders/>
            <w:shd w:fill="auto" w:val="clear"/>
            <w:vAlign w:val="bottom"/>
          </w:tcPr>
          <w:p>
            <w:pPr>
              <w:pStyle w:val="TableContents"/>
              <w:spacing w:before="0" w:after="283"/>
              <w:rPr/>
            </w:pPr>
            <w:r>
              <w:rPr/>
              <w:t> </w:t>
            </w:r>
          </w:p>
        </w:tc>
        <w:tc>
          <w:tcPr>
            <w:tcW w:w="1829" w:type="dxa"/>
            <w:gridSpan w:val="3"/>
            <w:tcBorders>
              <w:bottom w:val="single" w:sz="2" w:space="0" w:color="000000"/>
            </w:tcBorders>
            <w:shd w:fill="auto" w:val="clear"/>
            <w:tcMar>
              <w:bottom w:w="28" w:type="dxa"/>
            </w:tcMar>
            <w:vAlign w:val="bottom"/>
          </w:tcPr>
          <w:p>
            <w:pPr>
              <w:pStyle w:val="TableContents"/>
              <w:spacing w:before="0" w:after="283"/>
              <w:jc w:val="center"/>
              <w:rPr/>
            </w:pPr>
            <w:r>
              <w:rPr/>
              <w:t>Value ($) (2)</w:t>
            </w:r>
          </w:p>
        </w:tc>
      </w:tr>
      <w:tr>
        <w:trPr/>
        <w:tc>
          <w:tcPr>
            <w:tcW w:w="3777" w:type="dxa"/>
            <w:tcBorders/>
            <w:shd w:fill="CCEEFF" w:val="clear"/>
            <w:vAlign w:val="bottom"/>
          </w:tcPr>
          <w:p>
            <w:pPr>
              <w:pStyle w:val="TableContents"/>
              <w:spacing w:before="0" w:after="0"/>
              <w:ind w:left="225" w:right="0" w:hanging="225"/>
              <w:rPr/>
            </w:pPr>
            <w:r>
              <w:rPr/>
              <w:t>Joseph L. Rotunda (3)</w:t>
            </w:r>
          </w:p>
        </w:tc>
        <w:tc>
          <w:tcPr>
            <w:tcW w:w="27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10/2/2006</w:t>
            </w:r>
          </w:p>
        </w:tc>
        <w:tc>
          <w:tcPr>
            <w:tcW w:w="24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781" w:type="dxa"/>
            <w:tcBorders/>
            <w:shd w:fill="CCEEFF" w:val="clear"/>
            <w:vAlign w:val="bottom"/>
          </w:tcPr>
          <w:p>
            <w:pPr>
              <w:pStyle w:val="TableContents"/>
              <w:spacing w:before="0" w:after="283"/>
              <w:jc w:val="right"/>
              <w:rPr/>
            </w:pPr>
            <w:r>
              <w:rPr/>
              <w:t>945,000</w:t>
            </w:r>
          </w:p>
        </w:tc>
        <w:tc>
          <w:tcPr>
            <w:tcW w:w="263"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pPr>
            <w:r>
              <w:rPr/>
              <w:t>12,222,000</w:t>
            </w:r>
          </w:p>
        </w:tc>
        <w:tc>
          <w:tcPr>
            <w:tcW w:w="215" w:type="dxa"/>
            <w:tcBorders/>
            <w:shd w:fill="CCEEFF" w:val="clear"/>
            <w:vAlign w:val="bottom"/>
          </w:tcPr>
          <w:p>
            <w:pPr>
              <w:pStyle w:val="TableContents"/>
              <w:spacing w:before="0" w:after="283"/>
              <w:rPr/>
            </w:pPr>
            <w:r>
              <w:rPr/>
              <w:t> </w:t>
            </w:r>
          </w:p>
        </w:tc>
      </w:tr>
      <w:tr>
        <w:trPr/>
        <w:tc>
          <w:tcPr>
            <w:tcW w:w="3777" w:type="dxa"/>
            <w:tcBorders/>
            <w:shd w:fill="auto" w:val="clear"/>
            <w:vAlign w:val="bottom"/>
          </w:tcPr>
          <w:p>
            <w:pPr>
              <w:pStyle w:val="TableContents"/>
              <w:spacing w:before="0" w:after="0"/>
              <w:ind w:left="225" w:right="0" w:hanging="225"/>
              <w:rPr/>
            </w:pPr>
            <w:r>
              <w:rPr/>
              <w:t> </w:t>
            </w:r>
          </w:p>
        </w:tc>
        <w:tc>
          <w:tcPr>
            <w:tcW w:w="27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777" w:type="dxa"/>
            <w:tcBorders/>
            <w:shd w:fill="auto" w:val="clear"/>
            <w:vAlign w:val="bottom"/>
          </w:tcPr>
          <w:p>
            <w:pPr>
              <w:pStyle w:val="TableContents"/>
              <w:spacing w:before="0" w:after="0"/>
              <w:ind w:left="225" w:right="0" w:hanging="225"/>
              <w:rPr/>
            </w:pPr>
            <w:r>
              <w:rPr/>
              <w:t>Sterling B. Brinkley (3)</w:t>
            </w:r>
          </w:p>
        </w:tc>
        <w:tc>
          <w:tcPr>
            <w:tcW w:w="27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10/2/2006</w:t>
            </w:r>
          </w:p>
        </w:tc>
        <w:tc>
          <w:tcPr>
            <w:tcW w:w="24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jc w:val="right"/>
              <w:rPr/>
            </w:pPr>
            <w:r>
              <w:rPr/>
              <w:t>675,000</w:t>
            </w:r>
          </w:p>
        </w:tc>
        <w:tc>
          <w:tcPr>
            <w:tcW w:w="26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8,730,000</w:t>
            </w:r>
          </w:p>
        </w:tc>
        <w:tc>
          <w:tcPr>
            <w:tcW w:w="215" w:type="dxa"/>
            <w:tcBorders/>
            <w:shd w:fill="auto" w:val="clear"/>
            <w:vAlign w:val="bottom"/>
          </w:tcPr>
          <w:p>
            <w:pPr>
              <w:pStyle w:val="TableContents"/>
              <w:spacing w:before="0" w:after="283"/>
              <w:rPr/>
            </w:pPr>
            <w:r>
              <w:rPr/>
              <w:t> </w:t>
            </w:r>
          </w:p>
        </w:tc>
      </w:tr>
      <w:tr>
        <w:trPr/>
        <w:tc>
          <w:tcPr>
            <w:tcW w:w="3777" w:type="dxa"/>
            <w:tcBorders/>
            <w:shd w:fill="auto" w:val="clear"/>
            <w:vAlign w:val="bottom"/>
          </w:tcPr>
          <w:p>
            <w:pPr>
              <w:pStyle w:val="TableContents"/>
              <w:spacing w:before="0" w:after="0"/>
              <w:ind w:left="225" w:right="0" w:hanging="225"/>
              <w:rPr/>
            </w:pPr>
            <w:r>
              <w:rPr/>
              <w:t> </w:t>
            </w:r>
          </w:p>
        </w:tc>
        <w:tc>
          <w:tcPr>
            <w:tcW w:w="27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777" w:type="dxa"/>
            <w:tcBorders/>
            <w:shd w:fill="CCEEFF" w:val="clear"/>
            <w:vAlign w:val="bottom"/>
          </w:tcPr>
          <w:p>
            <w:pPr>
              <w:pStyle w:val="TableContents"/>
              <w:spacing w:before="0" w:after="0"/>
              <w:ind w:left="225" w:right="0" w:hanging="225"/>
              <w:rPr/>
            </w:pPr>
            <w:r>
              <w:rPr/>
              <w:t>Daniel N. Tonissen (4)</w:t>
            </w:r>
          </w:p>
        </w:tc>
        <w:tc>
          <w:tcPr>
            <w:tcW w:w="27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10/2/2006</w:t>
            </w:r>
          </w:p>
        </w:tc>
        <w:tc>
          <w:tcPr>
            <w:tcW w:w="24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781" w:type="dxa"/>
            <w:tcBorders/>
            <w:shd w:fill="CCEEFF" w:val="clear"/>
            <w:vAlign w:val="bottom"/>
          </w:tcPr>
          <w:p>
            <w:pPr>
              <w:pStyle w:val="TableContents"/>
              <w:spacing w:before="0" w:after="283"/>
              <w:jc w:val="right"/>
              <w:rPr/>
            </w:pPr>
            <w:r>
              <w:rPr/>
              <w:t>30,000</w:t>
            </w:r>
          </w:p>
        </w:tc>
        <w:tc>
          <w:tcPr>
            <w:tcW w:w="263"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pPr>
            <w:r>
              <w:rPr/>
              <w:t>388,000</w:t>
            </w:r>
          </w:p>
        </w:tc>
        <w:tc>
          <w:tcPr>
            <w:tcW w:w="215" w:type="dxa"/>
            <w:tcBorders/>
            <w:shd w:fill="CCEEFF" w:val="clear"/>
            <w:vAlign w:val="bottom"/>
          </w:tcPr>
          <w:p>
            <w:pPr>
              <w:pStyle w:val="TableContents"/>
              <w:spacing w:before="0" w:after="283"/>
              <w:rPr/>
            </w:pPr>
            <w:r>
              <w:rPr/>
              <w:t> </w:t>
            </w:r>
          </w:p>
        </w:tc>
      </w:tr>
      <w:tr>
        <w:trPr/>
        <w:tc>
          <w:tcPr>
            <w:tcW w:w="3777" w:type="dxa"/>
            <w:tcBorders/>
            <w:shd w:fill="auto" w:val="clear"/>
            <w:vAlign w:val="bottom"/>
          </w:tcPr>
          <w:p>
            <w:pPr>
              <w:pStyle w:val="TableContents"/>
              <w:spacing w:before="0" w:after="0"/>
              <w:ind w:left="225" w:right="0" w:hanging="225"/>
              <w:rPr/>
            </w:pPr>
            <w:r>
              <w:rPr/>
              <w:t> </w:t>
            </w:r>
          </w:p>
        </w:tc>
        <w:tc>
          <w:tcPr>
            <w:tcW w:w="27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777" w:type="dxa"/>
            <w:tcBorders/>
            <w:shd w:fill="auto" w:val="clear"/>
            <w:vAlign w:val="bottom"/>
          </w:tcPr>
          <w:p>
            <w:pPr>
              <w:pStyle w:val="TableContents"/>
              <w:spacing w:before="0" w:after="0"/>
              <w:ind w:left="225" w:right="0" w:hanging="225"/>
              <w:rPr/>
            </w:pPr>
            <w:r>
              <w:rPr/>
              <w:t>Robert Kasenter (4)</w:t>
            </w:r>
          </w:p>
        </w:tc>
        <w:tc>
          <w:tcPr>
            <w:tcW w:w="27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10/2/2006</w:t>
            </w:r>
          </w:p>
        </w:tc>
        <w:tc>
          <w:tcPr>
            <w:tcW w:w="24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jc w:val="right"/>
              <w:rPr/>
            </w:pPr>
            <w:r>
              <w:rPr/>
              <w:t>30,000</w:t>
            </w:r>
          </w:p>
        </w:tc>
        <w:tc>
          <w:tcPr>
            <w:tcW w:w="26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388,000</w:t>
            </w:r>
          </w:p>
        </w:tc>
        <w:tc>
          <w:tcPr>
            <w:tcW w:w="215" w:type="dxa"/>
            <w:tcBorders/>
            <w:shd w:fill="auto" w:val="clear"/>
            <w:vAlign w:val="bottom"/>
          </w:tcPr>
          <w:p>
            <w:pPr>
              <w:pStyle w:val="TableContents"/>
              <w:spacing w:before="0" w:after="283"/>
              <w:rPr/>
            </w:pPr>
            <w:r>
              <w:rPr/>
              <w:t> </w:t>
            </w:r>
          </w:p>
        </w:tc>
      </w:tr>
      <w:tr>
        <w:trPr/>
        <w:tc>
          <w:tcPr>
            <w:tcW w:w="3777" w:type="dxa"/>
            <w:tcBorders/>
            <w:shd w:fill="auto" w:val="clear"/>
            <w:vAlign w:val="bottom"/>
          </w:tcPr>
          <w:p>
            <w:pPr>
              <w:pStyle w:val="TableContents"/>
              <w:spacing w:before="0" w:after="0"/>
              <w:ind w:left="225" w:right="0" w:hanging="225"/>
              <w:rPr/>
            </w:pPr>
            <w:r>
              <w:rPr/>
              <w:t> </w:t>
            </w:r>
          </w:p>
        </w:tc>
        <w:tc>
          <w:tcPr>
            <w:tcW w:w="27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777" w:type="dxa"/>
            <w:tcBorders/>
            <w:shd w:fill="CCEEFF" w:val="clear"/>
            <w:vAlign w:val="bottom"/>
          </w:tcPr>
          <w:p>
            <w:pPr>
              <w:pStyle w:val="TableContents"/>
              <w:spacing w:before="0" w:after="0"/>
              <w:ind w:left="225" w:right="0" w:hanging="225"/>
              <w:rPr/>
            </w:pPr>
            <w:r>
              <w:rPr/>
              <w:t>Eric Fosse (5)</w:t>
            </w:r>
          </w:p>
        </w:tc>
        <w:tc>
          <w:tcPr>
            <w:tcW w:w="27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10/2/2006</w:t>
            </w:r>
          </w:p>
        </w:tc>
        <w:tc>
          <w:tcPr>
            <w:tcW w:w="244"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781" w:type="dxa"/>
            <w:tcBorders/>
            <w:shd w:fill="CCEEFF" w:val="clear"/>
            <w:vAlign w:val="bottom"/>
          </w:tcPr>
          <w:p>
            <w:pPr>
              <w:pStyle w:val="TableContents"/>
              <w:spacing w:before="0" w:after="283"/>
              <w:jc w:val="right"/>
              <w:rPr/>
            </w:pPr>
            <w:r>
              <w:rPr/>
              <w:t>12,000</w:t>
            </w:r>
          </w:p>
        </w:tc>
        <w:tc>
          <w:tcPr>
            <w:tcW w:w="263"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pPr>
            <w:r>
              <w:rPr/>
              <w:t>155,200</w:t>
            </w:r>
          </w:p>
        </w:tc>
        <w:tc>
          <w:tcPr>
            <w:tcW w:w="215" w:type="dxa"/>
            <w:tcBorders/>
            <w:shd w:fill="CCEEFF" w:val="clear"/>
            <w:vAlign w:val="bottom"/>
          </w:tcPr>
          <w:p>
            <w:pPr>
              <w:pStyle w:val="TableContents"/>
              <w:spacing w:before="0" w:after="283"/>
              <w:rPr/>
            </w:pPr>
            <w:r>
              <w:rPr/>
              <w:t> </w:t>
            </w:r>
          </w:p>
        </w:tc>
      </w:tr>
      <w:tr>
        <w:trPr/>
        <w:tc>
          <w:tcPr>
            <w:tcW w:w="3777" w:type="dxa"/>
            <w:tcBorders/>
            <w:shd w:fill="auto" w:val="clear"/>
            <w:vAlign w:val="bottom"/>
          </w:tcPr>
          <w:p>
            <w:pPr>
              <w:pStyle w:val="TableContents"/>
              <w:spacing w:before="0" w:after="0"/>
              <w:ind w:left="225" w:right="0" w:hanging="225"/>
              <w:rPr/>
            </w:pPr>
            <w:r>
              <w:rPr/>
              <w:t>                 </w:t>
            </w:r>
            <w:r>
              <w:rPr/>
              <w:t>(5)</w:t>
            </w:r>
          </w:p>
        </w:tc>
        <w:tc>
          <w:tcPr>
            <w:tcW w:w="27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8/6/2007</w:t>
            </w:r>
          </w:p>
        </w:tc>
        <w:tc>
          <w:tcPr>
            <w:tcW w:w="24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jc w:val="right"/>
              <w:rPr/>
            </w:pPr>
            <w:r>
              <w:rPr/>
              <w:t>5,000</w:t>
            </w:r>
          </w:p>
        </w:tc>
        <w:tc>
          <w:tcPr>
            <w:tcW w:w="263"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55,950</w:t>
            </w:r>
          </w:p>
        </w:tc>
        <w:tc>
          <w:tcPr>
            <w:tcW w:w="215"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14"/>
        <w:gridCol w:w="2205"/>
        <w:gridCol w:w="1386"/>
      </w:tblGrid>
      <w:tr>
        <w:trPr/>
        <w:tc>
          <w:tcPr>
            <w:tcW w:w="6614"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(1)</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Represents the number of restricted shares awarded in fiscal 2007.</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(2)</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Represents the full award date fair value of fiscal 2007 equity awards under SFAS No. 123(R). This is the amount we will expense in our financial statements over the awards vesting schedules.</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(3)</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These shares vest 20% every two years, provided continued employment and the achievement of certain performance targets based on EBITDA growth. Acceleration of vesting may occur on a portion of these shares upon death, disability, or a change in control. See Note 2 in the Outstanding Equity Awards at September 30, 2007 table for a complete vesting description.</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(4)</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Vesting occurs at the end of four years, provided continued employment and the achievement of certain performance targets based on EBITDA growth. See Note 3 in the Outstanding Equity Awards at September 30, 2007 table for a complete vesting description.</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(5)</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These shares vest four years after the award date, conditioned on continued service.</w:t>
            </w:r>
          </w:p>
        </w:tc>
      </w:tr>
    </w:tbl>
    <w:p>
      <w:pPr>
        <w:pStyle w:val="TextBody"/>
        <w:jc w:val="center"/>
        <w:rPr>
          <w:rFonts w:ascii="Helvetica;Arial;sans-serif" w:hAnsi="Helvetica;Arial;sans-serif"/>
          <w:sz w:val="17"/>
        </w:rPr>
      </w:pPr>
      <w:r>
        <w:rPr>
          <w:rFonts w:ascii="Helvetica;Arial;sans-serif" w:hAnsi="Helvetica;Arial;sans-serif"/>
          <w:sz w:val="17"/>
        </w:rPr>
        <w:t xml:space="preserve">89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Outstanding Equity Awards at September 30, 2007</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712"/>
        <w:gridCol w:w="71"/>
        <w:gridCol w:w="68"/>
        <w:gridCol w:w="1070"/>
        <w:gridCol w:w="68"/>
        <w:gridCol w:w="71"/>
        <w:gridCol w:w="97"/>
        <w:gridCol w:w="1024"/>
        <w:gridCol w:w="100"/>
        <w:gridCol w:w="71"/>
        <w:gridCol w:w="81"/>
        <w:gridCol w:w="1219"/>
        <w:gridCol w:w="86"/>
        <w:gridCol w:w="71"/>
        <w:gridCol w:w="109"/>
        <w:gridCol w:w="757"/>
        <w:gridCol w:w="116"/>
        <w:gridCol w:w="71"/>
        <w:gridCol w:w="67"/>
        <w:gridCol w:w="891"/>
        <w:gridCol w:w="68"/>
        <w:gridCol w:w="71"/>
        <w:gridCol w:w="121"/>
        <w:gridCol w:w="1517"/>
        <w:gridCol w:w="123"/>
        <w:gridCol w:w="71"/>
        <w:gridCol w:w="74"/>
        <w:gridCol w:w="1248"/>
        <w:gridCol w:w="92"/>
      </w:tblGrid>
      <w:tr>
        <w:trPr/>
        <w:tc>
          <w:tcPr>
            <w:tcW w:w="71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71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105" w:type="dxa"/>
            <w:gridSpan w:val="19"/>
            <w:tcBorders>
              <w:bottom w:val="single" w:sz="2" w:space="0" w:color="000000"/>
            </w:tcBorders>
            <w:shd w:fill="auto" w:val="clear"/>
            <w:tcMar>
              <w:bottom w:w="28" w:type="dxa"/>
            </w:tcMar>
            <w:vAlign w:val="bottom"/>
          </w:tcPr>
          <w:p>
            <w:pPr>
              <w:pStyle w:val="TableContents"/>
              <w:spacing w:before="0" w:after="283"/>
              <w:jc w:val="center"/>
              <w:rPr>
                <w:b/>
              </w:rPr>
            </w:pPr>
            <w:r>
              <w:rPr>
                <w:b/>
              </w:rPr>
              <w:t>Option Awards</w:t>
            </w:r>
          </w:p>
        </w:tc>
        <w:tc>
          <w:tcPr>
            <w:tcW w:w="71" w:type="dxa"/>
            <w:tcBorders/>
            <w:shd w:fill="auto" w:val="clear"/>
            <w:vAlign w:val="bottom"/>
          </w:tcPr>
          <w:p>
            <w:pPr>
              <w:pStyle w:val="TableContents"/>
              <w:spacing w:before="0" w:after="283"/>
              <w:rPr/>
            </w:pPr>
            <w:r>
              <w:rPr/>
              <w:t> </w:t>
            </w:r>
          </w:p>
        </w:tc>
        <w:tc>
          <w:tcPr>
            <w:tcW w:w="3246"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Stock Awards</w:t>
            </w:r>
          </w:p>
        </w:tc>
      </w:tr>
      <w:tr>
        <w:trPr/>
        <w:tc>
          <w:tcPr>
            <w:tcW w:w="71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21" w:type="dxa"/>
            <w:gridSpan w:val="3"/>
            <w:tcBorders/>
            <w:shd w:fill="auto" w:val="clear"/>
            <w:vAlign w:val="bottom"/>
          </w:tcPr>
          <w:p>
            <w:pPr>
              <w:pStyle w:val="TableContents"/>
              <w:spacing w:before="0" w:after="283"/>
              <w:jc w:val="center"/>
              <w:rPr/>
            </w:pPr>
            <w:r>
              <w:rPr/>
              <w:t>Number of</w:t>
            </w:r>
          </w:p>
        </w:tc>
        <w:tc>
          <w:tcPr>
            <w:tcW w:w="71" w:type="dxa"/>
            <w:tcBorders/>
            <w:shd w:fill="auto" w:val="clear"/>
            <w:vAlign w:val="bottom"/>
          </w:tcPr>
          <w:p>
            <w:pPr>
              <w:pStyle w:val="TableContents"/>
              <w:spacing w:before="0" w:after="283"/>
              <w:rPr/>
            </w:pPr>
            <w:r>
              <w:rPr/>
              <w:t> </w:t>
            </w:r>
          </w:p>
        </w:tc>
        <w:tc>
          <w:tcPr>
            <w:tcW w:w="1386" w:type="dxa"/>
            <w:gridSpan w:val="3"/>
            <w:tcBorders/>
            <w:shd w:fill="auto" w:val="clear"/>
            <w:vAlign w:val="bottom"/>
          </w:tcPr>
          <w:p>
            <w:pPr>
              <w:pStyle w:val="TableContents"/>
              <w:spacing w:before="0" w:after="283"/>
              <w:jc w:val="center"/>
              <w:rPr/>
            </w:pPr>
            <w:r>
              <w:rPr/>
              <w:t>Number of</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4" w:type="dxa"/>
            <w:gridSpan w:val="3"/>
            <w:tcBorders/>
            <w:shd w:fill="auto" w:val="clear"/>
            <w:vAlign w:val="bottom"/>
          </w:tcPr>
          <w:p>
            <w:pPr>
              <w:pStyle w:val="TableContents"/>
              <w:spacing w:before="0" w:after="283"/>
              <w:jc w:val="center"/>
              <w:rPr/>
            </w:pPr>
            <w:r>
              <w:rPr/>
              <w:t>Market Value</w:t>
            </w:r>
          </w:p>
        </w:tc>
      </w:tr>
      <w:tr>
        <w:trPr/>
        <w:tc>
          <w:tcPr>
            <w:tcW w:w="71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21" w:type="dxa"/>
            <w:gridSpan w:val="3"/>
            <w:tcBorders/>
            <w:shd w:fill="auto" w:val="clear"/>
            <w:vAlign w:val="bottom"/>
          </w:tcPr>
          <w:p>
            <w:pPr>
              <w:pStyle w:val="TableContents"/>
              <w:spacing w:before="0" w:after="283"/>
              <w:jc w:val="center"/>
              <w:rPr/>
            </w:pPr>
            <w:r>
              <w:rPr/>
              <w:t>Securities</w:t>
            </w:r>
          </w:p>
        </w:tc>
        <w:tc>
          <w:tcPr>
            <w:tcW w:w="71" w:type="dxa"/>
            <w:tcBorders/>
            <w:shd w:fill="auto" w:val="clear"/>
            <w:vAlign w:val="bottom"/>
          </w:tcPr>
          <w:p>
            <w:pPr>
              <w:pStyle w:val="TableContents"/>
              <w:spacing w:before="0" w:after="283"/>
              <w:rPr/>
            </w:pPr>
            <w:r>
              <w:rPr/>
              <w:t> </w:t>
            </w:r>
          </w:p>
        </w:tc>
        <w:tc>
          <w:tcPr>
            <w:tcW w:w="1386" w:type="dxa"/>
            <w:gridSpan w:val="3"/>
            <w:tcBorders/>
            <w:shd w:fill="auto" w:val="clear"/>
            <w:vAlign w:val="bottom"/>
          </w:tcPr>
          <w:p>
            <w:pPr>
              <w:pStyle w:val="TableContents"/>
              <w:spacing w:before="0" w:after="283"/>
              <w:jc w:val="center"/>
              <w:rPr/>
            </w:pPr>
            <w:r>
              <w:rPr/>
              <w:t>Securities</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761" w:type="dxa"/>
            <w:gridSpan w:val="3"/>
            <w:tcBorders/>
            <w:shd w:fill="auto" w:val="clear"/>
            <w:vAlign w:val="bottom"/>
          </w:tcPr>
          <w:p>
            <w:pPr>
              <w:pStyle w:val="TableContents"/>
              <w:spacing w:before="0" w:after="283"/>
              <w:jc w:val="center"/>
              <w:rPr/>
            </w:pPr>
            <w:r>
              <w:rPr/>
              <w:t>Number of Shares</w:t>
            </w:r>
          </w:p>
        </w:tc>
        <w:tc>
          <w:tcPr>
            <w:tcW w:w="71" w:type="dxa"/>
            <w:tcBorders/>
            <w:shd w:fill="auto" w:val="clear"/>
            <w:vAlign w:val="bottom"/>
          </w:tcPr>
          <w:p>
            <w:pPr>
              <w:pStyle w:val="TableContents"/>
              <w:spacing w:before="0" w:after="283"/>
              <w:rPr/>
            </w:pPr>
            <w:r>
              <w:rPr/>
              <w:t> </w:t>
            </w:r>
          </w:p>
        </w:tc>
        <w:tc>
          <w:tcPr>
            <w:tcW w:w="1414" w:type="dxa"/>
            <w:gridSpan w:val="3"/>
            <w:tcBorders/>
            <w:shd w:fill="auto" w:val="clear"/>
            <w:vAlign w:val="bottom"/>
          </w:tcPr>
          <w:p>
            <w:pPr>
              <w:pStyle w:val="TableContents"/>
              <w:spacing w:before="0" w:after="283"/>
              <w:jc w:val="center"/>
              <w:rPr/>
            </w:pPr>
            <w:r>
              <w:rPr/>
              <w:t>of Shares or</w:t>
            </w:r>
          </w:p>
        </w:tc>
      </w:tr>
      <w:tr>
        <w:trPr/>
        <w:tc>
          <w:tcPr>
            <w:tcW w:w="71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21" w:type="dxa"/>
            <w:gridSpan w:val="3"/>
            <w:tcBorders/>
            <w:shd w:fill="auto" w:val="clear"/>
            <w:vAlign w:val="bottom"/>
          </w:tcPr>
          <w:p>
            <w:pPr>
              <w:pStyle w:val="TableContents"/>
              <w:spacing w:before="0" w:after="283"/>
              <w:jc w:val="center"/>
              <w:rPr/>
            </w:pPr>
            <w:r>
              <w:rPr/>
              <w:t>Underlying</w:t>
            </w:r>
          </w:p>
        </w:tc>
        <w:tc>
          <w:tcPr>
            <w:tcW w:w="71" w:type="dxa"/>
            <w:tcBorders/>
            <w:shd w:fill="auto" w:val="clear"/>
            <w:vAlign w:val="bottom"/>
          </w:tcPr>
          <w:p>
            <w:pPr>
              <w:pStyle w:val="TableContents"/>
              <w:spacing w:before="0" w:after="283"/>
              <w:rPr/>
            </w:pPr>
            <w:r>
              <w:rPr/>
              <w:t> </w:t>
            </w:r>
          </w:p>
        </w:tc>
        <w:tc>
          <w:tcPr>
            <w:tcW w:w="1386" w:type="dxa"/>
            <w:gridSpan w:val="3"/>
            <w:tcBorders/>
            <w:shd w:fill="auto" w:val="clear"/>
            <w:vAlign w:val="bottom"/>
          </w:tcPr>
          <w:p>
            <w:pPr>
              <w:pStyle w:val="TableContents"/>
              <w:spacing w:before="0" w:after="283"/>
              <w:jc w:val="center"/>
              <w:rPr/>
            </w:pPr>
            <w:r>
              <w:rPr/>
              <w:t>Underlying</w:t>
            </w:r>
          </w:p>
        </w:tc>
        <w:tc>
          <w:tcPr>
            <w:tcW w:w="71" w:type="dxa"/>
            <w:tcBorders/>
            <w:shd w:fill="auto" w:val="clear"/>
            <w:vAlign w:val="bottom"/>
          </w:tcPr>
          <w:p>
            <w:pPr>
              <w:pStyle w:val="TableContents"/>
              <w:spacing w:before="0" w:after="283"/>
              <w:rPr/>
            </w:pPr>
            <w:r>
              <w:rPr/>
              <w:t> </w:t>
            </w:r>
          </w:p>
        </w:tc>
        <w:tc>
          <w:tcPr>
            <w:tcW w:w="982" w:type="dxa"/>
            <w:gridSpan w:val="3"/>
            <w:tcBorders/>
            <w:shd w:fill="auto" w:val="clear"/>
            <w:vAlign w:val="bottom"/>
          </w:tcPr>
          <w:p>
            <w:pPr>
              <w:pStyle w:val="TableContents"/>
              <w:spacing w:before="0" w:after="283"/>
              <w:jc w:val="center"/>
              <w:rPr/>
            </w:pPr>
            <w:r>
              <w:rPr/>
              <w:t>Option</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761" w:type="dxa"/>
            <w:gridSpan w:val="3"/>
            <w:tcBorders/>
            <w:shd w:fill="auto" w:val="clear"/>
            <w:vAlign w:val="bottom"/>
          </w:tcPr>
          <w:p>
            <w:pPr>
              <w:pStyle w:val="TableContents"/>
              <w:spacing w:before="0" w:after="283"/>
              <w:jc w:val="center"/>
              <w:rPr/>
            </w:pPr>
            <w:r>
              <w:rPr/>
              <w:t>or Units of Stock</w:t>
            </w:r>
          </w:p>
        </w:tc>
        <w:tc>
          <w:tcPr>
            <w:tcW w:w="71" w:type="dxa"/>
            <w:tcBorders/>
            <w:shd w:fill="auto" w:val="clear"/>
            <w:vAlign w:val="bottom"/>
          </w:tcPr>
          <w:p>
            <w:pPr>
              <w:pStyle w:val="TableContents"/>
              <w:spacing w:before="0" w:after="283"/>
              <w:rPr/>
            </w:pPr>
            <w:r>
              <w:rPr/>
              <w:t> </w:t>
            </w:r>
          </w:p>
        </w:tc>
        <w:tc>
          <w:tcPr>
            <w:tcW w:w="1414" w:type="dxa"/>
            <w:gridSpan w:val="3"/>
            <w:tcBorders/>
            <w:shd w:fill="auto" w:val="clear"/>
            <w:vAlign w:val="bottom"/>
          </w:tcPr>
          <w:p>
            <w:pPr>
              <w:pStyle w:val="TableContents"/>
              <w:spacing w:before="0" w:after="283"/>
              <w:jc w:val="center"/>
              <w:rPr/>
            </w:pPr>
            <w:r>
              <w:rPr/>
              <w:t>Units of Stock</w:t>
            </w:r>
          </w:p>
        </w:tc>
      </w:tr>
      <w:tr>
        <w:trPr/>
        <w:tc>
          <w:tcPr>
            <w:tcW w:w="71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21" w:type="dxa"/>
            <w:gridSpan w:val="3"/>
            <w:tcBorders/>
            <w:shd w:fill="auto" w:val="clear"/>
            <w:vAlign w:val="bottom"/>
          </w:tcPr>
          <w:p>
            <w:pPr>
              <w:pStyle w:val="TableContents"/>
              <w:spacing w:before="0" w:after="283"/>
              <w:jc w:val="center"/>
              <w:rPr/>
            </w:pPr>
            <w:r>
              <w:rPr/>
              <w:t>Unexercised</w:t>
            </w:r>
          </w:p>
        </w:tc>
        <w:tc>
          <w:tcPr>
            <w:tcW w:w="71" w:type="dxa"/>
            <w:tcBorders/>
            <w:shd w:fill="auto" w:val="clear"/>
            <w:vAlign w:val="bottom"/>
          </w:tcPr>
          <w:p>
            <w:pPr>
              <w:pStyle w:val="TableContents"/>
              <w:spacing w:before="0" w:after="283"/>
              <w:rPr/>
            </w:pPr>
            <w:r>
              <w:rPr/>
              <w:t> </w:t>
            </w:r>
          </w:p>
        </w:tc>
        <w:tc>
          <w:tcPr>
            <w:tcW w:w="1386" w:type="dxa"/>
            <w:gridSpan w:val="3"/>
            <w:tcBorders/>
            <w:shd w:fill="auto" w:val="clear"/>
            <w:vAlign w:val="bottom"/>
          </w:tcPr>
          <w:p>
            <w:pPr>
              <w:pStyle w:val="TableContents"/>
              <w:spacing w:before="0" w:after="283"/>
              <w:jc w:val="center"/>
              <w:rPr/>
            </w:pPr>
            <w:r>
              <w:rPr/>
              <w:t>Unexercised</w:t>
            </w:r>
          </w:p>
        </w:tc>
        <w:tc>
          <w:tcPr>
            <w:tcW w:w="71" w:type="dxa"/>
            <w:tcBorders/>
            <w:shd w:fill="auto" w:val="clear"/>
            <w:vAlign w:val="bottom"/>
          </w:tcPr>
          <w:p>
            <w:pPr>
              <w:pStyle w:val="TableContents"/>
              <w:spacing w:before="0" w:after="283"/>
              <w:rPr/>
            </w:pPr>
            <w:r>
              <w:rPr/>
              <w:t> </w:t>
            </w:r>
          </w:p>
        </w:tc>
        <w:tc>
          <w:tcPr>
            <w:tcW w:w="982" w:type="dxa"/>
            <w:gridSpan w:val="3"/>
            <w:tcBorders/>
            <w:shd w:fill="auto" w:val="clear"/>
            <w:vAlign w:val="bottom"/>
          </w:tcPr>
          <w:p>
            <w:pPr>
              <w:pStyle w:val="TableContents"/>
              <w:spacing w:before="0" w:after="283"/>
              <w:jc w:val="center"/>
              <w:rPr/>
            </w:pPr>
            <w:r>
              <w:rPr/>
              <w:t>Exercise</w:t>
            </w:r>
          </w:p>
        </w:tc>
        <w:tc>
          <w:tcPr>
            <w:tcW w:w="71" w:type="dxa"/>
            <w:tcBorders/>
            <w:shd w:fill="auto" w:val="clear"/>
            <w:vAlign w:val="bottom"/>
          </w:tcPr>
          <w:p>
            <w:pPr>
              <w:pStyle w:val="TableContents"/>
              <w:spacing w:before="0" w:after="283"/>
              <w:rPr/>
            </w:pPr>
            <w:r>
              <w:rPr/>
              <w:t> </w:t>
            </w:r>
          </w:p>
        </w:tc>
        <w:tc>
          <w:tcPr>
            <w:tcW w:w="1026" w:type="dxa"/>
            <w:gridSpan w:val="3"/>
            <w:tcBorders/>
            <w:shd w:fill="auto" w:val="clear"/>
            <w:vAlign w:val="bottom"/>
          </w:tcPr>
          <w:p>
            <w:pPr>
              <w:pStyle w:val="TableContents"/>
              <w:spacing w:before="0" w:after="283"/>
              <w:jc w:val="center"/>
              <w:rPr/>
            </w:pPr>
            <w:r>
              <w:rPr/>
              <w:t>Option</w:t>
            </w:r>
          </w:p>
        </w:tc>
        <w:tc>
          <w:tcPr>
            <w:tcW w:w="71" w:type="dxa"/>
            <w:tcBorders/>
            <w:shd w:fill="auto" w:val="clear"/>
            <w:vAlign w:val="bottom"/>
          </w:tcPr>
          <w:p>
            <w:pPr>
              <w:pStyle w:val="TableContents"/>
              <w:spacing w:before="0" w:after="283"/>
              <w:rPr/>
            </w:pPr>
            <w:r>
              <w:rPr/>
              <w:t> </w:t>
            </w:r>
          </w:p>
        </w:tc>
        <w:tc>
          <w:tcPr>
            <w:tcW w:w="1761" w:type="dxa"/>
            <w:gridSpan w:val="3"/>
            <w:tcBorders/>
            <w:shd w:fill="auto" w:val="clear"/>
            <w:vAlign w:val="bottom"/>
          </w:tcPr>
          <w:p>
            <w:pPr>
              <w:pStyle w:val="TableContents"/>
              <w:spacing w:before="0" w:after="283"/>
              <w:jc w:val="center"/>
              <w:rPr/>
            </w:pPr>
            <w:r>
              <w:rPr/>
              <w:t>That Have Not</w:t>
            </w:r>
          </w:p>
        </w:tc>
        <w:tc>
          <w:tcPr>
            <w:tcW w:w="71" w:type="dxa"/>
            <w:tcBorders/>
            <w:shd w:fill="auto" w:val="clear"/>
            <w:vAlign w:val="bottom"/>
          </w:tcPr>
          <w:p>
            <w:pPr>
              <w:pStyle w:val="TableContents"/>
              <w:spacing w:before="0" w:after="283"/>
              <w:rPr/>
            </w:pPr>
            <w:r>
              <w:rPr/>
              <w:t> </w:t>
            </w:r>
          </w:p>
        </w:tc>
        <w:tc>
          <w:tcPr>
            <w:tcW w:w="1414" w:type="dxa"/>
            <w:gridSpan w:val="3"/>
            <w:tcBorders/>
            <w:shd w:fill="auto" w:val="clear"/>
            <w:vAlign w:val="bottom"/>
          </w:tcPr>
          <w:p>
            <w:pPr>
              <w:pStyle w:val="TableContents"/>
              <w:spacing w:before="0" w:after="283"/>
              <w:jc w:val="center"/>
              <w:rPr/>
            </w:pPr>
            <w:r>
              <w:rPr/>
              <w:t>That Have</w:t>
            </w:r>
          </w:p>
        </w:tc>
      </w:tr>
      <w:tr>
        <w:trPr/>
        <w:tc>
          <w:tcPr>
            <w:tcW w:w="71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21" w:type="dxa"/>
            <w:gridSpan w:val="3"/>
            <w:tcBorders/>
            <w:shd w:fill="auto" w:val="clear"/>
            <w:vAlign w:val="bottom"/>
          </w:tcPr>
          <w:p>
            <w:pPr>
              <w:pStyle w:val="TableContents"/>
              <w:spacing w:before="0" w:after="283"/>
              <w:jc w:val="center"/>
              <w:rPr/>
            </w:pPr>
            <w:r>
              <w:rPr/>
              <w:t>Options (#)</w:t>
            </w:r>
          </w:p>
        </w:tc>
        <w:tc>
          <w:tcPr>
            <w:tcW w:w="71" w:type="dxa"/>
            <w:tcBorders/>
            <w:shd w:fill="auto" w:val="clear"/>
            <w:vAlign w:val="bottom"/>
          </w:tcPr>
          <w:p>
            <w:pPr>
              <w:pStyle w:val="TableContents"/>
              <w:spacing w:before="0" w:after="283"/>
              <w:rPr/>
            </w:pPr>
            <w:r>
              <w:rPr/>
              <w:t> </w:t>
            </w:r>
          </w:p>
        </w:tc>
        <w:tc>
          <w:tcPr>
            <w:tcW w:w="1386" w:type="dxa"/>
            <w:gridSpan w:val="3"/>
            <w:tcBorders/>
            <w:shd w:fill="auto" w:val="clear"/>
            <w:vAlign w:val="bottom"/>
          </w:tcPr>
          <w:p>
            <w:pPr>
              <w:pStyle w:val="TableContents"/>
              <w:spacing w:before="0" w:after="283"/>
              <w:jc w:val="center"/>
              <w:rPr/>
            </w:pPr>
            <w:r>
              <w:rPr/>
              <w:t>Options (#)</w:t>
            </w:r>
          </w:p>
        </w:tc>
        <w:tc>
          <w:tcPr>
            <w:tcW w:w="71" w:type="dxa"/>
            <w:tcBorders/>
            <w:shd w:fill="auto" w:val="clear"/>
            <w:vAlign w:val="bottom"/>
          </w:tcPr>
          <w:p>
            <w:pPr>
              <w:pStyle w:val="TableContents"/>
              <w:spacing w:before="0" w:after="283"/>
              <w:rPr/>
            </w:pPr>
            <w:r>
              <w:rPr/>
              <w:t> </w:t>
            </w:r>
          </w:p>
        </w:tc>
        <w:tc>
          <w:tcPr>
            <w:tcW w:w="982" w:type="dxa"/>
            <w:gridSpan w:val="3"/>
            <w:tcBorders/>
            <w:shd w:fill="auto" w:val="clear"/>
            <w:vAlign w:val="bottom"/>
          </w:tcPr>
          <w:p>
            <w:pPr>
              <w:pStyle w:val="TableContents"/>
              <w:spacing w:before="0" w:after="283"/>
              <w:jc w:val="center"/>
              <w:rPr/>
            </w:pPr>
            <w:r>
              <w:rPr/>
              <w:t>Price</w:t>
            </w:r>
          </w:p>
        </w:tc>
        <w:tc>
          <w:tcPr>
            <w:tcW w:w="71" w:type="dxa"/>
            <w:tcBorders/>
            <w:shd w:fill="auto" w:val="clear"/>
            <w:vAlign w:val="bottom"/>
          </w:tcPr>
          <w:p>
            <w:pPr>
              <w:pStyle w:val="TableContents"/>
              <w:spacing w:before="0" w:after="283"/>
              <w:rPr/>
            </w:pPr>
            <w:r>
              <w:rPr/>
              <w:t> </w:t>
            </w:r>
          </w:p>
        </w:tc>
        <w:tc>
          <w:tcPr>
            <w:tcW w:w="1026" w:type="dxa"/>
            <w:gridSpan w:val="3"/>
            <w:tcBorders/>
            <w:shd w:fill="auto" w:val="clear"/>
            <w:vAlign w:val="bottom"/>
          </w:tcPr>
          <w:p>
            <w:pPr>
              <w:pStyle w:val="TableContents"/>
              <w:spacing w:before="0" w:after="283"/>
              <w:jc w:val="center"/>
              <w:rPr/>
            </w:pPr>
            <w:r>
              <w:rPr/>
              <w:t>Expiration</w:t>
            </w:r>
          </w:p>
        </w:tc>
        <w:tc>
          <w:tcPr>
            <w:tcW w:w="71" w:type="dxa"/>
            <w:tcBorders/>
            <w:shd w:fill="auto" w:val="clear"/>
            <w:vAlign w:val="bottom"/>
          </w:tcPr>
          <w:p>
            <w:pPr>
              <w:pStyle w:val="TableContents"/>
              <w:spacing w:before="0" w:after="283"/>
              <w:rPr/>
            </w:pPr>
            <w:r>
              <w:rPr/>
              <w:t> </w:t>
            </w:r>
          </w:p>
        </w:tc>
        <w:tc>
          <w:tcPr>
            <w:tcW w:w="1761" w:type="dxa"/>
            <w:gridSpan w:val="3"/>
            <w:tcBorders/>
            <w:shd w:fill="auto" w:val="clear"/>
            <w:vAlign w:val="bottom"/>
          </w:tcPr>
          <w:p>
            <w:pPr>
              <w:pStyle w:val="TableContents"/>
              <w:spacing w:before="0" w:after="283"/>
              <w:jc w:val="center"/>
              <w:rPr/>
            </w:pPr>
            <w:r>
              <w:rPr/>
              <w:t>Vested</w:t>
            </w:r>
          </w:p>
        </w:tc>
        <w:tc>
          <w:tcPr>
            <w:tcW w:w="71" w:type="dxa"/>
            <w:tcBorders/>
            <w:shd w:fill="auto" w:val="clear"/>
            <w:vAlign w:val="bottom"/>
          </w:tcPr>
          <w:p>
            <w:pPr>
              <w:pStyle w:val="TableContents"/>
              <w:spacing w:before="0" w:after="283"/>
              <w:rPr/>
            </w:pPr>
            <w:r>
              <w:rPr/>
              <w:t> </w:t>
            </w:r>
          </w:p>
        </w:tc>
        <w:tc>
          <w:tcPr>
            <w:tcW w:w="1414" w:type="dxa"/>
            <w:gridSpan w:val="3"/>
            <w:tcBorders/>
            <w:shd w:fill="auto" w:val="clear"/>
            <w:vAlign w:val="bottom"/>
          </w:tcPr>
          <w:p>
            <w:pPr>
              <w:pStyle w:val="TableContents"/>
              <w:spacing w:before="0" w:after="283"/>
              <w:jc w:val="center"/>
              <w:rPr/>
            </w:pPr>
            <w:r>
              <w:rPr/>
              <w:t>Not Vested</w:t>
            </w:r>
          </w:p>
        </w:tc>
      </w:tr>
      <w:tr>
        <w:trPr/>
        <w:tc>
          <w:tcPr>
            <w:tcW w:w="712"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71" w:type="dxa"/>
            <w:tcBorders/>
            <w:shd w:fill="auto" w:val="clear"/>
            <w:vAlign w:val="bottom"/>
          </w:tcPr>
          <w:p>
            <w:pPr>
              <w:pStyle w:val="TableContents"/>
              <w:spacing w:before="0" w:after="283"/>
              <w:rPr/>
            </w:pPr>
            <w:r>
              <w:rPr/>
              <w:t> </w:t>
            </w:r>
          </w:p>
        </w:tc>
        <w:tc>
          <w:tcPr>
            <w:tcW w:w="1206" w:type="dxa"/>
            <w:gridSpan w:val="3"/>
            <w:tcBorders>
              <w:bottom w:val="single" w:sz="2" w:space="0" w:color="000000"/>
            </w:tcBorders>
            <w:shd w:fill="auto" w:val="clear"/>
            <w:tcMar>
              <w:bottom w:w="28" w:type="dxa"/>
            </w:tcMar>
            <w:vAlign w:val="bottom"/>
          </w:tcPr>
          <w:p>
            <w:pPr>
              <w:pStyle w:val="TableContents"/>
              <w:spacing w:before="0" w:after="283"/>
              <w:jc w:val="center"/>
              <w:rPr/>
            </w:pPr>
            <w:r>
              <w:rPr/>
              <w:t>Award Date</w:t>
            </w:r>
          </w:p>
        </w:tc>
        <w:tc>
          <w:tcPr>
            <w:tcW w:w="71" w:type="dxa"/>
            <w:tcBorders/>
            <w:shd w:fill="auto" w:val="clear"/>
            <w:vAlign w:val="bottom"/>
          </w:tcPr>
          <w:p>
            <w:pPr>
              <w:pStyle w:val="TableContents"/>
              <w:spacing w:before="0" w:after="283"/>
              <w:rPr/>
            </w:pPr>
            <w:r>
              <w:rPr/>
              <w:t> </w:t>
            </w:r>
          </w:p>
        </w:tc>
        <w:tc>
          <w:tcPr>
            <w:tcW w:w="1221" w:type="dxa"/>
            <w:gridSpan w:val="3"/>
            <w:tcBorders>
              <w:bottom w:val="single" w:sz="2" w:space="0" w:color="000000"/>
            </w:tcBorders>
            <w:shd w:fill="auto" w:val="clear"/>
            <w:tcMar>
              <w:bottom w:w="28" w:type="dxa"/>
            </w:tcMar>
            <w:vAlign w:val="bottom"/>
          </w:tcPr>
          <w:p>
            <w:pPr>
              <w:pStyle w:val="TableContents"/>
              <w:spacing w:before="0" w:after="283"/>
              <w:jc w:val="center"/>
              <w:rPr/>
            </w:pPr>
            <w:r>
              <w:rPr/>
              <w:t>Exercisable</w:t>
            </w:r>
          </w:p>
        </w:tc>
        <w:tc>
          <w:tcPr>
            <w:tcW w:w="71" w:type="dxa"/>
            <w:tcBorders/>
            <w:shd w:fill="auto" w:val="clear"/>
            <w:vAlign w:val="bottom"/>
          </w:tcPr>
          <w:p>
            <w:pPr>
              <w:pStyle w:val="TableContents"/>
              <w:spacing w:before="0" w:after="283"/>
              <w:rPr/>
            </w:pPr>
            <w:r>
              <w:rPr/>
              <w:t> </w:t>
            </w:r>
          </w:p>
        </w:tc>
        <w:tc>
          <w:tcPr>
            <w:tcW w:w="1386" w:type="dxa"/>
            <w:gridSpan w:val="3"/>
            <w:tcBorders>
              <w:bottom w:val="single" w:sz="2" w:space="0" w:color="000000"/>
            </w:tcBorders>
            <w:shd w:fill="auto" w:val="clear"/>
            <w:tcMar>
              <w:bottom w:w="28" w:type="dxa"/>
            </w:tcMar>
            <w:vAlign w:val="bottom"/>
          </w:tcPr>
          <w:p>
            <w:pPr>
              <w:pStyle w:val="TableContents"/>
              <w:spacing w:before="0" w:after="283"/>
              <w:jc w:val="center"/>
              <w:rPr/>
            </w:pPr>
            <w:r>
              <w:rPr/>
              <w:t>Unexercisable</w:t>
            </w:r>
          </w:p>
        </w:tc>
        <w:tc>
          <w:tcPr>
            <w:tcW w:w="71" w:type="dxa"/>
            <w:tcBorders/>
            <w:shd w:fill="auto" w:val="clear"/>
            <w:vAlign w:val="bottom"/>
          </w:tcPr>
          <w:p>
            <w:pPr>
              <w:pStyle w:val="TableContents"/>
              <w:spacing w:before="0" w:after="283"/>
              <w:rPr/>
            </w:pPr>
            <w:r>
              <w:rPr/>
              <w:t> </w:t>
            </w:r>
          </w:p>
        </w:tc>
        <w:tc>
          <w:tcPr>
            <w:tcW w:w="982" w:type="dxa"/>
            <w:gridSpan w:val="3"/>
            <w:tcBorders>
              <w:bottom w:val="single" w:sz="2" w:space="0" w:color="000000"/>
            </w:tcBorders>
            <w:shd w:fill="auto" w:val="clear"/>
            <w:tcMar>
              <w:bottom w:w="28" w:type="dxa"/>
            </w:tcMar>
            <w:vAlign w:val="bottom"/>
          </w:tcPr>
          <w:p>
            <w:pPr>
              <w:pStyle w:val="TableContents"/>
              <w:spacing w:before="0" w:after="283"/>
              <w:jc w:val="center"/>
              <w:rPr/>
            </w:pPr>
            <w:r>
              <w:rPr/>
              <w:t>($) / share</w:t>
            </w:r>
          </w:p>
        </w:tc>
        <w:tc>
          <w:tcPr>
            <w:tcW w:w="71" w:type="dxa"/>
            <w:tcBorders/>
            <w:shd w:fill="auto" w:val="clear"/>
            <w:vAlign w:val="bottom"/>
          </w:tcPr>
          <w:p>
            <w:pPr>
              <w:pStyle w:val="TableContents"/>
              <w:spacing w:before="0" w:after="283"/>
              <w:rPr/>
            </w:pPr>
            <w:r>
              <w:rPr/>
              <w:t> </w:t>
            </w:r>
          </w:p>
        </w:tc>
        <w:tc>
          <w:tcPr>
            <w:tcW w:w="1026" w:type="dxa"/>
            <w:gridSpan w:val="3"/>
            <w:tcBorders>
              <w:bottom w:val="single" w:sz="2" w:space="0" w:color="000000"/>
            </w:tcBorders>
            <w:shd w:fill="auto" w:val="clear"/>
            <w:tcMar>
              <w:bottom w:w="28" w:type="dxa"/>
            </w:tcMar>
            <w:vAlign w:val="bottom"/>
          </w:tcPr>
          <w:p>
            <w:pPr>
              <w:pStyle w:val="TableContents"/>
              <w:spacing w:before="0" w:after="283"/>
              <w:jc w:val="center"/>
              <w:rPr/>
            </w:pPr>
            <w:r>
              <w:rPr/>
              <w:t>Date</w:t>
            </w:r>
          </w:p>
        </w:tc>
        <w:tc>
          <w:tcPr>
            <w:tcW w:w="71" w:type="dxa"/>
            <w:tcBorders/>
            <w:shd w:fill="auto" w:val="clear"/>
            <w:vAlign w:val="bottom"/>
          </w:tcPr>
          <w:p>
            <w:pPr>
              <w:pStyle w:val="TableContents"/>
              <w:spacing w:before="0" w:after="283"/>
              <w:rPr/>
            </w:pPr>
            <w:r>
              <w:rPr/>
              <w:t> </w:t>
            </w:r>
          </w:p>
        </w:tc>
        <w:tc>
          <w:tcPr>
            <w:tcW w:w="1761" w:type="dxa"/>
            <w:gridSpan w:val="3"/>
            <w:tcBorders>
              <w:bottom w:val="single" w:sz="2" w:space="0" w:color="000000"/>
            </w:tcBorders>
            <w:shd w:fill="auto" w:val="clear"/>
            <w:tcMar>
              <w:bottom w:w="28" w:type="dxa"/>
            </w:tcMar>
            <w:vAlign w:val="bottom"/>
          </w:tcPr>
          <w:p>
            <w:pPr>
              <w:pStyle w:val="TableContents"/>
              <w:spacing w:before="0" w:after="283"/>
              <w:jc w:val="center"/>
              <w:rPr/>
            </w:pPr>
            <w:r>
              <w:rPr/>
              <w:t>(#)</w:t>
            </w:r>
          </w:p>
        </w:tc>
        <w:tc>
          <w:tcPr>
            <w:tcW w:w="71" w:type="dxa"/>
            <w:tcBorders/>
            <w:shd w:fill="auto" w:val="clear"/>
            <w:vAlign w:val="bottom"/>
          </w:tcPr>
          <w:p>
            <w:pPr>
              <w:pStyle w:val="TableContents"/>
              <w:spacing w:before="0" w:after="283"/>
              <w:rPr/>
            </w:pPr>
            <w:r>
              <w:rPr/>
              <w:t> </w:t>
            </w:r>
          </w:p>
        </w:tc>
        <w:tc>
          <w:tcPr>
            <w:tcW w:w="1414" w:type="dxa"/>
            <w:gridSpan w:val="3"/>
            <w:tcBorders>
              <w:bottom w:val="single" w:sz="2" w:space="0" w:color="000000"/>
            </w:tcBorders>
            <w:shd w:fill="auto" w:val="clear"/>
            <w:tcMar>
              <w:bottom w:w="28" w:type="dxa"/>
            </w:tcMar>
            <w:vAlign w:val="bottom"/>
          </w:tcPr>
          <w:p>
            <w:pPr>
              <w:pStyle w:val="TableContents"/>
              <w:spacing w:before="0" w:after="283"/>
              <w:jc w:val="center"/>
              <w:rPr/>
            </w:pPr>
            <w:r>
              <w:rPr/>
              <w:t>($)</w:t>
            </w:r>
          </w:p>
        </w:tc>
      </w:tr>
      <w:tr>
        <w:trPr/>
        <w:tc>
          <w:tcPr>
            <w:tcW w:w="712" w:type="dxa"/>
            <w:tcBorders/>
            <w:shd w:fill="CCEEFF" w:val="clear"/>
            <w:vAlign w:val="bottom"/>
          </w:tcPr>
          <w:p>
            <w:pPr>
              <w:pStyle w:val="TableContents"/>
              <w:spacing w:before="0" w:after="0"/>
              <w:ind w:left="225" w:right="0" w:hanging="225"/>
              <w:rPr/>
            </w:pPr>
            <w:r>
              <w:rPr/>
              <w:t>Joseph L. Rotunda</w:t>
            </w:r>
          </w:p>
        </w:tc>
        <w:tc>
          <w:tcPr>
            <w:tcW w:w="7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(1)1/15/2004</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17" w:type="dxa"/>
            <w:tcBorders/>
            <w:shd w:fill="CCEEFF" w:val="clear"/>
            <w:vAlign w:val="bottom"/>
          </w:tcPr>
          <w:p>
            <w:pPr>
              <w:pStyle w:val="TableContents"/>
              <w:spacing w:before="0" w:after="283"/>
              <w:jc w:val="right"/>
              <w:rPr/>
            </w:pPr>
            <w:r>
              <w:rPr/>
              <w:t>120,000</w:t>
            </w:r>
          </w:p>
        </w:tc>
        <w:tc>
          <w:tcPr>
            <w:tcW w:w="12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1,616,400</w:t>
            </w:r>
          </w:p>
        </w:tc>
        <w:tc>
          <w:tcPr>
            <w:tcW w:w="92" w:type="dxa"/>
            <w:tcBorders/>
            <w:shd w:fill="CCEEFF" w:val="clear"/>
            <w:vAlign w:val="bottom"/>
          </w:tcPr>
          <w:p>
            <w:pPr>
              <w:pStyle w:val="TableContents"/>
              <w:spacing w:before="0" w:after="283"/>
              <w:rPr/>
            </w:pPr>
            <w:r>
              <w:rPr/>
              <w:t> </w:t>
            </w:r>
          </w:p>
        </w:tc>
      </w:tr>
      <w:tr>
        <w:trPr/>
        <w:tc>
          <w:tcPr>
            <w:tcW w:w="712" w:type="dxa"/>
            <w:tcBorders/>
            <w:shd w:fill="CCEEFF" w:val="clear"/>
            <w:vAlign w:val="bottom"/>
          </w:tcPr>
          <w:p>
            <w:pPr>
              <w:pStyle w:val="TableContents"/>
              <w:spacing w:before="0" w:after="0"/>
              <w:ind w:left="225" w:right="0" w:hanging="225"/>
              <w:rPr/>
            </w:pPr>
            <w:r>
              <w:rPr/>
              <w:t> </w:t>
            </w:r>
          </w:p>
        </w:tc>
        <w:tc>
          <w:tcPr>
            <w:tcW w:w="7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(2)10/2/2006</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17" w:type="dxa"/>
            <w:tcBorders/>
            <w:shd w:fill="CCEEFF" w:val="clear"/>
            <w:vAlign w:val="bottom"/>
          </w:tcPr>
          <w:p>
            <w:pPr>
              <w:pStyle w:val="TableContents"/>
              <w:spacing w:before="0" w:after="283"/>
              <w:jc w:val="right"/>
              <w:rPr/>
            </w:pPr>
            <w:r>
              <w:rPr/>
              <w:t>945,000</w:t>
            </w:r>
          </w:p>
        </w:tc>
        <w:tc>
          <w:tcPr>
            <w:tcW w:w="12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12,729,150</w:t>
            </w:r>
          </w:p>
        </w:tc>
        <w:tc>
          <w:tcPr>
            <w:tcW w:w="92" w:type="dxa"/>
            <w:tcBorders/>
            <w:shd w:fill="CCEEFF" w:val="clear"/>
            <w:vAlign w:val="bottom"/>
          </w:tcPr>
          <w:p>
            <w:pPr>
              <w:pStyle w:val="TableContents"/>
              <w:spacing w:before="0" w:after="283"/>
              <w:rPr/>
            </w:pPr>
            <w:r>
              <w:rPr/>
              <w:t> </w:t>
            </w:r>
          </w:p>
        </w:tc>
      </w:tr>
      <w:tr>
        <w:trPr/>
        <w:tc>
          <w:tcPr>
            <w:tcW w:w="712" w:type="dxa"/>
            <w:tcBorders/>
            <w:shd w:fill="auto" w:val="clear"/>
            <w:vAlign w:val="bottom"/>
          </w:tcPr>
          <w:p>
            <w:pPr>
              <w:pStyle w:val="TableContents"/>
              <w:spacing w:before="0" w:after="0"/>
              <w:ind w:left="225" w:right="0" w:hanging="225"/>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712" w:type="dxa"/>
            <w:tcBorders/>
            <w:shd w:fill="auto" w:val="clear"/>
            <w:vAlign w:val="bottom"/>
          </w:tcPr>
          <w:p>
            <w:pPr>
              <w:pStyle w:val="TableContents"/>
              <w:spacing w:before="0" w:after="0"/>
              <w:ind w:left="225" w:right="0" w:hanging="225"/>
              <w:rPr/>
            </w:pPr>
            <w:r>
              <w:rPr/>
              <w:t>Sterling B. Brinkley</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(3)11/5/1998</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1,050,000</w:t>
            </w:r>
          </w:p>
        </w:tc>
        <w:tc>
          <w:tcPr>
            <w:tcW w:w="8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3.33</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11/5/2008</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712" w:type="dxa"/>
            <w:tcBorders/>
            <w:shd w:fill="auto" w:val="clear"/>
            <w:vAlign w:val="bottom"/>
          </w:tcPr>
          <w:p>
            <w:pPr>
              <w:pStyle w:val="TableContents"/>
              <w:spacing w:before="0" w:after="0"/>
              <w:ind w:left="225" w:right="0" w:hanging="225"/>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(2)10/2/2006</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jc w:val="right"/>
              <w:rPr/>
            </w:pPr>
            <w:r>
              <w:rPr/>
              <w:t>675,000</w:t>
            </w:r>
          </w:p>
        </w:tc>
        <w:tc>
          <w:tcPr>
            <w:tcW w:w="12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9,092,250</w:t>
            </w:r>
          </w:p>
        </w:tc>
        <w:tc>
          <w:tcPr>
            <w:tcW w:w="92" w:type="dxa"/>
            <w:tcBorders/>
            <w:shd w:fill="auto" w:val="clear"/>
            <w:vAlign w:val="bottom"/>
          </w:tcPr>
          <w:p>
            <w:pPr>
              <w:pStyle w:val="TableContents"/>
              <w:spacing w:before="0" w:after="283"/>
              <w:rPr/>
            </w:pPr>
            <w:r>
              <w:rPr/>
              <w:t> </w:t>
            </w:r>
          </w:p>
        </w:tc>
      </w:tr>
      <w:tr>
        <w:trPr/>
        <w:tc>
          <w:tcPr>
            <w:tcW w:w="712" w:type="dxa"/>
            <w:tcBorders/>
            <w:shd w:fill="auto" w:val="clear"/>
            <w:vAlign w:val="bottom"/>
          </w:tcPr>
          <w:p>
            <w:pPr>
              <w:pStyle w:val="TableContents"/>
              <w:spacing w:before="0" w:after="0"/>
              <w:ind w:left="225" w:right="0" w:hanging="225"/>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712" w:type="dxa"/>
            <w:tcBorders/>
            <w:shd w:fill="CCEEFF" w:val="clear"/>
            <w:vAlign w:val="bottom"/>
          </w:tcPr>
          <w:p>
            <w:pPr>
              <w:pStyle w:val="TableContents"/>
              <w:spacing w:before="0" w:after="0"/>
              <w:ind w:left="225" w:right="0" w:hanging="225"/>
              <w:rPr/>
            </w:pPr>
            <w:r>
              <w:rPr/>
              <w:t>Daniel N. Tonissen</w:t>
            </w:r>
          </w:p>
        </w:tc>
        <w:tc>
          <w:tcPr>
            <w:tcW w:w="7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(3)11/5/1998</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300,000</w:t>
            </w:r>
          </w:p>
        </w:tc>
        <w:tc>
          <w:tcPr>
            <w:tcW w:w="8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3.33</w:t>
            </w:r>
          </w:p>
        </w:tc>
        <w:tc>
          <w:tcPr>
            <w:tcW w:w="11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11/5/2008</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17"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r>
      <w:tr>
        <w:trPr/>
        <w:tc>
          <w:tcPr>
            <w:tcW w:w="712" w:type="dxa"/>
            <w:tcBorders/>
            <w:shd w:fill="CCEEFF" w:val="clear"/>
            <w:vAlign w:val="bottom"/>
          </w:tcPr>
          <w:p>
            <w:pPr>
              <w:pStyle w:val="TableContents"/>
              <w:spacing w:before="0" w:after="0"/>
              <w:ind w:left="225" w:right="0" w:hanging="225"/>
              <w:rPr/>
            </w:pPr>
            <w:r>
              <w:rPr/>
              <w:t> </w:t>
            </w:r>
          </w:p>
        </w:tc>
        <w:tc>
          <w:tcPr>
            <w:tcW w:w="7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(4)1/15/2004</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w:t>
            </w:r>
          </w:p>
        </w:tc>
        <w:tc>
          <w:tcPr>
            <w:tcW w:w="10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120,000</w:t>
            </w:r>
          </w:p>
        </w:tc>
        <w:tc>
          <w:tcPr>
            <w:tcW w:w="8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3.26</w:t>
            </w:r>
          </w:p>
        </w:tc>
        <w:tc>
          <w:tcPr>
            <w:tcW w:w="11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1/14/2014</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17"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r>
      <w:tr>
        <w:trPr/>
        <w:tc>
          <w:tcPr>
            <w:tcW w:w="712" w:type="dxa"/>
            <w:tcBorders/>
            <w:shd w:fill="CCEEFF" w:val="clear"/>
            <w:vAlign w:val="bottom"/>
          </w:tcPr>
          <w:p>
            <w:pPr>
              <w:pStyle w:val="TableContents"/>
              <w:spacing w:before="0" w:after="0"/>
              <w:ind w:left="225" w:right="0" w:hanging="225"/>
              <w:rPr/>
            </w:pPr>
            <w:r>
              <w:rPr/>
              <w:t> </w:t>
            </w:r>
          </w:p>
        </w:tc>
        <w:tc>
          <w:tcPr>
            <w:tcW w:w="7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(5)10/2/2006</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17" w:type="dxa"/>
            <w:tcBorders/>
            <w:shd w:fill="CCEEFF" w:val="clear"/>
            <w:vAlign w:val="bottom"/>
          </w:tcPr>
          <w:p>
            <w:pPr>
              <w:pStyle w:val="TableContents"/>
              <w:spacing w:before="0" w:after="283"/>
              <w:jc w:val="right"/>
              <w:rPr/>
            </w:pPr>
            <w:r>
              <w:rPr/>
              <w:t>30,000</w:t>
            </w:r>
          </w:p>
        </w:tc>
        <w:tc>
          <w:tcPr>
            <w:tcW w:w="12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404,100</w:t>
            </w:r>
          </w:p>
        </w:tc>
        <w:tc>
          <w:tcPr>
            <w:tcW w:w="92" w:type="dxa"/>
            <w:tcBorders/>
            <w:shd w:fill="CCEEFF" w:val="clear"/>
            <w:vAlign w:val="bottom"/>
          </w:tcPr>
          <w:p>
            <w:pPr>
              <w:pStyle w:val="TableContents"/>
              <w:spacing w:before="0" w:after="283"/>
              <w:rPr/>
            </w:pPr>
            <w:r>
              <w:rPr/>
              <w:t> </w:t>
            </w:r>
          </w:p>
        </w:tc>
      </w:tr>
      <w:tr>
        <w:trPr/>
        <w:tc>
          <w:tcPr>
            <w:tcW w:w="712" w:type="dxa"/>
            <w:tcBorders/>
            <w:shd w:fill="auto" w:val="clear"/>
            <w:vAlign w:val="bottom"/>
          </w:tcPr>
          <w:p>
            <w:pPr>
              <w:pStyle w:val="TableContents"/>
              <w:spacing w:before="0" w:after="0"/>
              <w:ind w:left="225" w:right="0" w:hanging="225"/>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712" w:type="dxa"/>
            <w:tcBorders/>
            <w:shd w:fill="auto" w:val="clear"/>
            <w:vAlign w:val="bottom"/>
          </w:tcPr>
          <w:p>
            <w:pPr>
              <w:pStyle w:val="TableContents"/>
              <w:spacing w:before="0" w:after="0"/>
              <w:ind w:left="225" w:right="0" w:hanging="225"/>
              <w:rPr/>
            </w:pPr>
            <w:r>
              <w:rPr/>
              <w:t>Robert Kasenter</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(6)7/14/2003</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15,000</w:t>
            </w:r>
          </w:p>
        </w:tc>
        <w:tc>
          <w:tcPr>
            <w:tcW w:w="10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15,000</w:t>
            </w:r>
          </w:p>
        </w:tc>
        <w:tc>
          <w:tcPr>
            <w:tcW w:w="8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1.41</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7/14/2013</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712" w:type="dxa"/>
            <w:tcBorders/>
            <w:shd w:fill="auto" w:val="clear"/>
            <w:vAlign w:val="bottom"/>
          </w:tcPr>
          <w:p>
            <w:pPr>
              <w:pStyle w:val="TableContents"/>
              <w:spacing w:before="0" w:after="0"/>
              <w:ind w:left="225" w:right="0" w:hanging="225"/>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(4)1/15/2004</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jc w:val="right"/>
              <w:rPr/>
            </w:pPr>
            <w:r>
              <w:rPr/>
              <w:t>120,000</w:t>
            </w:r>
          </w:p>
        </w:tc>
        <w:tc>
          <w:tcPr>
            <w:tcW w:w="8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3.26</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1/14/2014</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712" w:type="dxa"/>
            <w:tcBorders/>
            <w:shd w:fill="auto" w:val="clear"/>
            <w:vAlign w:val="bottom"/>
          </w:tcPr>
          <w:p>
            <w:pPr>
              <w:pStyle w:val="TableContents"/>
              <w:spacing w:before="0" w:after="0"/>
              <w:ind w:left="225" w:right="0" w:hanging="225"/>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(5)10/2/2006</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jc w:val="right"/>
              <w:rPr/>
            </w:pPr>
            <w:r>
              <w:rPr/>
              <w:t>30,000</w:t>
            </w:r>
          </w:p>
        </w:tc>
        <w:tc>
          <w:tcPr>
            <w:tcW w:w="12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404,100</w:t>
            </w:r>
          </w:p>
        </w:tc>
        <w:tc>
          <w:tcPr>
            <w:tcW w:w="92" w:type="dxa"/>
            <w:tcBorders/>
            <w:shd w:fill="auto" w:val="clear"/>
            <w:vAlign w:val="bottom"/>
          </w:tcPr>
          <w:p>
            <w:pPr>
              <w:pStyle w:val="TableContents"/>
              <w:spacing w:before="0" w:after="283"/>
              <w:rPr/>
            </w:pPr>
            <w:r>
              <w:rPr/>
              <w:t> </w:t>
            </w:r>
          </w:p>
        </w:tc>
      </w:tr>
      <w:tr>
        <w:trPr/>
        <w:tc>
          <w:tcPr>
            <w:tcW w:w="712" w:type="dxa"/>
            <w:tcBorders/>
            <w:shd w:fill="auto" w:val="clear"/>
            <w:vAlign w:val="bottom"/>
          </w:tcPr>
          <w:p>
            <w:pPr>
              <w:pStyle w:val="TableContents"/>
              <w:spacing w:before="0" w:after="0"/>
              <w:ind w:left="225" w:right="0" w:hanging="225"/>
              <w:rPr/>
            </w:pPr>
            <w:r>
              <w:rPr/>
              <w:t> </w:t>
            </w:r>
          </w:p>
        </w:tc>
        <w:tc>
          <w:tcPr>
            <w:tcW w:w="7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219"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1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r>
      <w:tr>
        <w:trPr/>
        <w:tc>
          <w:tcPr>
            <w:tcW w:w="712" w:type="dxa"/>
            <w:tcBorders/>
            <w:shd w:fill="CCEEFF" w:val="clear"/>
            <w:vAlign w:val="bottom"/>
          </w:tcPr>
          <w:p>
            <w:pPr>
              <w:pStyle w:val="TableContents"/>
              <w:spacing w:before="0" w:after="0"/>
              <w:ind w:left="225" w:right="0" w:hanging="225"/>
              <w:rPr/>
            </w:pPr>
            <w:r>
              <w:rPr/>
              <w:t>Eric Fosse</w:t>
            </w:r>
          </w:p>
        </w:tc>
        <w:tc>
          <w:tcPr>
            <w:tcW w:w="7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(6)9/27/2004</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12,000</w:t>
            </w:r>
          </w:p>
        </w:tc>
        <w:tc>
          <w:tcPr>
            <w:tcW w:w="10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jc w:val="right"/>
              <w:rPr/>
            </w:pPr>
            <w:r>
              <w:rPr/>
              <w:t>24,000</w:t>
            </w:r>
          </w:p>
        </w:tc>
        <w:tc>
          <w:tcPr>
            <w:tcW w:w="8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2.89</w:t>
            </w:r>
          </w:p>
        </w:tc>
        <w:tc>
          <w:tcPr>
            <w:tcW w:w="11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9/27/2014</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17"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r>
      <w:tr>
        <w:trPr/>
        <w:tc>
          <w:tcPr>
            <w:tcW w:w="712" w:type="dxa"/>
            <w:tcBorders/>
            <w:shd w:fill="CCEEFF" w:val="clear"/>
            <w:vAlign w:val="bottom"/>
          </w:tcPr>
          <w:p>
            <w:pPr>
              <w:pStyle w:val="TableContents"/>
              <w:spacing w:before="0" w:after="0"/>
              <w:ind w:left="225" w:right="0" w:hanging="225"/>
              <w:rPr/>
            </w:pPr>
            <w:r>
              <w:rPr/>
              <w:t> </w:t>
            </w:r>
          </w:p>
        </w:tc>
        <w:tc>
          <w:tcPr>
            <w:tcW w:w="7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(7)10/2/2006</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17" w:type="dxa"/>
            <w:tcBorders/>
            <w:shd w:fill="CCEEFF" w:val="clear"/>
            <w:vAlign w:val="bottom"/>
          </w:tcPr>
          <w:p>
            <w:pPr>
              <w:pStyle w:val="TableContents"/>
              <w:spacing w:before="0" w:after="283"/>
              <w:jc w:val="right"/>
              <w:rPr/>
            </w:pPr>
            <w:r>
              <w:rPr/>
              <w:t>12,000</w:t>
            </w:r>
          </w:p>
        </w:tc>
        <w:tc>
          <w:tcPr>
            <w:tcW w:w="12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161,640</w:t>
            </w:r>
          </w:p>
        </w:tc>
        <w:tc>
          <w:tcPr>
            <w:tcW w:w="92" w:type="dxa"/>
            <w:tcBorders/>
            <w:shd w:fill="CCEEFF" w:val="clear"/>
            <w:vAlign w:val="bottom"/>
          </w:tcPr>
          <w:p>
            <w:pPr>
              <w:pStyle w:val="TableContents"/>
              <w:spacing w:before="0" w:after="283"/>
              <w:rPr/>
            </w:pPr>
            <w:r>
              <w:rPr/>
              <w:t> </w:t>
            </w:r>
          </w:p>
        </w:tc>
      </w:tr>
      <w:tr>
        <w:trPr/>
        <w:tc>
          <w:tcPr>
            <w:tcW w:w="712" w:type="dxa"/>
            <w:tcBorders/>
            <w:shd w:fill="CCEEFF" w:val="clear"/>
            <w:vAlign w:val="bottom"/>
          </w:tcPr>
          <w:p>
            <w:pPr>
              <w:pStyle w:val="TableContents"/>
              <w:spacing w:before="0" w:after="0"/>
              <w:ind w:left="225" w:right="0" w:hanging="225"/>
              <w:rPr/>
            </w:pPr>
            <w:r>
              <w:rPr/>
              <w:t> </w:t>
            </w:r>
          </w:p>
        </w:tc>
        <w:tc>
          <w:tcPr>
            <w:tcW w:w="7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(7)8/6/2007</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219"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17" w:type="dxa"/>
            <w:tcBorders/>
            <w:shd w:fill="CCEEFF" w:val="clear"/>
            <w:vAlign w:val="bottom"/>
          </w:tcPr>
          <w:p>
            <w:pPr>
              <w:pStyle w:val="TableContents"/>
              <w:spacing w:before="0" w:after="283"/>
              <w:jc w:val="right"/>
              <w:rPr/>
            </w:pPr>
            <w:r>
              <w:rPr/>
              <w:t>5,000</w:t>
            </w:r>
          </w:p>
        </w:tc>
        <w:tc>
          <w:tcPr>
            <w:tcW w:w="12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67,350</w:t>
            </w:r>
          </w:p>
        </w:tc>
        <w:tc>
          <w:tcPr>
            <w:tcW w:w="92"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14"/>
        <w:gridCol w:w="2205"/>
        <w:gridCol w:w="1386"/>
      </w:tblGrid>
      <w:tr>
        <w:trPr/>
        <w:tc>
          <w:tcPr>
            <w:tcW w:w="6614"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(1)</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On January 15, 2004, Mr. Rotunda was awarded 180,000 shares of restricted Class A Common Stock with a fair value of $0.6 million on that date. We also agreed to reimburse Mr. Rotunda for the income tax consequences of the award. The restriction requires Mr. Rotunda to remain in our employ until January 1, 2009 when any unvested shares will vest. The shares are subject to earlier vesting based upon pre-specified minimum new store openings and net income criteria. 60,000 shares vested on January 15, 2005 based on the achievement of certain of those objectives.</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(2)</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20% vests every two years for 10 years with the achievement of certain performance criteria, as follows:</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 </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Average EBITDA for fiscal years 2007-2008 is at least 5% greater than the actual EBITDA for fiscal year 2006.</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 </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Average EBITDA for fiscal years 2009-2010 is at least 10% greater than the actual EBITDA for fiscal year 2006.</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 </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Average EBITDA for fiscal years 2011-2012 is at least 15% greater than the actual EBITDA for fiscal year 2006.</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 </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Average EBITDA for fiscal years 2013-2014 is at least 20% greater than the actual EBITDA for fiscal year 2006.</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 </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Average EBITDA for fiscal years 2015-2016 is at least 25% greater than the actual EBITDA for fiscal year 2006.</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 </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EBITDA is a non-GAAP figure calculated as earnings before interest, taxes, depreciation, amortization, and gain/loss on sale/disposal of assets. For comparability between periods, the calculation of EBITDA for this purpose is based on the accounting principles used in fiscal 2006 and excludes all extraordinary items as defined by U.S. GAAP. If the performance criteria above are not met in any vesting period, the unvested shares will be added to the subsequent vesting date and will vest at the end of the subsequent vesting date provided the performance criteria for that subsequent vesting date are met. In the event that the performance criteria for vesting are not achieved for any applicable vesting date by the end of our fiscal year ending September 30, 2016, all unvested shares will be forfeited and canceled.</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 </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Upon death or disability, vesting will immediately occur on a portion of the unvested shares calculated as follows: 10% of the originally granted shares times the number of full or partial years of service since award, plus 20% of the originally awarded shares, less the number of shares previously vested. No more than the total shares awarded under this award may vest.</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(3)</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Vesting occurs October 6, 2008. If any of these options fail to qualify as incentive options under the Internal Revenue Code, we must pay a bonus to each optionee at the time and in the amount of any resulting tax savings realized by EZCORP.</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(4)</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Five year cliff vest. Subject to earlier vesting based upon pre-specified minimum new store openings and net income criteria. One third of each grant vested on January 15, 2005 based on the achievement of certain of those objectives. The earlier vesting criteria were not met for the remaining two thirds, which will vest January 1, 2009.</w:t>
            </w:r>
          </w:p>
        </w:tc>
      </w:tr>
    </w:tbl>
    <w:p>
      <w:pPr>
        <w:pStyle w:val="TextBody"/>
        <w:jc w:val="center"/>
        <w:rPr>
          <w:rFonts w:ascii="Helvetica;Arial;sans-serif" w:hAnsi="Helvetica;Arial;sans-serif"/>
          <w:sz w:val="17"/>
        </w:rPr>
      </w:pPr>
      <w:r>
        <w:rPr>
          <w:rFonts w:ascii="Helvetica;Arial;sans-serif" w:hAnsi="Helvetica;Arial;sans-serif"/>
          <w:sz w:val="17"/>
        </w:rPr>
        <w:t xml:space="preserve">90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6749"/>
        <w:gridCol w:w="2250"/>
        <w:gridCol w:w="1206"/>
      </w:tblGrid>
      <w:tr>
        <w:trPr/>
        <w:tc>
          <w:tcPr>
            <w:tcW w:w="6749"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(5)</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Vesting occurs at the end of four years, assuming the average annual EBITDA for fiscal years 2007 through 2010 is at least 10% greater than the actual EBITDA for fiscal 2006. In the event the EBITDA performance requirement for vesting is not achieved, all unvested shares will be forfeited and canceled. EBITDA is a non-GAAP figured as described in note (2) above.</w:t>
            </w:r>
          </w:p>
        </w:tc>
      </w:tr>
      <w:tr>
        <w:trPr/>
        <w:tc>
          <w:tcPr>
            <w:tcW w:w="6749" w:type="dxa"/>
            <w:tcBorders/>
            <w:shd w:fill="auto" w:val="clear"/>
            <w:vAlign w:val="center"/>
          </w:tcPr>
          <w:p>
            <w:pPr>
              <w:pStyle w:val="TableContents"/>
              <w:spacing w:before="0" w:after="283"/>
              <w:rPr/>
            </w:pPr>
            <w:r>
              <w:rPr/>
              <w:t> </w:t>
            </w:r>
          </w:p>
        </w:tc>
        <w:tc>
          <w:tcPr>
            <w:tcW w:w="3456" w:type="dxa"/>
            <w:gridSpan w:val="2"/>
            <w:tcBorders/>
            <w:shd w:fill="auto" w:val="clea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 </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Upon death or disability, vesting will immediately occur on 25% of the originally awarded shares times the number of full or partial years of service since award.</w:t>
            </w:r>
          </w:p>
        </w:tc>
      </w:tr>
      <w:tr>
        <w:trPr/>
        <w:tc>
          <w:tcPr>
            <w:tcW w:w="6749" w:type="dxa"/>
            <w:tcBorders/>
            <w:shd w:fill="auto" w:val="clear"/>
            <w:vAlign w:val="center"/>
          </w:tcPr>
          <w:p>
            <w:pPr>
              <w:pStyle w:val="TableContents"/>
              <w:spacing w:before="0" w:after="283"/>
              <w:rPr/>
            </w:pPr>
            <w:r>
              <w:rPr/>
              <w:t> </w:t>
            </w:r>
          </w:p>
        </w:tc>
        <w:tc>
          <w:tcPr>
            <w:tcW w:w="3456" w:type="dxa"/>
            <w:gridSpan w:val="2"/>
            <w:tcBorders/>
            <w:shd w:fill="auto" w:val="clea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(6)</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20% vests each year for five years.</w:t>
            </w:r>
          </w:p>
        </w:tc>
      </w:tr>
      <w:tr>
        <w:trPr/>
        <w:tc>
          <w:tcPr>
            <w:tcW w:w="6749" w:type="dxa"/>
            <w:tcBorders/>
            <w:shd w:fill="auto" w:val="clear"/>
            <w:vAlign w:val="center"/>
          </w:tcPr>
          <w:p>
            <w:pPr>
              <w:pStyle w:val="TableContents"/>
              <w:spacing w:before="0" w:after="283"/>
              <w:rPr/>
            </w:pPr>
            <w:r>
              <w:rPr/>
              <w:t> </w:t>
            </w:r>
          </w:p>
        </w:tc>
        <w:tc>
          <w:tcPr>
            <w:tcW w:w="3456" w:type="dxa"/>
            <w:gridSpan w:val="2"/>
            <w:tcBorders/>
            <w:shd w:fill="auto" w:val="clea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(7)</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Four year cliff vest.</w:t>
            </w:r>
          </w:p>
        </w:tc>
      </w:tr>
    </w:tbl>
    <w:p>
      <w:pPr>
        <w:pStyle w:val="TextBody"/>
        <w:spacing w:before="240" w:after="283"/>
        <w:jc w:val="left"/>
        <w:rPr>
          <w:rFonts w:ascii="Helvetica;Arial;sans-serif" w:hAnsi="Helvetica;Arial;sans-serif"/>
          <w:sz w:val="17"/>
        </w:rPr>
      </w:pPr>
      <w:r>
        <w:rPr>
          <w:rFonts w:ascii="Helvetica;Arial;sans-serif" w:hAnsi="Helvetica;Arial;sans-serif"/>
          <w:b/>
          <w:sz w:val="17"/>
        </w:rPr>
        <w:t>Pension Benefits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shows pension benefits earned by the named executive officers in 2007. No pension plan payments were made to the named executive officers in 2007. </w:t>
      </w:r>
    </w:p>
    <w:tbl>
      <w:tblPr>
        <w:tblW w:w="5000" w:type="pct"/>
        <w:jc w:val="center"/>
        <w:tblInd w:w="0" w:type="dxa"/>
        <w:tblCellMar>
          <w:top w:w="0" w:type="dxa"/>
          <w:left w:w="0" w:type="dxa"/>
          <w:bottom w:w="0" w:type="dxa"/>
          <w:right w:w="0" w:type="dxa"/>
        </w:tblCellMar>
      </w:tblPr>
      <w:tblGrid>
        <w:gridCol w:w="1742"/>
        <w:gridCol w:w="222"/>
        <w:gridCol w:w="2505"/>
        <w:gridCol w:w="222"/>
        <w:gridCol w:w="366"/>
        <w:gridCol w:w="1999"/>
        <w:gridCol w:w="367"/>
        <w:gridCol w:w="222"/>
        <w:gridCol w:w="248"/>
        <w:gridCol w:w="2054"/>
        <w:gridCol w:w="258"/>
      </w:tblGrid>
      <w:tr>
        <w:trPr/>
        <w:tc>
          <w:tcPr>
            <w:tcW w:w="174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50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9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054"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r>
      <w:tr>
        <w:trPr/>
        <w:tc>
          <w:tcPr>
            <w:tcW w:w="174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50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732" w:type="dxa"/>
            <w:gridSpan w:val="3"/>
            <w:tcBorders/>
            <w:shd w:fill="auto" w:val="clear"/>
            <w:vAlign w:val="bottom"/>
          </w:tcPr>
          <w:p>
            <w:pPr>
              <w:pStyle w:val="TableContents"/>
              <w:spacing w:before="0" w:after="283"/>
              <w:jc w:val="center"/>
              <w:rPr/>
            </w:pPr>
            <w:r>
              <w:rPr/>
              <w:t>Number of Years Credited</w:t>
            </w:r>
          </w:p>
        </w:tc>
        <w:tc>
          <w:tcPr>
            <w:tcW w:w="222" w:type="dxa"/>
            <w:tcBorders/>
            <w:shd w:fill="auto" w:val="clear"/>
            <w:vAlign w:val="bottom"/>
          </w:tcPr>
          <w:p>
            <w:pPr>
              <w:pStyle w:val="TableContents"/>
              <w:spacing w:before="0" w:after="283"/>
              <w:rPr/>
            </w:pPr>
            <w:r>
              <w:rPr/>
              <w:t> </w:t>
            </w:r>
          </w:p>
        </w:tc>
        <w:tc>
          <w:tcPr>
            <w:tcW w:w="2560" w:type="dxa"/>
            <w:gridSpan w:val="3"/>
            <w:tcBorders/>
            <w:shd w:fill="auto" w:val="clear"/>
            <w:vAlign w:val="bottom"/>
          </w:tcPr>
          <w:p>
            <w:pPr>
              <w:pStyle w:val="TableContents"/>
              <w:spacing w:before="0" w:after="283"/>
              <w:jc w:val="center"/>
              <w:rPr/>
            </w:pPr>
            <w:r>
              <w:rPr/>
              <w:t>Present Value of</w:t>
            </w:r>
          </w:p>
        </w:tc>
      </w:tr>
      <w:tr>
        <w:trPr/>
        <w:tc>
          <w:tcPr>
            <w:tcW w:w="1742"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222" w:type="dxa"/>
            <w:tcBorders/>
            <w:shd w:fill="auto" w:val="clear"/>
            <w:vAlign w:val="bottom"/>
          </w:tcPr>
          <w:p>
            <w:pPr>
              <w:pStyle w:val="TableContents"/>
              <w:spacing w:before="0" w:after="283"/>
              <w:rPr/>
            </w:pPr>
            <w:r>
              <w:rPr/>
              <w:t> </w:t>
            </w:r>
          </w:p>
        </w:tc>
        <w:tc>
          <w:tcPr>
            <w:tcW w:w="2505" w:type="dxa"/>
            <w:tcBorders>
              <w:bottom w:val="single" w:sz="2" w:space="0" w:color="000000"/>
            </w:tcBorders>
            <w:shd w:fill="auto" w:val="clear"/>
            <w:tcMar>
              <w:bottom w:w="28" w:type="dxa"/>
            </w:tcMar>
            <w:vAlign w:val="bottom"/>
          </w:tcPr>
          <w:p>
            <w:pPr>
              <w:pStyle w:val="TableContents"/>
              <w:spacing w:before="0" w:after="283"/>
              <w:jc w:val="center"/>
              <w:rPr/>
            </w:pPr>
            <w:r>
              <w:rPr/>
              <w:t>Plan Name</w:t>
            </w:r>
          </w:p>
        </w:tc>
        <w:tc>
          <w:tcPr>
            <w:tcW w:w="222" w:type="dxa"/>
            <w:tcBorders/>
            <w:shd w:fill="auto" w:val="clear"/>
            <w:vAlign w:val="bottom"/>
          </w:tcPr>
          <w:p>
            <w:pPr>
              <w:pStyle w:val="TableContents"/>
              <w:spacing w:before="0" w:after="283"/>
              <w:rPr/>
            </w:pPr>
            <w:r>
              <w:rPr/>
              <w:t> </w:t>
            </w:r>
          </w:p>
        </w:tc>
        <w:tc>
          <w:tcPr>
            <w:tcW w:w="2732" w:type="dxa"/>
            <w:gridSpan w:val="3"/>
            <w:tcBorders>
              <w:bottom w:val="single" w:sz="2" w:space="0" w:color="000000"/>
            </w:tcBorders>
            <w:shd w:fill="auto" w:val="clear"/>
            <w:tcMar>
              <w:bottom w:w="28" w:type="dxa"/>
            </w:tcMar>
            <w:vAlign w:val="bottom"/>
          </w:tcPr>
          <w:p>
            <w:pPr>
              <w:pStyle w:val="TableContents"/>
              <w:spacing w:before="0" w:after="283"/>
              <w:jc w:val="center"/>
              <w:rPr/>
            </w:pPr>
            <w:r>
              <w:rPr/>
              <w:t>Service (#)</w:t>
            </w:r>
          </w:p>
        </w:tc>
        <w:tc>
          <w:tcPr>
            <w:tcW w:w="222" w:type="dxa"/>
            <w:tcBorders/>
            <w:shd w:fill="auto" w:val="clear"/>
            <w:vAlign w:val="bottom"/>
          </w:tcPr>
          <w:p>
            <w:pPr>
              <w:pStyle w:val="TableContents"/>
              <w:spacing w:before="0" w:after="283"/>
              <w:rPr/>
            </w:pPr>
            <w:r>
              <w:rPr/>
              <w:t> </w:t>
            </w:r>
          </w:p>
        </w:tc>
        <w:tc>
          <w:tcPr>
            <w:tcW w:w="2560" w:type="dxa"/>
            <w:gridSpan w:val="3"/>
            <w:tcBorders>
              <w:bottom w:val="single" w:sz="2" w:space="0" w:color="000000"/>
            </w:tcBorders>
            <w:shd w:fill="auto" w:val="clear"/>
            <w:tcMar>
              <w:bottom w:w="28" w:type="dxa"/>
            </w:tcMar>
            <w:vAlign w:val="bottom"/>
          </w:tcPr>
          <w:p>
            <w:pPr>
              <w:pStyle w:val="TableContents"/>
              <w:spacing w:before="0" w:after="283"/>
              <w:jc w:val="center"/>
              <w:rPr/>
            </w:pPr>
            <w:r>
              <w:rPr/>
              <w:t>Accumulated Benefit ($)</w:t>
            </w:r>
          </w:p>
        </w:tc>
      </w:tr>
      <w:tr>
        <w:trPr/>
        <w:tc>
          <w:tcPr>
            <w:tcW w:w="1742" w:type="dxa"/>
            <w:tcBorders/>
            <w:shd w:fill="CCEEFF" w:val="clear"/>
          </w:tcPr>
          <w:p>
            <w:pPr>
              <w:pStyle w:val="TableContents"/>
              <w:spacing w:before="0" w:after="283"/>
              <w:jc w:val="left"/>
              <w:rPr/>
            </w:pPr>
            <w:r>
              <w:rPr/>
              <w:t>Joseph L. Rotunda</w:t>
            </w:r>
          </w:p>
        </w:tc>
        <w:tc>
          <w:tcPr>
            <w:tcW w:w="222" w:type="dxa"/>
            <w:tcBorders/>
            <w:shd w:fill="CCEEFF" w:val="clear"/>
            <w:vAlign w:val="bottom"/>
          </w:tcPr>
          <w:p>
            <w:pPr>
              <w:pStyle w:val="TableContents"/>
              <w:spacing w:before="0" w:after="283"/>
              <w:rPr/>
            </w:pPr>
            <w:r>
              <w:rPr/>
              <w:t> </w:t>
            </w:r>
          </w:p>
        </w:tc>
        <w:tc>
          <w:tcPr>
            <w:tcW w:w="2505" w:type="dxa"/>
            <w:tcBorders/>
            <w:shd w:fill="CCEEFF" w:val="clear"/>
            <w:vAlign w:val="bottom"/>
          </w:tcPr>
          <w:p>
            <w:pPr>
              <w:pStyle w:val="TableContents"/>
              <w:spacing w:before="0" w:after="0"/>
              <w:ind w:left="225" w:right="0" w:hanging="225"/>
              <w:rPr/>
            </w:pPr>
            <w:r>
              <w:rPr/>
              <w:t>Supplemental Executive Retirement Plan</w:t>
            </w:r>
          </w:p>
        </w:tc>
        <w:tc>
          <w:tcPr>
            <w:tcW w:w="222"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999" w:type="dxa"/>
            <w:tcBorders/>
            <w:shd w:fill="CCEEFF" w:val="clear"/>
            <w:vAlign w:val="bottom"/>
          </w:tcPr>
          <w:p>
            <w:pPr>
              <w:pStyle w:val="TableContents"/>
              <w:spacing w:before="0" w:after="283"/>
              <w:jc w:val="right"/>
              <w:rPr/>
            </w:pPr>
            <w:r>
              <w:rPr/>
              <w:t>7.6</w:t>
            </w:r>
          </w:p>
        </w:tc>
        <w:tc>
          <w:tcPr>
            <w:tcW w:w="36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054" w:type="dxa"/>
            <w:tcBorders/>
            <w:shd w:fill="CCEEFF" w:val="clear"/>
            <w:vAlign w:val="bottom"/>
          </w:tcPr>
          <w:p>
            <w:pPr>
              <w:pStyle w:val="TableContents"/>
              <w:spacing w:before="0" w:after="283"/>
              <w:jc w:val="right"/>
              <w:rPr/>
            </w:pPr>
            <w:r>
              <w:rPr/>
              <w:t>231,542</w:t>
            </w:r>
          </w:p>
        </w:tc>
        <w:tc>
          <w:tcPr>
            <w:tcW w:w="258" w:type="dxa"/>
            <w:tcBorders/>
            <w:shd w:fill="CCEEFF" w:val="clear"/>
            <w:vAlign w:val="bottom"/>
          </w:tcPr>
          <w:p>
            <w:pPr>
              <w:pStyle w:val="TableContents"/>
              <w:spacing w:before="0" w:after="283"/>
              <w:rPr/>
            </w:pPr>
            <w:r>
              <w:rPr/>
              <w:t> </w:t>
            </w:r>
          </w:p>
        </w:tc>
      </w:tr>
      <w:tr>
        <w:trPr/>
        <w:tc>
          <w:tcPr>
            <w:tcW w:w="1742" w:type="dxa"/>
            <w:tcBorders/>
            <w:shd w:fill="auto" w:val="clear"/>
            <w:vAlign w:val="center"/>
          </w:tcPr>
          <w:p>
            <w:pPr>
              <w:pStyle w:val="TableContents"/>
              <w:spacing w:before="0" w:after="283"/>
              <w:rPr/>
            </w:pPr>
            <w:r>
              <w:rPr/>
              <w:t> </w:t>
            </w:r>
          </w:p>
        </w:tc>
        <w:tc>
          <w:tcPr>
            <w:tcW w:w="8463" w:type="dxa"/>
            <w:gridSpan w:val="10"/>
            <w:tcBorders/>
            <w:shd w:fill="auto" w:val="clear"/>
          </w:tcPr>
          <w:p>
            <w:pPr>
              <w:pStyle w:val="TableContents"/>
              <w:spacing w:before="0" w:after="283"/>
              <w:rPr>
                <w:sz w:val="4"/>
                <w:szCs w:val="4"/>
              </w:rPr>
            </w:pPr>
            <w:r>
              <w:rPr>
                <w:sz w:val="4"/>
                <w:szCs w:val="4"/>
              </w:rPr>
            </w:r>
          </w:p>
        </w:tc>
      </w:tr>
      <w:tr>
        <w:trPr/>
        <w:tc>
          <w:tcPr>
            <w:tcW w:w="1742" w:type="dxa"/>
            <w:tcBorders/>
            <w:shd w:fill="auto" w:val="clear"/>
          </w:tcPr>
          <w:p>
            <w:pPr>
              <w:pStyle w:val="TableContents"/>
              <w:spacing w:before="0" w:after="283"/>
              <w:jc w:val="left"/>
              <w:rPr/>
            </w:pPr>
            <w:r>
              <w:rPr/>
              <w:t>Sterling B. Brinkley</w:t>
            </w:r>
          </w:p>
        </w:tc>
        <w:tc>
          <w:tcPr>
            <w:tcW w:w="222" w:type="dxa"/>
            <w:tcBorders/>
            <w:shd w:fill="auto" w:val="clear"/>
            <w:vAlign w:val="bottom"/>
          </w:tcPr>
          <w:p>
            <w:pPr>
              <w:pStyle w:val="TableContents"/>
              <w:spacing w:before="0" w:after="283"/>
              <w:rPr/>
            </w:pPr>
            <w:r>
              <w:rPr/>
              <w:t> </w:t>
            </w:r>
          </w:p>
        </w:tc>
        <w:tc>
          <w:tcPr>
            <w:tcW w:w="2505" w:type="dxa"/>
            <w:tcBorders/>
            <w:shd w:fill="auto" w:val="clear"/>
            <w:vAlign w:val="bottom"/>
          </w:tcPr>
          <w:p>
            <w:pPr>
              <w:pStyle w:val="TableContents"/>
              <w:spacing w:before="0" w:after="0"/>
              <w:ind w:left="225" w:right="0" w:hanging="225"/>
              <w:rPr/>
            </w:pPr>
            <w:r>
              <w:rPr/>
              <w:t>Supplemental Executive Retirement Plan</w:t>
            </w:r>
          </w:p>
        </w:tc>
        <w:tc>
          <w:tcPr>
            <w:tcW w:w="22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99" w:type="dxa"/>
            <w:tcBorders/>
            <w:shd w:fill="auto" w:val="clear"/>
            <w:vAlign w:val="bottom"/>
          </w:tcPr>
          <w:p>
            <w:pPr>
              <w:pStyle w:val="TableContents"/>
              <w:spacing w:before="0" w:after="283"/>
              <w:jc w:val="right"/>
              <w:rPr/>
            </w:pPr>
            <w:r>
              <w:rPr/>
              <w:t>16.7</w:t>
            </w:r>
          </w:p>
        </w:tc>
        <w:tc>
          <w:tcPr>
            <w:tcW w:w="36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054" w:type="dxa"/>
            <w:tcBorders/>
            <w:shd w:fill="auto" w:val="clear"/>
            <w:vAlign w:val="bottom"/>
          </w:tcPr>
          <w:p>
            <w:pPr>
              <w:pStyle w:val="TableContents"/>
              <w:spacing w:before="0" w:after="283"/>
              <w:jc w:val="right"/>
              <w:rPr/>
            </w:pPr>
            <w:r>
              <w:rPr/>
              <w:t>159,107</w:t>
            </w:r>
          </w:p>
        </w:tc>
        <w:tc>
          <w:tcPr>
            <w:tcW w:w="258" w:type="dxa"/>
            <w:tcBorders/>
            <w:shd w:fill="auto" w:val="clear"/>
            <w:vAlign w:val="bottom"/>
          </w:tcPr>
          <w:p>
            <w:pPr>
              <w:pStyle w:val="TableContents"/>
              <w:spacing w:before="0" w:after="283"/>
              <w:rPr/>
            </w:pPr>
            <w:r>
              <w:rPr/>
              <w:t> </w:t>
            </w:r>
          </w:p>
        </w:tc>
      </w:tr>
      <w:tr>
        <w:trPr/>
        <w:tc>
          <w:tcPr>
            <w:tcW w:w="1742" w:type="dxa"/>
            <w:tcBorders/>
            <w:shd w:fill="auto" w:val="clear"/>
            <w:vAlign w:val="center"/>
          </w:tcPr>
          <w:p>
            <w:pPr>
              <w:pStyle w:val="TableContents"/>
              <w:spacing w:before="0" w:after="283"/>
              <w:rPr/>
            </w:pPr>
            <w:r>
              <w:rPr/>
              <w:t> </w:t>
            </w:r>
          </w:p>
        </w:tc>
        <w:tc>
          <w:tcPr>
            <w:tcW w:w="8463" w:type="dxa"/>
            <w:gridSpan w:val="10"/>
            <w:tcBorders/>
            <w:shd w:fill="auto" w:val="clear"/>
          </w:tcPr>
          <w:p>
            <w:pPr>
              <w:pStyle w:val="TableContents"/>
              <w:spacing w:before="0" w:after="283"/>
              <w:rPr>
                <w:sz w:val="4"/>
                <w:szCs w:val="4"/>
              </w:rPr>
            </w:pPr>
            <w:r>
              <w:rPr>
                <w:sz w:val="4"/>
                <w:szCs w:val="4"/>
              </w:rPr>
            </w:r>
          </w:p>
        </w:tc>
      </w:tr>
      <w:tr>
        <w:trPr/>
        <w:tc>
          <w:tcPr>
            <w:tcW w:w="1742" w:type="dxa"/>
            <w:tcBorders/>
            <w:shd w:fill="CCEEFF" w:val="clear"/>
          </w:tcPr>
          <w:p>
            <w:pPr>
              <w:pStyle w:val="TableContents"/>
              <w:spacing w:before="0" w:after="283"/>
              <w:jc w:val="left"/>
              <w:rPr/>
            </w:pPr>
            <w:r>
              <w:rPr/>
              <w:t>Daniel N. Tonissen</w:t>
            </w:r>
          </w:p>
        </w:tc>
        <w:tc>
          <w:tcPr>
            <w:tcW w:w="222" w:type="dxa"/>
            <w:tcBorders/>
            <w:shd w:fill="CCEEFF" w:val="clear"/>
            <w:vAlign w:val="bottom"/>
          </w:tcPr>
          <w:p>
            <w:pPr>
              <w:pStyle w:val="TableContents"/>
              <w:spacing w:before="0" w:after="283"/>
              <w:rPr/>
            </w:pPr>
            <w:r>
              <w:rPr/>
              <w:t> </w:t>
            </w:r>
          </w:p>
        </w:tc>
        <w:tc>
          <w:tcPr>
            <w:tcW w:w="2505" w:type="dxa"/>
            <w:tcBorders/>
            <w:shd w:fill="CCEEFF" w:val="clear"/>
            <w:vAlign w:val="bottom"/>
          </w:tcPr>
          <w:p>
            <w:pPr>
              <w:pStyle w:val="TableContents"/>
              <w:spacing w:before="0" w:after="0"/>
              <w:ind w:left="225" w:right="0" w:hanging="225"/>
              <w:rPr/>
            </w:pPr>
            <w:r>
              <w:rPr/>
              <w:t>Supplemental Executive Retirement Plan</w:t>
            </w:r>
          </w:p>
        </w:tc>
        <w:tc>
          <w:tcPr>
            <w:tcW w:w="222"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999" w:type="dxa"/>
            <w:tcBorders/>
            <w:shd w:fill="CCEEFF" w:val="clear"/>
            <w:vAlign w:val="bottom"/>
          </w:tcPr>
          <w:p>
            <w:pPr>
              <w:pStyle w:val="TableContents"/>
              <w:spacing w:before="0" w:after="283"/>
              <w:jc w:val="right"/>
              <w:rPr/>
            </w:pPr>
            <w:r>
              <w:rPr/>
              <w:t>13.1</w:t>
            </w:r>
          </w:p>
        </w:tc>
        <w:tc>
          <w:tcPr>
            <w:tcW w:w="36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054" w:type="dxa"/>
            <w:tcBorders/>
            <w:shd w:fill="CCEEFF" w:val="clear"/>
            <w:vAlign w:val="bottom"/>
          </w:tcPr>
          <w:p>
            <w:pPr>
              <w:pStyle w:val="TableContents"/>
              <w:spacing w:before="0" w:after="283"/>
              <w:jc w:val="right"/>
              <w:rPr/>
            </w:pPr>
            <w:r>
              <w:rPr/>
              <w:t>90,028</w:t>
            </w:r>
          </w:p>
        </w:tc>
        <w:tc>
          <w:tcPr>
            <w:tcW w:w="258" w:type="dxa"/>
            <w:tcBorders/>
            <w:shd w:fill="CCEEFF" w:val="clear"/>
            <w:vAlign w:val="bottom"/>
          </w:tcPr>
          <w:p>
            <w:pPr>
              <w:pStyle w:val="TableContents"/>
              <w:spacing w:before="0" w:after="283"/>
              <w:rPr/>
            </w:pPr>
            <w:r>
              <w:rPr/>
              <w:t> </w:t>
            </w:r>
          </w:p>
        </w:tc>
      </w:tr>
      <w:tr>
        <w:trPr/>
        <w:tc>
          <w:tcPr>
            <w:tcW w:w="1742" w:type="dxa"/>
            <w:tcBorders/>
            <w:shd w:fill="auto" w:val="clear"/>
            <w:vAlign w:val="center"/>
          </w:tcPr>
          <w:p>
            <w:pPr>
              <w:pStyle w:val="TableContents"/>
              <w:spacing w:before="0" w:after="283"/>
              <w:rPr/>
            </w:pPr>
            <w:r>
              <w:rPr/>
              <w:t> </w:t>
            </w:r>
          </w:p>
        </w:tc>
        <w:tc>
          <w:tcPr>
            <w:tcW w:w="8463" w:type="dxa"/>
            <w:gridSpan w:val="10"/>
            <w:tcBorders/>
            <w:shd w:fill="auto" w:val="clear"/>
          </w:tcPr>
          <w:p>
            <w:pPr>
              <w:pStyle w:val="TableContents"/>
              <w:spacing w:before="0" w:after="283"/>
              <w:rPr>
                <w:sz w:val="4"/>
                <w:szCs w:val="4"/>
              </w:rPr>
            </w:pPr>
            <w:r>
              <w:rPr>
                <w:sz w:val="4"/>
                <w:szCs w:val="4"/>
              </w:rPr>
            </w:r>
          </w:p>
        </w:tc>
      </w:tr>
      <w:tr>
        <w:trPr/>
        <w:tc>
          <w:tcPr>
            <w:tcW w:w="1742" w:type="dxa"/>
            <w:tcBorders/>
            <w:shd w:fill="auto" w:val="clear"/>
          </w:tcPr>
          <w:p>
            <w:pPr>
              <w:pStyle w:val="TableContents"/>
              <w:spacing w:before="0" w:after="283"/>
              <w:jc w:val="left"/>
              <w:rPr/>
            </w:pPr>
            <w:r>
              <w:rPr/>
              <w:t>Robert Kasenter</w:t>
            </w:r>
          </w:p>
        </w:tc>
        <w:tc>
          <w:tcPr>
            <w:tcW w:w="222" w:type="dxa"/>
            <w:tcBorders/>
            <w:shd w:fill="auto" w:val="clear"/>
            <w:vAlign w:val="bottom"/>
          </w:tcPr>
          <w:p>
            <w:pPr>
              <w:pStyle w:val="TableContents"/>
              <w:spacing w:before="0" w:after="283"/>
              <w:rPr/>
            </w:pPr>
            <w:r>
              <w:rPr/>
              <w:t> </w:t>
            </w:r>
          </w:p>
        </w:tc>
        <w:tc>
          <w:tcPr>
            <w:tcW w:w="2505" w:type="dxa"/>
            <w:tcBorders/>
            <w:shd w:fill="auto" w:val="clear"/>
            <w:vAlign w:val="bottom"/>
          </w:tcPr>
          <w:p>
            <w:pPr>
              <w:pStyle w:val="TableContents"/>
              <w:spacing w:before="0" w:after="0"/>
              <w:ind w:left="225" w:right="0" w:hanging="225"/>
              <w:rPr/>
            </w:pPr>
            <w:r>
              <w:rPr/>
              <w:t>Supplemental Executive Retirement Plan</w:t>
            </w:r>
          </w:p>
        </w:tc>
        <w:tc>
          <w:tcPr>
            <w:tcW w:w="22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99" w:type="dxa"/>
            <w:tcBorders/>
            <w:shd w:fill="auto" w:val="clear"/>
            <w:vAlign w:val="bottom"/>
          </w:tcPr>
          <w:p>
            <w:pPr>
              <w:pStyle w:val="TableContents"/>
              <w:spacing w:before="0" w:after="283"/>
              <w:jc w:val="right"/>
              <w:rPr/>
            </w:pPr>
            <w:r>
              <w:rPr/>
              <w:t>4.2</w:t>
            </w:r>
          </w:p>
        </w:tc>
        <w:tc>
          <w:tcPr>
            <w:tcW w:w="36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054" w:type="dxa"/>
            <w:tcBorders/>
            <w:shd w:fill="auto" w:val="clear"/>
            <w:vAlign w:val="bottom"/>
          </w:tcPr>
          <w:p>
            <w:pPr>
              <w:pStyle w:val="TableContents"/>
              <w:spacing w:before="0" w:after="283"/>
              <w:jc w:val="right"/>
              <w:rPr/>
            </w:pPr>
            <w:r>
              <w:rPr/>
              <w:t>75,788</w:t>
            </w:r>
          </w:p>
        </w:tc>
        <w:tc>
          <w:tcPr>
            <w:tcW w:w="258" w:type="dxa"/>
            <w:tcBorders/>
            <w:shd w:fill="auto" w:val="clear"/>
            <w:vAlign w:val="bottom"/>
          </w:tcPr>
          <w:p>
            <w:pPr>
              <w:pStyle w:val="TableContents"/>
              <w:spacing w:before="0" w:after="283"/>
              <w:rPr/>
            </w:pPr>
            <w:r>
              <w:rPr/>
              <w:t> </w:t>
            </w:r>
          </w:p>
        </w:tc>
      </w:tr>
      <w:tr>
        <w:trPr/>
        <w:tc>
          <w:tcPr>
            <w:tcW w:w="1742" w:type="dxa"/>
            <w:tcBorders/>
            <w:shd w:fill="auto" w:val="clear"/>
            <w:vAlign w:val="center"/>
          </w:tcPr>
          <w:p>
            <w:pPr>
              <w:pStyle w:val="TableContents"/>
              <w:spacing w:before="0" w:after="283"/>
              <w:rPr/>
            </w:pPr>
            <w:r>
              <w:rPr/>
              <w:t> </w:t>
            </w:r>
          </w:p>
        </w:tc>
        <w:tc>
          <w:tcPr>
            <w:tcW w:w="8463" w:type="dxa"/>
            <w:gridSpan w:val="10"/>
            <w:tcBorders/>
            <w:shd w:fill="auto" w:val="clear"/>
          </w:tcPr>
          <w:p>
            <w:pPr>
              <w:pStyle w:val="TableContents"/>
              <w:spacing w:before="0" w:after="283"/>
              <w:rPr>
                <w:sz w:val="4"/>
                <w:szCs w:val="4"/>
              </w:rPr>
            </w:pPr>
            <w:r>
              <w:rPr>
                <w:sz w:val="4"/>
                <w:szCs w:val="4"/>
              </w:rPr>
            </w:r>
          </w:p>
        </w:tc>
      </w:tr>
      <w:tr>
        <w:trPr/>
        <w:tc>
          <w:tcPr>
            <w:tcW w:w="1742" w:type="dxa"/>
            <w:tcBorders/>
            <w:shd w:fill="CCEEFF" w:val="clear"/>
          </w:tcPr>
          <w:p>
            <w:pPr>
              <w:pStyle w:val="TableContents"/>
              <w:spacing w:before="0" w:after="283"/>
              <w:jc w:val="left"/>
              <w:rPr/>
            </w:pPr>
            <w:r>
              <w:rPr/>
              <w:t>Eric Fosse</w:t>
            </w:r>
          </w:p>
        </w:tc>
        <w:tc>
          <w:tcPr>
            <w:tcW w:w="222" w:type="dxa"/>
            <w:tcBorders/>
            <w:shd w:fill="CCEEFF" w:val="clear"/>
            <w:vAlign w:val="bottom"/>
          </w:tcPr>
          <w:p>
            <w:pPr>
              <w:pStyle w:val="TableContents"/>
              <w:spacing w:before="0" w:after="283"/>
              <w:rPr/>
            </w:pPr>
            <w:r>
              <w:rPr/>
              <w:t> </w:t>
            </w:r>
          </w:p>
        </w:tc>
        <w:tc>
          <w:tcPr>
            <w:tcW w:w="2505" w:type="dxa"/>
            <w:tcBorders/>
            <w:shd w:fill="CCEEFF" w:val="clear"/>
            <w:vAlign w:val="bottom"/>
          </w:tcPr>
          <w:p>
            <w:pPr>
              <w:pStyle w:val="TableContents"/>
              <w:spacing w:before="0" w:after="0"/>
              <w:ind w:left="225" w:right="0" w:hanging="225"/>
              <w:rPr/>
            </w:pPr>
            <w:r>
              <w:rPr/>
              <w:t>Supplemental Executive Retirement Plan</w:t>
            </w:r>
          </w:p>
        </w:tc>
        <w:tc>
          <w:tcPr>
            <w:tcW w:w="222"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999" w:type="dxa"/>
            <w:tcBorders/>
            <w:shd w:fill="CCEEFF" w:val="clear"/>
            <w:vAlign w:val="bottom"/>
          </w:tcPr>
          <w:p>
            <w:pPr>
              <w:pStyle w:val="TableContents"/>
              <w:spacing w:before="0" w:after="283"/>
              <w:jc w:val="right"/>
              <w:rPr/>
            </w:pPr>
            <w:r>
              <w:rPr/>
              <w:t>3.0</w:t>
            </w:r>
          </w:p>
        </w:tc>
        <w:tc>
          <w:tcPr>
            <w:tcW w:w="36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054" w:type="dxa"/>
            <w:tcBorders/>
            <w:shd w:fill="CCEEFF" w:val="clear"/>
            <w:vAlign w:val="bottom"/>
          </w:tcPr>
          <w:p>
            <w:pPr>
              <w:pStyle w:val="TableContents"/>
              <w:spacing w:before="0" w:after="283"/>
              <w:jc w:val="right"/>
              <w:rPr/>
            </w:pPr>
            <w:r>
              <w:rPr/>
              <w:t>22,398</w:t>
            </w:r>
          </w:p>
        </w:tc>
        <w:tc>
          <w:tcPr>
            <w:tcW w:w="258" w:type="dxa"/>
            <w:tcBorders/>
            <w:shd w:fill="CCEEFF" w:val="clear"/>
            <w:vAlign w:val="bottom"/>
          </w:tcPr>
          <w:p>
            <w:pPr>
              <w:pStyle w:val="TableContents"/>
              <w:spacing w:before="0" w:after="283"/>
              <w:rPr/>
            </w:pPr>
            <w:r>
              <w:rPr/>
              <w:t> </w:t>
            </w:r>
          </w:p>
        </w:tc>
      </w:tr>
    </w:tbl>
    <w:p>
      <w:pPr>
        <w:pStyle w:val="TextBody"/>
        <w:spacing w:before="240" w:after="283"/>
        <w:jc w:val="left"/>
        <w:rPr>
          <w:rFonts w:ascii="Helvetica;Arial;sans-serif" w:hAnsi="Helvetica;Arial;sans-serif"/>
          <w:sz w:val="17"/>
        </w:rPr>
      </w:pPr>
      <w:r>
        <w:rPr>
          <w:rFonts w:ascii="Helvetica;Arial;sans-serif" w:hAnsi="Helvetica;Arial;sans-serif"/>
          <w:b/>
          <w:sz w:val="17"/>
        </w:rPr>
        <w:t>Option Exercises and Stock Vested in Fiscal 2007</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No stock awards vested in fiscal 2007. The following table shows the number and value of stock acquired on exercise of options in 2007: </w:t>
      </w:r>
    </w:p>
    <w:tbl>
      <w:tblPr>
        <w:tblW w:w="5000" w:type="pct"/>
        <w:jc w:val="center"/>
        <w:tblInd w:w="0" w:type="dxa"/>
        <w:tblCellMar>
          <w:top w:w="0" w:type="dxa"/>
          <w:left w:w="0" w:type="dxa"/>
          <w:bottom w:w="0" w:type="dxa"/>
          <w:right w:w="0" w:type="dxa"/>
        </w:tblCellMar>
      </w:tblPr>
      <w:tblGrid>
        <w:gridCol w:w="2405"/>
        <w:gridCol w:w="175"/>
        <w:gridCol w:w="340"/>
        <w:gridCol w:w="3644"/>
        <w:gridCol w:w="341"/>
        <w:gridCol w:w="175"/>
        <w:gridCol w:w="230"/>
        <w:gridCol w:w="2657"/>
        <w:gridCol w:w="238"/>
      </w:tblGrid>
      <w:tr>
        <w:trPr/>
        <w:tc>
          <w:tcPr>
            <w:tcW w:w="240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364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5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2405"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175" w:type="dxa"/>
            <w:tcBorders/>
            <w:shd w:fill="auto" w:val="clear"/>
            <w:vAlign w:val="bottom"/>
          </w:tcPr>
          <w:p>
            <w:pPr>
              <w:pStyle w:val="TableContents"/>
              <w:spacing w:before="0" w:after="283"/>
              <w:rPr/>
            </w:pPr>
            <w:r>
              <w:rPr/>
              <w:t> </w:t>
            </w:r>
          </w:p>
        </w:tc>
        <w:tc>
          <w:tcPr>
            <w:tcW w:w="7625"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Option Awards</w:t>
            </w:r>
          </w:p>
        </w:tc>
      </w:tr>
      <w:tr>
        <w:trPr/>
        <w:tc>
          <w:tcPr>
            <w:tcW w:w="2405"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175" w:type="dxa"/>
            <w:tcBorders/>
            <w:shd w:fill="auto" w:val="clear"/>
            <w:vAlign w:val="bottom"/>
          </w:tcPr>
          <w:p>
            <w:pPr>
              <w:pStyle w:val="TableContents"/>
              <w:spacing w:before="0" w:after="283"/>
              <w:rPr/>
            </w:pPr>
            <w:r>
              <w:rPr/>
              <w:t> </w:t>
            </w:r>
          </w:p>
        </w:tc>
        <w:tc>
          <w:tcPr>
            <w:tcW w:w="4325" w:type="dxa"/>
            <w:gridSpan w:val="3"/>
            <w:tcBorders>
              <w:bottom w:val="single" w:sz="2" w:space="0" w:color="000000"/>
            </w:tcBorders>
            <w:shd w:fill="auto" w:val="clear"/>
            <w:tcMar>
              <w:bottom w:w="28" w:type="dxa"/>
            </w:tcMar>
            <w:vAlign w:val="bottom"/>
          </w:tcPr>
          <w:p>
            <w:pPr>
              <w:pStyle w:val="TableContents"/>
              <w:spacing w:before="0" w:after="283"/>
              <w:jc w:val="center"/>
              <w:rPr/>
            </w:pPr>
            <w:r>
              <w:rPr/>
              <w:t>Number of Shares Acquired on Exercise (#)</w:t>
            </w:r>
          </w:p>
        </w:tc>
        <w:tc>
          <w:tcPr>
            <w:tcW w:w="175" w:type="dxa"/>
            <w:tcBorders/>
            <w:shd w:fill="auto" w:val="clear"/>
            <w:vAlign w:val="bottom"/>
          </w:tcPr>
          <w:p>
            <w:pPr>
              <w:pStyle w:val="TableContents"/>
              <w:spacing w:before="0" w:after="283"/>
              <w:rPr/>
            </w:pPr>
            <w:r>
              <w:rPr/>
              <w:t> </w:t>
            </w:r>
          </w:p>
        </w:tc>
        <w:tc>
          <w:tcPr>
            <w:tcW w:w="3125" w:type="dxa"/>
            <w:gridSpan w:val="3"/>
            <w:tcBorders>
              <w:bottom w:val="single" w:sz="2" w:space="0" w:color="000000"/>
            </w:tcBorders>
            <w:shd w:fill="auto" w:val="clear"/>
            <w:tcMar>
              <w:bottom w:w="28" w:type="dxa"/>
            </w:tcMar>
            <w:vAlign w:val="bottom"/>
          </w:tcPr>
          <w:p>
            <w:pPr>
              <w:pStyle w:val="TableContents"/>
              <w:spacing w:before="0" w:after="283"/>
              <w:jc w:val="center"/>
              <w:rPr/>
            </w:pPr>
            <w:r>
              <w:rPr/>
              <w:t>Value Realized on Exercise ($)</w:t>
            </w:r>
          </w:p>
        </w:tc>
      </w:tr>
      <w:tr>
        <w:trPr/>
        <w:tc>
          <w:tcPr>
            <w:tcW w:w="2405" w:type="dxa"/>
            <w:tcBorders/>
            <w:shd w:fill="CCEEFF" w:val="clear"/>
            <w:vAlign w:val="bottom"/>
          </w:tcPr>
          <w:p>
            <w:pPr>
              <w:pStyle w:val="TableContents"/>
              <w:spacing w:before="0" w:after="0"/>
              <w:ind w:left="225" w:right="0" w:hanging="225"/>
              <w:rPr/>
            </w:pPr>
            <w:r>
              <w:rPr/>
              <w:t>Joseph L. Rotunda</w:t>
            </w:r>
          </w:p>
        </w:tc>
        <w:tc>
          <w:tcPr>
            <w:tcW w:w="17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3644" w:type="dxa"/>
            <w:tcBorders/>
            <w:shd w:fill="CCEEFF" w:val="clear"/>
            <w:vAlign w:val="bottom"/>
          </w:tcPr>
          <w:p>
            <w:pPr>
              <w:pStyle w:val="TableContents"/>
              <w:spacing w:before="0" w:after="283"/>
              <w:jc w:val="right"/>
              <w:rPr/>
            </w:pPr>
            <w:r>
              <w:rPr/>
              <w:t></w:t>
            </w:r>
          </w:p>
        </w:tc>
        <w:tc>
          <w:tcPr>
            <w:tcW w:w="3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657" w:type="dxa"/>
            <w:tcBorders/>
            <w:shd w:fill="CCEEFF" w:val="clear"/>
            <w:vAlign w:val="bottom"/>
          </w:tcPr>
          <w:p>
            <w:pPr>
              <w:pStyle w:val="TableContents"/>
              <w:spacing w:before="0" w:after="283"/>
              <w:jc w:val="right"/>
              <w:rPr/>
            </w:pPr>
            <w:r>
              <w:rPr/>
              <w:t></w:t>
            </w:r>
          </w:p>
        </w:tc>
        <w:tc>
          <w:tcPr>
            <w:tcW w:w="238" w:type="dxa"/>
            <w:tcBorders/>
            <w:shd w:fill="CCEEFF" w:val="clear"/>
            <w:vAlign w:val="bottom"/>
          </w:tcPr>
          <w:p>
            <w:pPr>
              <w:pStyle w:val="TableContents"/>
              <w:spacing w:before="0" w:after="283"/>
              <w:rPr/>
            </w:pPr>
            <w:r>
              <w:rPr/>
              <w:t> </w:t>
            </w:r>
          </w:p>
        </w:tc>
      </w:tr>
      <w:tr>
        <w:trPr/>
        <w:tc>
          <w:tcPr>
            <w:tcW w:w="2405" w:type="dxa"/>
            <w:tcBorders/>
            <w:shd w:fill="auto" w:val="clear"/>
            <w:vAlign w:val="center"/>
          </w:tcPr>
          <w:p>
            <w:pPr>
              <w:pStyle w:val="TableContents"/>
              <w:spacing w:before="0" w:after="283"/>
              <w:rPr/>
            </w:pPr>
            <w:r>
              <w:rPr/>
              <w:t> </w:t>
            </w:r>
          </w:p>
        </w:tc>
        <w:tc>
          <w:tcPr>
            <w:tcW w:w="7800" w:type="dxa"/>
            <w:gridSpan w:val="8"/>
            <w:tcBorders/>
            <w:shd w:fill="auto" w:val="clear"/>
          </w:tcPr>
          <w:p>
            <w:pPr>
              <w:pStyle w:val="TableContents"/>
              <w:spacing w:before="0" w:after="283"/>
              <w:rPr>
                <w:sz w:val="4"/>
                <w:szCs w:val="4"/>
              </w:rPr>
            </w:pPr>
            <w:r>
              <w:rPr>
                <w:sz w:val="4"/>
                <w:szCs w:val="4"/>
              </w:rPr>
            </w:r>
          </w:p>
        </w:tc>
      </w:tr>
      <w:tr>
        <w:trPr/>
        <w:tc>
          <w:tcPr>
            <w:tcW w:w="2405" w:type="dxa"/>
            <w:tcBorders/>
            <w:shd w:fill="auto" w:val="clear"/>
            <w:vAlign w:val="bottom"/>
          </w:tcPr>
          <w:p>
            <w:pPr>
              <w:pStyle w:val="TableContents"/>
              <w:spacing w:before="0" w:after="0"/>
              <w:ind w:left="225" w:right="0" w:hanging="225"/>
              <w:rPr/>
            </w:pPr>
            <w:r>
              <w:rPr/>
              <w:t>Sterling B. Brinkley</w:t>
            </w:r>
          </w:p>
        </w:tc>
        <w:tc>
          <w:tcPr>
            <w:tcW w:w="17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3644" w:type="dxa"/>
            <w:tcBorders/>
            <w:shd w:fill="auto" w:val="clear"/>
            <w:vAlign w:val="bottom"/>
          </w:tcPr>
          <w:p>
            <w:pPr>
              <w:pStyle w:val="TableContents"/>
              <w:spacing w:before="0" w:after="283"/>
              <w:jc w:val="right"/>
              <w:rPr/>
            </w:pPr>
            <w:r>
              <w:rPr/>
              <w:t>300,000</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57" w:type="dxa"/>
            <w:tcBorders/>
            <w:shd w:fill="auto" w:val="clear"/>
            <w:vAlign w:val="bottom"/>
          </w:tcPr>
          <w:p>
            <w:pPr>
              <w:pStyle w:val="TableContents"/>
              <w:spacing w:before="0" w:after="283"/>
              <w:jc w:val="right"/>
              <w:rPr/>
            </w:pPr>
            <w:r>
              <w:rPr/>
              <w:t>4,261,558</w:t>
            </w:r>
          </w:p>
        </w:tc>
        <w:tc>
          <w:tcPr>
            <w:tcW w:w="238" w:type="dxa"/>
            <w:tcBorders/>
            <w:shd w:fill="auto" w:val="clear"/>
            <w:vAlign w:val="bottom"/>
          </w:tcPr>
          <w:p>
            <w:pPr>
              <w:pStyle w:val="TableContents"/>
              <w:spacing w:before="0" w:after="283"/>
              <w:rPr/>
            </w:pPr>
            <w:r>
              <w:rPr/>
              <w:t> </w:t>
            </w:r>
          </w:p>
        </w:tc>
      </w:tr>
      <w:tr>
        <w:trPr/>
        <w:tc>
          <w:tcPr>
            <w:tcW w:w="2405" w:type="dxa"/>
            <w:tcBorders/>
            <w:shd w:fill="auto" w:val="clear"/>
            <w:vAlign w:val="center"/>
          </w:tcPr>
          <w:p>
            <w:pPr>
              <w:pStyle w:val="TableContents"/>
              <w:spacing w:before="0" w:after="283"/>
              <w:rPr/>
            </w:pPr>
            <w:r>
              <w:rPr/>
              <w:t> </w:t>
            </w:r>
          </w:p>
        </w:tc>
        <w:tc>
          <w:tcPr>
            <w:tcW w:w="7800" w:type="dxa"/>
            <w:gridSpan w:val="8"/>
            <w:tcBorders/>
            <w:shd w:fill="auto" w:val="clear"/>
          </w:tcPr>
          <w:p>
            <w:pPr>
              <w:pStyle w:val="TableContents"/>
              <w:spacing w:before="0" w:after="283"/>
              <w:rPr>
                <w:sz w:val="4"/>
                <w:szCs w:val="4"/>
              </w:rPr>
            </w:pPr>
            <w:r>
              <w:rPr>
                <w:sz w:val="4"/>
                <w:szCs w:val="4"/>
              </w:rPr>
            </w:r>
          </w:p>
        </w:tc>
      </w:tr>
      <w:tr>
        <w:trPr/>
        <w:tc>
          <w:tcPr>
            <w:tcW w:w="2405" w:type="dxa"/>
            <w:tcBorders/>
            <w:shd w:fill="CCEEFF" w:val="clear"/>
            <w:vAlign w:val="bottom"/>
          </w:tcPr>
          <w:p>
            <w:pPr>
              <w:pStyle w:val="TableContents"/>
              <w:spacing w:before="0" w:after="0"/>
              <w:ind w:left="225" w:right="0" w:hanging="225"/>
              <w:rPr/>
            </w:pPr>
            <w:r>
              <w:rPr/>
              <w:t>Daniel N. Tonissen</w:t>
            </w:r>
          </w:p>
        </w:tc>
        <w:tc>
          <w:tcPr>
            <w:tcW w:w="17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3644" w:type="dxa"/>
            <w:tcBorders/>
            <w:shd w:fill="CCEEFF" w:val="clear"/>
            <w:vAlign w:val="bottom"/>
          </w:tcPr>
          <w:p>
            <w:pPr>
              <w:pStyle w:val="TableContents"/>
              <w:spacing w:before="0" w:after="283"/>
              <w:jc w:val="right"/>
              <w:rPr/>
            </w:pPr>
            <w:r>
              <w:rPr/>
              <w:t>267,000</w:t>
            </w:r>
          </w:p>
        </w:tc>
        <w:tc>
          <w:tcPr>
            <w:tcW w:w="3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657" w:type="dxa"/>
            <w:tcBorders/>
            <w:shd w:fill="CCEEFF" w:val="clear"/>
            <w:vAlign w:val="bottom"/>
          </w:tcPr>
          <w:p>
            <w:pPr>
              <w:pStyle w:val="TableContents"/>
              <w:spacing w:before="0" w:after="283"/>
              <w:jc w:val="right"/>
              <w:rPr/>
            </w:pPr>
            <w:r>
              <w:rPr/>
              <w:t>3,874,670</w:t>
            </w:r>
          </w:p>
        </w:tc>
        <w:tc>
          <w:tcPr>
            <w:tcW w:w="238" w:type="dxa"/>
            <w:tcBorders/>
            <w:shd w:fill="CCEEFF" w:val="clear"/>
            <w:vAlign w:val="bottom"/>
          </w:tcPr>
          <w:p>
            <w:pPr>
              <w:pStyle w:val="TableContents"/>
              <w:spacing w:before="0" w:after="283"/>
              <w:rPr/>
            </w:pPr>
            <w:r>
              <w:rPr/>
              <w:t> </w:t>
            </w:r>
          </w:p>
        </w:tc>
      </w:tr>
      <w:tr>
        <w:trPr/>
        <w:tc>
          <w:tcPr>
            <w:tcW w:w="2405" w:type="dxa"/>
            <w:tcBorders/>
            <w:shd w:fill="auto" w:val="clear"/>
            <w:vAlign w:val="center"/>
          </w:tcPr>
          <w:p>
            <w:pPr>
              <w:pStyle w:val="TableContents"/>
              <w:spacing w:before="0" w:after="283"/>
              <w:rPr/>
            </w:pPr>
            <w:r>
              <w:rPr/>
              <w:t> </w:t>
            </w:r>
          </w:p>
        </w:tc>
        <w:tc>
          <w:tcPr>
            <w:tcW w:w="7800" w:type="dxa"/>
            <w:gridSpan w:val="8"/>
            <w:tcBorders/>
            <w:shd w:fill="auto" w:val="clear"/>
          </w:tcPr>
          <w:p>
            <w:pPr>
              <w:pStyle w:val="TableContents"/>
              <w:spacing w:before="0" w:after="283"/>
              <w:rPr>
                <w:sz w:val="4"/>
                <w:szCs w:val="4"/>
              </w:rPr>
            </w:pPr>
            <w:r>
              <w:rPr>
                <w:sz w:val="4"/>
                <w:szCs w:val="4"/>
              </w:rPr>
            </w:r>
          </w:p>
        </w:tc>
      </w:tr>
      <w:tr>
        <w:trPr/>
        <w:tc>
          <w:tcPr>
            <w:tcW w:w="2405" w:type="dxa"/>
            <w:tcBorders/>
            <w:shd w:fill="auto" w:val="clear"/>
            <w:vAlign w:val="bottom"/>
          </w:tcPr>
          <w:p>
            <w:pPr>
              <w:pStyle w:val="TableContents"/>
              <w:spacing w:before="0" w:after="0"/>
              <w:ind w:left="225" w:right="0" w:hanging="225"/>
              <w:rPr/>
            </w:pPr>
            <w:r>
              <w:rPr/>
              <w:t>Robert Kasenter</w:t>
            </w:r>
          </w:p>
        </w:tc>
        <w:tc>
          <w:tcPr>
            <w:tcW w:w="17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3644" w:type="dxa"/>
            <w:tcBorders/>
            <w:shd w:fill="auto" w:val="clear"/>
            <w:vAlign w:val="bottom"/>
          </w:tcPr>
          <w:p>
            <w:pPr>
              <w:pStyle w:val="TableContents"/>
              <w:spacing w:before="0" w:after="283"/>
              <w:jc w:val="right"/>
              <w:rPr/>
            </w:pPr>
            <w:r>
              <w:rPr/>
              <w:t></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57" w:type="dxa"/>
            <w:tcBorders/>
            <w:shd w:fill="auto" w:val="clear"/>
            <w:vAlign w:val="bottom"/>
          </w:tcPr>
          <w:p>
            <w:pPr>
              <w:pStyle w:val="TableContents"/>
              <w:spacing w:before="0" w:after="283"/>
              <w:jc w:val="right"/>
              <w:rPr/>
            </w:pPr>
            <w:r>
              <w:rPr/>
              <w:t></w:t>
            </w:r>
          </w:p>
        </w:tc>
        <w:tc>
          <w:tcPr>
            <w:tcW w:w="238" w:type="dxa"/>
            <w:tcBorders/>
            <w:shd w:fill="auto" w:val="clear"/>
            <w:vAlign w:val="bottom"/>
          </w:tcPr>
          <w:p>
            <w:pPr>
              <w:pStyle w:val="TableContents"/>
              <w:spacing w:before="0" w:after="283"/>
              <w:rPr/>
            </w:pPr>
            <w:r>
              <w:rPr/>
              <w:t> </w:t>
            </w:r>
          </w:p>
        </w:tc>
      </w:tr>
      <w:tr>
        <w:trPr/>
        <w:tc>
          <w:tcPr>
            <w:tcW w:w="2405" w:type="dxa"/>
            <w:tcBorders/>
            <w:shd w:fill="auto" w:val="clear"/>
            <w:vAlign w:val="center"/>
          </w:tcPr>
          <w:p>
            <w:pPr>
              <w:pStyle w:val="TableContents"/>
              <w:spacing w:before="0" w:after="283"/>
              <w:rPr/>
            </w:pPr>
            <w:r>
              <w:rPr/>
              <w:t> </w:t>
            </w:r>
          </w:p>
        </w:tc>
        <w:tc>
          <w:tcPr>
            <w:tcW w:w="7800" w:type="dxa"/>
            <w:gridSpan w:val="8"/>
            <w:tcBorders/>
            <w:shd w:fill="auto" w:val="clear"/>
          </w:tcPr>
          <w:p>
            <w:pPr>
              <w:pStyle w:val="TableContents"/>
              <w:spacing w:before="0" w:after="283"/>
              <w:rPr>
                <w:sz w:val="4"/>
                <w:szCs w:val="4"/>
              </w:rPr>
            </w:pPr>
            <w:r>
              <w:rPr>
                <w:sz w:val="4"/>
                <w:szCs w:val="4"/>
              </w:rPr>
            </w:r>
          </w:p>
        </w:tc>
      </w:tr>
      <w:tr>
        <w:trPr/>
        <w:tc>
          <w:tcPr>
            <w:tcW w:w="2405" w:type="dxa"/>
            <w:tcBorders/>
            <w:shd w:fill="CCEEFF" w:val="clear"/>
            <w:vAlign w:val="bottom"/>
          </w:tcPr>
          <w:p>
            <w:pPr>
              <w:pStyle w:val="TableContents"/>
              <w:spacing w:before="0" w:after="0"/>
              <w:ind w:left="225" w:right="0" w:hanging="225"/>
              <w:rPr/>
            </w:pPr>
            <w:r>
              <w:rPr/>
              <w:t>Eric Fosse</w:t>
            </w:r>
          </w:p>
        </w:tc>
        <w:tc>
          <w:tcPr>
            <w:tcW w:w="17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3644" w:type="dxa"/>
            <w:tcBorders/>
            <w:shd w:fill="CCEEFF" w:val="clear"/>
            <w:vAlign w:val="bottom"/>
          </w:tcPr>
          <w:p>
            <w:pPr>
              <w:pStyle w:val="TableContents"/>
              <w:spacing w:before="0" w:after="283"/>
              <w:jc w:val="right"/>
              <w:rPr/>
            </w:pPr>
            <w:r>
              <w:rPr/>
              <w:t></w:t>
            </w:r>
          </w:p>
        </w:tc>
        <w:tc>
          <w:tcPr>
            <w:tcW w:w="3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657" w:type="dxa"/>
            <w:tcBorders/>
            <w:shd w:fill="CCEEFF" w:val="clear"/>
            <w:vAlign w:val="bottom"/>
          </w:tcPr>
          <w:p>
            <w:pPr>
              <w:pStyle w:val="TableContents"/>
              <w:spacing w:before="0" w:after="283"/>
              <w:jc w:val="right"/>
              <w:rPr/>
            </w:pPr>
            <w:r>
              <w:rPr/>
              <w:t></w:t>
            </w:r>
          </w:p>
        </w:tc>
        <w:tc>
          <w:tcPr>
            <w:tcW w:w="238" w:type="dxa"/>
            <w:tcBorders/>
            <w:shd w:fill="CCEEFF" w:val="clear"/>
            <w:vAlign w:val="bottom"/>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91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All Other Compensation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describes each component of the All Other Compensation column in the Summary Compensation Table. </w:t>
      </w:r>
    </w:p>
    <w:tbl>
      <w:tblPr>
        <w:tblW w:w="5000" w:type="pct"/>
        <w:jc w:val="center"/>
        <w:tblInd w:w="0" w:type="dxa"/>
        <w:tblCellMar>
          <w:top w:w="0" w:type="dxa"/>
          <w:left w:w="0" w:type="dxa"/>
          <w:bottom w:w="0" w:type="dxa"/>
          <w:right w:w="0" w:type="dxa"/>
        </w:tblCellMar>
      </w:tblPr>
      <w:tblGrid>
        <w:gridCol w:w="1537"/>
        <w:gridCol w:w="171"/>
        <w:gridCol w:w="126"/>
        <w:gridCol w:w="516"/>
        <w:gridCol w:w="126"/>
        <w:gridCol w:w="171"/>
        <w:gridCol w:w="171"/>
        <w:gridCol w:w="1199"/>
        <w:gridCol w:w="171"/>
        <w:gridCol w:w="171"/>
        <w:gridCol w:w="258"/>
        <w:gridCol w:w="1809"/>
        <w:gridCol w:w="260"/>
        <w:gridCol w:w="171"/>
        <w:gridCol w:w="243"/>
        <w:gridCol w:w="1685"/>
        <w:gridCol w:w="249"/>
        <w:gridCol w:w="171"/>
        <w:gridCol w:w="129"/>
        <w:gridCol w:w="732"/>
        <w:gridCol w:w="139"/>
      </w:tblGrid>
      <w:tr>
        <w:trPr/>
        <w:tc>
          <w:tcPr>
            <w:tcW w:w="153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809"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153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809"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177" w:type="dxa"/>
            <w:gridSpan w:val="3"/>
            <w:tcBorders/>
            <w:shd w:fill="auto" w:val="clear"/>
            <w:vAlign w:val="bottom"/>
          </w:tcPr>
          <w:p>
            <w:pPr>
              <w:pStyle w:val="TableContents"/>
              <w:spacing w:before="0" w:after="283"/>
              <w:jc w:val="center"/>
              <w:rPr/>
            </w:pPr>
            <w:r>
              <w:rPr/>
              <w:t>Company</w:t>
            </w:r>
          </w:p>
        </w:tc>
        <w:tc>
          <w:tcPr>
            <w:tcW w:w="171" w:type="dxa"/>
            <w:tcBorders/>
            <w:shd w:fill="auto" w:val="clear"/>
            <w:vAlign w:val="bottom"/>
          </w:tcPr>
          <w:p>
            <w:pPr>
              <w:pStyle w:val="TableContents"/>
              <w:spacing w:before="0" w:after="283"/>
              <w:rPr/>
            </w:pPr>
            <w:r>
              <w:rPr/>
              <w:t> </w:t>
            </w:r>
          </w:p>
        </w:tc>
        <w:tc>
          <w:tcPr>
            <w:tcW w:w="1000" w:type="dxa"/>
            <w:gridSpan w:val="3"/>
            <w:tcBorders/>
            <w:shd w:fill="auto" w:val="clear"/>
            <w:vAlign w:val="bottom"/>
          </w:tcPr>
          <w:p>
            <w:pPr>
              <w:pStyle w:val="TableContents"/>
              <w:spacing w:before="0" w:after="283"/>
              <w:jc w:val="center"/>
              <w:rPr/>
            </w:pPr>
            <w:r>
              <w:rPr/>
              <w:t> </w:t>
            </w:r>
          </w:p>
        </w:tc>
      </w:tr>
      <w:tr>
        <w:trPr/>
        <w:tc>
          <w:tcPr>
            <w:tcW w:w="153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327" w:type="dxa"/>
            <w:gridSpan w:val="3"/>
            <w:tcBorders/>
            <w:shd w:fill="auto" w:val="clear"/>
            <w:vAlign w:val="bottom"/>
          </w:tcPr>
          <w:p>
            <w:pPr>
              <w:pStyle w:val="TableContents"/>
              <w:spacing w:before="0" w:after="283"/>
              <w:jc w:val="center"/>
              <w:rPr/>
            </w:pPr>
            <w:r>
              <w:rPr/>
              <w:t>Value of Supplemental</w:t>
            </w:r>
          </w:p>
        </w:tc>
        <w:tc>
          <w:tcPr>
            <w:tcW w:w="171" w:type="dxa"/>
            <w:tcBorders/>
            <w:shd w:fill="auto" w:val="clear"/>
            <w:vAlign w:val="bottom"/>
          </w:tcPr>
          <w:p>
            <w:pPr>
              <w:pStyle w:val="TableContents"/>
              <w:spacing w:before="0" w:after="283"/>
              <w:rPr/>
            </w:pPr>
            <w:r>
              <w:rPr/>
              <w:t> </w:t>
            </w:r>
          </w:p>
        </w:tc>
        <w:tc>
          <w:tcPr>
            <w:tcW w:w="2177" w:type="dxa"/>
            <w:gridSpan w:val="3"/>
            <w:tcBorders/>
            <w:shd w:fill="auto" w:val="clear"/>
            <w:vAlign w:val="bottom"/>
          </w:tcPr>
          <w:p>
            <w:pPr>
              <w:pStyle w:val="TableContents"/>
              <w:spacing w:before="0" w:after="283"/>
              <w:jc w:val="center"/>
              <w:rPr/>
            </w:pPr>
            <w:r>
              <w:rPr/>
              <w:t>Contributions to</w:t>
            </w:r>
          </w:p>
        </w:tc>
        <w:tc>
          <w:tcPr>
            <w:tcW w:w="171" w:type="dxa"/>
            <w:tcBorders/>
            <w:shd w:fill="auto" w:val="clear"/>
            <w:vAlign w:val="bottom"/>
          </w:tcPr>
          <w:p>
            <w:pPr>
              <w:pStyle w:val="TableContents"/>
              <w:spacing w:before="0" w:after="283"/>
              <w:rPr/>
            </w:pPr>
            <w:r>
              <w:rPr/>
              <w:t> </w:t>
            </w:r>
          </w:p>
        </w:tc>
        <w:tc>
          <w:tcPr>
            <w:tcW w:w="1000" w:type="dxa"/>
            <w:gridSpan w:val="3"/>
            <w:tcBorders/>
            <w:shd w:fill="auto" w:val="clear"/>
            <w:vAlign w:val="bottom"/>
          </w:tcPr>
          <w:p>
            <w:pPr>
              <w:pStyle w:val="TableContents"/>
              <w:spacing w:before="0" w:after="283"/>
              <w:jc w:val="center"/>
              <w:rPr/>
            </w:pPr>
            <w:r>
              <w:rPr/>
              <w:t> </w:t>
            </w:r>
          </w:p>
        </w:tc>
      </w:tr>
      <w:tr>
        <w:trPr/>
        <w:tc>
          <w:tcPr>
            <w:tcW w:w="153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541" w:type="dxa"/>
            <w:gridSpan w:val="3"/>
            <w:tcBorders/>
            <w:shd w:fill="auto" w:val="clear"/>
            <w:vAlign w:val="bottom"/>
          </w:tcPr>
          <w:p>
            <w:pPr>
              <w:pStyle w:val="TableContents"/>
              <w:spacing w:before="0" w:after="283"/>
              <w:jc w:val="center"/>
              <w:rPr/>
            </w:pPr>
            <w:r>
              <w:rPr/>
              <w:t>Other Benefits</w:t>
            </w:r>
          </w:p>
        </w:tc>
        <w:tc>
          <w:tcPr>
            <w:tcW w:w="171" w:type="dxa"/>
            <w:tcBorders/>
            <w:shd w:fill="auto" w:val="clear"/>
            <w:vAlign w:val="bottom"/>
          </w:tcPr>
          <w:p>
            <w:pPr>
              <w:pStyle w:val="TableContents"/>
              <w:spacing w:before="0" w:after="283"/>
              <w:rPr/>
            </w:pPr>
            <w:r>
              <w:rPr/>
              <w:t> </w:t>
            </w:r>
          </w:p>
        </w:tc>
        <w:tc>
          <w:tcPr>
            <w:tcW w:w="2327" w:type="dxa"/>
            <w:gridSpan w:val="3"/>
            <w:tcBorders/>
            <w:shd w:fill="auto" w:val="clear"/>
            <w:vAlign w:val="bottom"/>
          </w:tcPr>
          <w:p>
            <w:pPr>
              <w:pStyle w:val="TableContents"/>
              <w:spacing w:before="0" w:after="283"/>
              <w:jc w:val="center"/>
              <w:rPr/>
            </w:pPr>
            <w:r>
              <w:rPr/>
              <w:t>Life Insurance</w:t>
            </w:r>
          </w:p>
        </w:tc>
        <w:tc>
          <w:tcPr>
            <w:tcW w:w="171" w:type="dxa"/>
            <w:tcBorders/>
            <w:shd w:fill="auto" w:val="clear"/>
            <w:vAlign w:val="bottom"/>
          </w:tcPr>
          <w:p>
            <w:pPr>
              <w:pStyle w:val="TableContents"/>
              <w:spacing w:before="0" w:after="283"/>
              <w:rPr/>
            </w:pPr>
            <w:r>
              <w:rPr/>
              <w:t> </w:t>
            </w:r>
          </w:p>
        </w:tc>
        <w:tc>
          <w:tcPr>
            <w:tcW w:w="2177" w:type="dxa"/>
            <w:gridSpan w:val="3"/>
            <w:tcBorders/>
            <w:shd w:fill="auto" w:val="clear"/>
            <w:vAlign w:val="bottom"/>
          </w:tcPr>
          <w:p>
            <w:pPr>
              <w:pStyle w:val="TableContents"/>
              <w:spacing w:before="0" w:after="283"/>
              <w:jc w:val="center"/>
              <w:rPr/>
            </w:pPr>
            <w:r>
              <w:rPr/>
              <w:t>Defined Contribution</w:t>
            </w:r>
          </w:p>
        </w:tc>
        <w:tc>
          <w:tcPr>
            <w:tcW w:w="171" w:type="dxa"/>
            <w:tcBorders/>
            <w:shd w:fill="auto" w:val="clear"/>
            <w:vAlign w:val="bottom"/>
          </w:tcPr>
          <w:p>
            <w:pPr>
              <w:pStyle w:val="TableContents"/>
              <w:spacing w:before="0" w:after="283"/>
              <w:rPr/>
            </w:pPr>
            <w:r>
              <w:rPr/>
              <w:t> </w:t>
            </w:r>
          </w:p>
        </w:tc>
        <w:tc>
          <w:tcPr>
            <w:tcW w:w="1000" w:type="dxa"/>
            <w:gridSpan w:val="3"/>
            <w:tcBorders/>
            <w:shd w:fill="auto" w:val="clear"/>
            <w:vAlign w:val="bottom"/>
          </w:tcPr>
          <w:p>
            <w:pPr>
              <w:pStyle w:val="TableContents"/>
              <w:spacing w:before="0" w:after="283"/>
              <w:jc w:val="center"/>
              <w:rPr/>
            </w:pPr>
            <w:r>
              <w:rPr/>
              <w:t> </w:t>
            </w:r>
          </w:p>
        </w:tc>
      </w:tr>
      <w:tr>
        <w:trPr/>
        <w:tc>
          <w:tcPr>
            <w:tcW w:w="1537"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171" w:type="dxa"/>
            <w:tcBorders/>
            <w:shd w:fill="auto" w:val="clear"/>
            <w:vAlign w:val="bottom"/>
          </w:tcPr>
          <w:p>
            <w:pPr>
              <w:pStyle w:val="TableContents"/>
              <w:spacing w:before="0" w:after="283"/>
              <w:rPr/>
            </w:pPr>
            <w:r>
              <w:rPr/>
              <w:t> </w:t>
            </w:r>
          </w:p>
        </w:tc>
        <w:tc>
          <w:tcPr>
            <w:tcW w:w="768" w:type="dxa"/>
            <w:gridSpan w:val="3"/>
            <w:tcBorders>
              <w:bottom w:val="single" w:sz="2" w:space="0" w:color="000000"/>
            </w:tcBorders>
            <w:shd w:fill="auto" w:val="clear"/>
            <w:tcMar>
              <w:bottom w:w="28" w:type="dxa"/>
            </w:tcMar>
            <w:vAlign w:val="bottom"/>
          </w:tcPr>
          <w:p>
            <w:pPr>
              <w:pStyle w:val="TableContents"/>
              <w:spacing w:before="0" w:after="283"/>
              <w:jc w:val="center"/>
              <w:rPr/>
            </w:pPr>
            <w:r>
              <w:rPr/>
              <w:t>Year</w:t>
            </w:r>
          </w:p>
        </w:tc>
        <w:tc>
          <w:tcPr>
            <w:tcW w:w="171" w:type="dxa"/>
            <w:tcBorders/>
            <w:shd w:fill="auto" w:val="clear"/>
            <w:vAlign w:val="bottom"/>
          </w:tcPr>
          <w:p>
            <w:pPr>
              <w:pStyle w:val="TableContents"/>
              <w:spacing w:before="0" w:after="283"/>
              <w:rPr/>
            </w:pPr>
            <w:r>
              <w:rPr/>
              <w:t> </w:t>
            </w:r>
          </w:p>
        </w:tc>
        <w:tc>
          <w:tcPr>
            <w:tcW w:w="1541" w:type="dxa"/>
            <w:gridSpan w:val="3"/>
            <w:tcBorders>
              <w:bottom w:val="single" w:sz="2" w:space="0" w:color="000000"/>
            </w:tcBorders>
            <w:shd w:fill="auto" w:val="clear"/>
            <w:tcMar>
              <w:bottom w:w="28" w:type="dxa"/>
            </w:tcMar>
            <w:vAlign w:val="bottom"/>
          </w:tcPr>
          <w:p>
            <w:pPr>
              <w:pStyle w:val="TableContents"/>
              <w:spacing w:before="0" w:after="283"/>
              <w:jc w:val="center"/>
              <w:rPr/>
            </w:pPr>
            <w:r>
              <w:rPr/>
              <w:t>($) (1)</w:t>
            </w:r>
          </w:p>
        </w:tc>
        <w:tc>
          <w:tcPr>
            <w:tcW w:w="171" w:type="dxa"/>
            <w:tcBorders/>
            <w:shd w:fill="auto" w:val="clear"/>
            <w:vAlign w:val="bottom"/>
          </w:tcPr>
          <w:p>
            <w:pPr>
              <w:pStyle w:val="TableContents"/>
              <w:spacing w:before="0" w:after="283"/>
              <w:rPr/>
            </w:pPr>
            <w:r>
              <w:rPr/>
              <w:t> </w:t>
            </w:r>
          </w:p>
        </w:tc>
        <w:tc>
          <w:tcPr>
            <w:tcW w:w="2327" w:type="dxa"/>
            <w:gridSpan w:val="3"/>
            <w:tcBorders>
              <w:bottom w:val="single" w:sz="2" w:space="0" w:color="000000"/>
            </w:tcBorders>
            <w:shd w:fill="auto" w:val="clear"/>
            <w:tcMar>
              <w:bottom w:w="28" w:type="dxa"/>
            </w:tcMar>
            <w:vAlign w:val="bottom"/>
          </w:tcPr>
          <w:p>
            <w:pPr>
              <w:pStyle w:val="TableContents"/>
              <w:spacing w:before="0" w:after="283"/>
              <w:jc w:val="center"/>
              <w:rPr/>
            </w:pPr>
            <w:r>
              <w:rPr/>
              <w:t>Premiums ($) (2)</w:t>
            </w:r>
          </w:p>
        </w:tc>
        <w:tc>
          <w:tcPr>
            <w:tcW w:w="171" w:type="dxa"/>
            <w:tcBorders/>
            <w:shd w:fill="auto" w:val="clear"/>
            <w:vAlign w:val="bottom"/>
          </w:tcPr>
          <w:p>
            <w:pPr>
              <w:pStyle w:val="TableContents"/>
              <w:spacing w:before="0" w:after="283"/>
              <w:rPr/>
            </w:pPr>
            <w:r>
              <w:rPr/>
              <w:t> </w:t>
            </w:r>
          </w:p>
        </w:tc>
        <w:tc>
          <w:tcPr>
            <w:tcW w:w="2177" w:type="dxa"/>
            <w:gridSpan w:val="3"/>
            <w:tcBorders>
              <w:bottom w:val="single" w:sz="2" w:space="0" w:color="000000"/>
            </w:tcBorders>
            <w:shd w:fill="auto" w:val="clear"/>
            <w:tcMar>
              <w:bottom w:w="28" w:type="dxa"/>
            </w:tcMar>
            <w:vAlign w:val="bottom"/>
          </w:tcPr>
          <w:p>
            <w:pPr>
              <w:pStyle w:val="TableContents"/>
              <w:spacing w:before="0" w:after="283"/>
              <w:jc w:val="center"/>
              <w:rPr/>
            </w:pPr>
            <w:r>
              <w:rPr/>
              <w:t>Plans ($)</w:t>
            </w:r>
          </w:p>
        </w:tc>
        <w:tc>
          <w:tcPr>
            <w:tcW w:w="171" w:type="dxa"/>
            <w:tcBorders/>
            <w:shd w:fill="auto" w:val="clear"/>
            <w:vAlign w:val="bottom"/>
          </w:tcPr>
          <w:p>
            <w:pPr>
              <w:pStyle w:val="TableContents"/>
              <w:spacing w:before="0" w:after="283"/>
              <w:rPr/>
            </w:pPr>
            <w:r>
              <w:rPr/>
              <w:t> </w:t>
            </w:r>
          </w:p>
        </w:tc>
        <w:tc>
          <w:tcPr>
            <w:tcW w:w="1000"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 ($)</w:t>
            </w:r>
          </w:p>
        </w:tc>
      </w:tr>
      <w:tr>
        <w:trPr/>
        <w:tc>
          <w:tcPr>
            <w:tcW w:w="1537" w:type="dxa"/>
            <w:tcBorders/>
            <w:shd w:fill="CCEEFF" w:val="clear"/>
            <w:vAlign w:val="bottom"/>
          </w:tcPr>
          <w:p>
            <w:pPr>
              <w:pStyle w:val="TableContents"/>
              <w:spacing w:before="0" w:after="0"/>
              <w:ind w:left="225" w:right="0" w:hanging="225"/>
              <w:rPr/>
            </w:pPr>
            <w:r>
              <w:rPr/>
              <w:t>Joseph L. Rotunda</w:t>
            </w:r>
          </w:p>
        </w:tc>
        <w:tc>
          <w:tcPr>
            <w:tcW w:w="17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spacing w:before="0" w:after="283"/>
              <w:jc w:val="right"/>
              <w:rPr/>
            </w:pPr>
            <w:r>
              <w:rPr/>
              <w:t>2007</w:t>
            </w:r>
          </w:p>
        </w:tc>
        <w:tc>
          <w:tcPr>
            <w:tcW w:w="12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jc w:val="right"/>
              <w:rPr/>
            </w:pPr>
            <w:r>
              <w:rPr/>
              <w:t>40,424</w:t>
            </w:r>
          </w:p>
        </w:tc>
        <w:tc>
          <w:tcPr>
            <w:tcW w:w="1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809" w:type="dxa"/>
            <w:tcBorders/>
            <w:shd w:fill="CCEEFF" w:val="clear"/>
            <w:vAlign w:val="bottom"/>
          </w:tcPr>
          <w:p>
            <w:pPr>
              <w:pStyle w:val="TableContents"/>
              <w:spacing w:before="0" w:after="283"/>
              <w:jc w:val="right"/>
              <w:rPr/>
            </w:pPr>
            <w:r>
              <w:rPr/>
              <w:t>3,600</w:t>
            </w:r>
          </w:p>
        </w:tc>
        <w:tc>
          <w:tcPr>
            <w:tcW w:w="2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jc w:val="right"/>
              <w:rPr/>
            </w:pPr>
            <w:r>
              <w:rPr/>
              <w:t>799</w:t>
            </w:r>
          </w:p>
        </w:tc>
        <w:tc>
          <w:tcPr>
            <w:tcW w:w="24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pPr>
            <w:r>
              <w:rPr/>
              <w:t>44,823</w:t>
            </w:r>
          </w:p>
        </w:tc>
        <w:tc>
          <w:tcPr>
            <w:tcW w:w="139" w:type="dxa"/>
            <w:tcBorders/>
            <w:shd w:fill="CCEEFF" w:val="clear"/>
            <w:vAlign w:val="bottom"/>
          </w:tcPr>
          <w:p>
            <w:pPr>
              <w:pStyle w:val="TableContents"/>
              <w:spacing w:before="0" w:after="283"/>
              <w:rPr/>
            </w:pPr>
            <w:r>
              <w:rPr/>
              <w:t> </w:t>
            </w:r>
          </w:p>
        </w:tc>
      </w:tr>
      <w:tr>
        <w:trPr/>
        <w:tc>
          <w:tcPr>
            <w:tcW w:w="1537" w:type="dxa"/>
            <w:tcBorders/>
            <w:shd w:fill="auto" w:val="clear"/>
            <w:vAlign w:val="center"/>
          </w:tcPr>
          <w:p>
            <w:pPr>
              <w:pStyle w:val="TableContents"/>
              <w:spacing w:before="0" w:after="283"/>
              <w:rPr/>
            </w:pPr>
            <w:r>
              <w:rPr/>
              <w:t> </w:t>
            </w:r>
          </w:p>
        </w:tc>
        <w:tc>
          <w:tcPr>
            <w:tcW w:w="8668" w:type="dxa"/>
            <w:gridSpan w:val="20"/>
            <w:tcBorders/>
            <w:shd w:fill="auto" w:val="clear"/>
          </w:tcPr>
          <w:p>
            <w:pPr>
              <w:pStyle w:val="TableContents"/>
              <w:spacing w:before="0" w:after="283"/>
              <w:rPr>
                <w:sz w:val="4"/>
                <w:szCs w:val="4"/>
              </w:rPr>
            </w:pPr>
            <w:r>
              <w:rPr>
                <w:sz w:val="4"/>
                <w:szCs w:val="4"/>
              </w:rPr>
            </w:r>
          </w:p>
        </w:tc>
      </w:tr>
      <w:tr>
        <w:trPr/>
        <w:tc>
          <w:tcPr>
            <w:tcW w:w="1537" w:type="dxa"/>
            <w:tcBorders/>
            <w:shd w:fill="auto" w:val="clear"/>
            <w:vAlign w:val="bottom"/>
          </w:tcPr>
          <w:p>
            <w:pPr>
              <w:pStyle w:val="TableContents"/>
              <w:spacing w:before="0" w:after="0"/>
              <w:ind w:left="225" w:right="0" w:hanging="225"/>
              <w:rPr/>
            </w:pPr>
            <w:r>
              <w:rPr/>
              <w:t>Sterling B. Brinkley</w:t>
            </w:r>
          </w:p>
        </w:tc>
        <w:tc>
          <w:tcPr>
            <w:tcW w:w="17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pPr>
            <w:r>
              <w:rPr/>
              <w:t>2007</w:t>
            </w:r>
          </w:p>
        </w:tc>
        <w:tc>
          <w:tcPr>
            <w:tcW w:w="12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jc w:val="right"/>
              <w:rPr/>
            </w:pPr>
            <w:r>
              <w:rPr/>
              <w:t>39,600</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809" w:type="dxa"/>
            <w:tcBorders/>
            <w:shd w:fill="auto" w:val="clear"/>
            <w:vAlign w:val="bottom"/>
          </w:tcPr>
          <w:p>
            <w:pPr>
              <w:pStyle w:val="TableContents"/>
              <w:spacing w:before="0" w:after="283"/>
              <w:jc w:val="right"/>
              <w:rPr/>
            </w:pPr>
            <w:r>
              <w:rPr/>
              <w:t>3,600</w:t>
            </w:r>
          </w:p>
        </w:tc>
        <w:tc>
          <w:tcPr>
            <w:tcW w:w="2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jc w:val="right"/>
              <w:rPr/>
            </w:pPr>
            <w:r>
              <w:rPr/>
              <w:t></w:t>
            </w:r>
          </w:p>
        </w:tc>
        <w:tc>
          <w:tcPr>
            <w:tcW w:w="24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pPr>
            <w:r>
              <w:rPr/>
              <w:t>43,200</w:t>
            </w:r>
          </w:p>
        </w:tc>
        <w:tc>
          <w:tcPr>
            <w:tcW w:w="139" w:type="dxa"/>
            <w:tcBorders/>
            <w:shd w:fill="auto" w:val="clear"/>
            <w:vAlign w:val="bottom"/>
          </w:tcPr>
          <w:p>
            <w:pPr>
              <w:pStyle w:val="TableContents"/>
              <w:spacing w:before="0" w:after="283"/>
              <w:rPr/>
            </w:pPr>
            <w:r>
              <w:rPr/>
              <w:t> </w:t>
            </w:r>
          </w:p>
        </w:tc>
      </w:tr>
      <w:tr>
        <w:trPr/>
        <w:tc>
          <w:tcPr>
            <w:tcW w:w="1537" w:type="dxa"/>
            <w:tcBorders/>
            <w:shd w:fill="auto" w:val="clear"/>
            <w:vAlign w:val="center"/>
          </w:tcPr>
          <w:p>
            <w:pPr>
              <w:pStyle w:val="TableContents"/>
              <w:spacing w:before="0" w:after="283"/>
              <w:rPr/>
            </w:pPr>
            <w:r>
              <w:rPr/>
              <w:t> </w:t>
            </w:r>
          </w:p>
        </w:tc>
        <w:tc>
          <w:tcPr>
            <w:tcW w:w="8668" w:type="dxa"/>
            <w:gridSpan w:val="20"/>
            <w:tcBorders/>
            <w:shd w:fill="auto" w:val="clear"/>
          </w:tcPr>
          <w:p>
            <w:pPr>
              <w:pStyle w:val="TableContents"/>
              <w:spacing w:before="0" w:after="283"/>
              <w:rPr>
                <w:sz w:val="4"/>
                <w:szCs w:val="4"/>
              </w:rPr>
            </w:pPr>
            <w:r>
              <w:rPr>
                <w:sz w:val="4"/>
                <w:szCs w:val="4"/>
              </w:rPr>
            </w:r>
          </w:p>
        </w:tc>
      </w:tr>
      <w:tr>
        <w:trPr/>
        <w:tc>
          <w:tcPr>
            <w:tcW w:w="1537" w:type="dxa"/>
            <w:tcBorders/>
            <w:shd w:fill="CCEEFF" w:val="clear"/>
            <w:vAlign w:val="bottom"/>
          </w:tcPr>
          <w:p>
            <w:pPr>
              <w:pStyle w:val="TableContents"/>
              <w:spacing w:before="0" w:after="0"/>
              <w:ind w:left="225" w:right="0" w:hanging="225"/>
              <w:rPr/>
            </w:pPr>
            <w:r>
              <w:rPr/>
              <w:t>Daniel N. Tonissen</w:t>
            </w:r>
          </w:p>
        </w:tc>
        <w:tc>
          <w:tcPr>
            <w:tcW w:w="17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spacing w:before="0" w:after="283"/>
              <w:jc w:val="right"/>
              <w:rPr/>
            </w:pPr>
            <w:r>
              <w:rPr/>
              <w:t>2007</w:t>
            </w:r>
          </w:p>
        </w:tc>
        <w:tc>
          <w:tcPr>
            <w:tcW w:w="12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jc w:val="right"/>
              <w:rPr/>
            </w:pPr>
            <w:r>
              <w:rPr/>
              <w:t>18,000</w:t>
            </w:r>
          </w:p>
        </w:tc>
        <w:tc>
          <w:tcPr>
            <w:tcW w:w="1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809" w:type="dxa"/>
            <w:tcBorders/>
            <w:shd w:fill="CCEEFF" w:val="clear"/>
            <w:vAlign w:val="bottom"/>
          </w:tcPr>
          <w:p>
            <w:pPr>
              <w:pStyle w:val="TableContents"/>
              <w:spacing w:before="0" w:after="283"/>
              <w:jc w:val="right"/>
              <w:rPr/>
            </w:pPr>
            <w:r>
              <w:rPr/>
              <w:t>3,488</w:t>
            </w:r>
          </w:p>
        </w:tc>
        <w:tc>
          <w:tcPr>
            <w:tcW w:w="2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jc w:val="right"/>
              <w:rPr/>
            </w:pPr>
            <w:r>
              <w:rPr/>
              <w:t>1,350</w:t>
            </w:r>
          </w:p>
        </w:tc>
        <w:tc>
          <w:tcPr>
            <w:tcW w:w="24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pPr>
            <w:r>
              <w:rPr/>
              <w:t>22,838</w:t>
            </w:r>
          </w:p>
        </w:tc>
        <w:tc>
          <w:tcPr>
            <w:tcW w:w="139" w:type="dxa"/>
            <w:tcBorders/>
            <w:shd w:fill="CCEEFF" w:val="clear"/>
            <w:vAlign w:val="bottom"/>
          </w:tcPr>
          <w:p>
            <w:pPr>
              <w:pStyle w:val="TableContents"/>
              <w:spacing w:before="0" w:after="283"/>
              <w:rPr/>
            </w:pPr>
            <w:r>
              <w:rPr/>
              <w:t> </w:t>
            </w:r>
          </w:p>
        </w:tc>
      </w:tr>
      <w:tr>
        <w:trPr/>
        <w:tc>
          <w:tcPr>
            <w:tcW w:w="1537" w:type="dxa"/>
            <w:tcBorders/>
            <w:shd w:fill="auto" w:val="clear"/>
            <w:vAlign w:val="center"/>
          </w:tcPr>
          <w:p>
            <w:pPr>
              <w:pStyle w:val="TableContents"/>
              <w:spacing w:before="0" w:after="283"/>
              <w:rPr/>
            </w:pPr>
            <w:r>
              <w:rPr/>
              <w:t> </w:t>
            </w:r>
          </w:p>
        </w:tc>
        <w:tc>
          <w:tcPr>
            <w:tcW w:w="8668" w:type="dxa"/>
            <w:gridSpan w:val="20"/>
            <w:tcBorders/>
            <w:shd w:fill="auto" w:val="clear"/>
          </w:tcPr>
          <w:p>
            <w:pPr>
              <w:pStyle w:val="TableContents"/>
              <w:spacing w:before="0" w:after="283"/>
              <w:rPr>
                <w:sz w:val="4"/>
                <w:szCs w:val="4"/>
              </w:rPr>
            </w:pPr>
            <w:r>
              <w:rPr>
                <w:sz w:val="4"/>
                <w:szCs w:val="4"/>
              </w:rPr>
            </w:r>
          </w:p>
        </w:tc>
      </w:tr>
      <w:tr>
        <w:trPr/>
        <w:tc>
          <w:tcPr>
            <w:tcW w:w="1537" w:type="dxa"/>
            <w:tcBorders/>
            <w:shd w:fill="auto" w:val="clear"/>
            <w:vAlign w:val="bottom"/>
          </w:tcPr>
          <w:p>
            <w:pPr>
              <w:pStyle w:val="TableContents"/>
              <w:spacing w:before="0" w:after="0"/>
              <w:ind w:left="225" w:right="0" w:hanging="225"/>
              <w:rPr/>
            </w:pPr>
            <w:r>
              <w:rPr/>
              <w:t>Robert Kasenter</w:t>
            </w:r>
          </w:p>
        </w:tc>
        <w:tc>
          <w:tcPr>
            <w:tcW w:w="17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pPr>
            <w:r>
              <w:rPr/>
              <w:t>2007</w:t>
            </w:r>
          </w:p>
        </w:tc>
        <w:tc>
          <w:tcPr>
            <w:tcW w:w="12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jc w:val="right"/>
              <w:rPr/>
            </w:pPr>
            <w:r>
              <w:rPr/>
              <w:t>18,000</w:t>
            </w:r>
          </w:p>
        </w:tc>
        <w:tc>
          <w:tcPr>
            <w:tcW w:w="17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809" w:type="dxa"/>
            <w:tcBorders/>
            <w:shd w:fill="auto" w:val="clear"/>
            <w:vAlign w:val="bottom"/>
          </w:tcPr>
          <w:p>
            <w:pPr>
              <w:pStyle w:val="TableContents"/>
              <w:spacing w:before="0" w:after="283"/>
              <w:jc w:val="right"/>
              <w:rPr/>
            </w:pPr>
            <w:r>
              <w:rPr/>
              <w:t>2,592</w:t>
            </w:r>
          </w:p>
        </w:tc>
        <w:tc>
          <w:tcPr>
            <w:tcW w:w="2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jc w:val="right"/>
              <w:rPr/>
            </w:pPr>
            <w:r>
              <w:rPr/>
              <w:t>937</w:t>
            </w:r>
          </w:p>
        </w:tc>
        <w:tc>
          <w:tcPr>
            <w:tcW w:w="24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pPr>
            <w:r>
              <w:rPr/>
              <w:t>21,529</w:t>
            </w:r>
          </w:p>
        </w:tc>
        <w:tc>
          <w:tcPr>
            <w:tcW w:w="139" w:type="dxa"/>
            <w:tcBorders/>
            <w:shd w:fill="auto" w:val="clear"/>
            <w:vAlign w:val="bottom"/>
          </w:tcPr>
          <w:p>
            <w:pPr>
              <w:pStyle w:val="TableContents"/>
              <w:spacing w:before="0" w:after="283"/>
              <w:rPr/>
            </w:pPr>
            <w:r>
              <w:rPr/>
              <w:t> </w:t>
            </w:r>
          </w:p>
        </w:tc>
      </w:tr>
      <w:tr>
        <w:trPr/>
        <w:tc>
          <w:tcPr>
            <w:tcW w:w="1537" w:type="dxa"/>
            <w:tcBorders/>
            <w:shd w:fill="auto" w:val="clear"/>
            <w:vAlign w:val="center"/>
          </w:tcPr>
          <w:p>
            <w:pPr>
              <w:pStyle w:val="TableContents"/>
              <w:spacing w:before="0" w:after="283"/>
              <w:rPr/>
            </w:pPr>
            <w:r>
              <w:rPr/>
              <w:t> </w:t>
            </w:r>
          </w:p>
        </w:tc>
        <w:tc>
          <w:tcPr>
            <w:tcW w:w="8668" w:type="dxa"/>
            <w:gridSpan w:val="20"/>
            <w:tcBorders/>
            <w:shd w:fill="auto" w:val="clear"/>
          </w:tcPr>
          <w:p>
            <w:pPr>
              <w:pStyle w:val="TableContents"/>
              <w:spacing w:before="0" w:after="283"/>
              <w:rPr>
                <w:sz w:val="4"/>
                <w:szCs w:val="4"/>
              </w:rPr>
            </w:pPr>
            <w:r>
              <w:rPr>
                <w:sz w:val="4"/>
                <w:szCs w:val="4"/>
              </w:rPr>
            </w:r>
          </w:p>
        </w:tc>
      </w:tr>
      <w:tr>
        <w:trPr/>
        <w:tc>
          <w:tcPr>
            <w:tcW w:w="1537" w:type="dxa"/>
            <w:tcBorders/>
            <w:shd w:fill="CCEEFF" w:val="clear"/>
            <w:vAlign w:val="bottom"/>
          </w:tcPr>
          <w:p>
            <w:pPr>
              <w:pStyle w:val="TableContents"/>
              <w:spacing w:before="0" w:after="0"/>
              <w:ind w:left="225" w:right="0" w:hanging="225"/>
              <w:rPr/>
            </w:pPr>
            <w:r>
              <w:rPr/>
              <w:t>Eric Fosse</w:t>
            </w:r>
          </w:p>
        </w:tc>
        <w:tc>
          <w:tcPr>
            <w:tcW w:w="17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spacing w:before="0" w:after="283"/>
              <w:jc w:val="right"/>
              <w:rPr/>
            </w:pPr>
            <w:r>
              <w:rPr/>
              <w:t>2007</w:t>
            </w:r>
          </w:p>
        </w:tc>
        <w:tc>
          <w:tcPr>
            <w:tcW w:w="12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jc w:val="right"/>
              <w:rPr/>
            </w:pPr>
            <w:r>
              <w:rPr/>
              <w:t></w:t>
            </w:r>
          </w:p>
        </w:tc>
        <w:tc>
          <w:tcPr>
            <w:tcW w:w="17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809" w:type="dxa"/>
            <w:tcBorders/>
            <w:shd w:fill="CCEEFF" w:val="clear"/>
            <w:vAlign w:val="bottom"/>
          </w:tcPr>
          <w:p>
            <w:pPr>
              <w:pStyle w:val="TableContents"/>
              <w:spacing w:before="0" w:after="283"/>
              <w:jc w:val="right"/>
              <w:rPr/>
            </w:pPr>
            <w:r>
              <w:rPr/>
              <w:t>2,236</w:t>
            </w:r>
          </w:p>
        </w:tc>
        <w:tc>
          <w:tcPr>
            <w:tcW w:w="2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jc w:val="right"/>
              <w:rPr/>
            </w:pPr>
            <w:r>
              <w:rPr/>
              <w:t>1,453</w:t>
            </w:r>
          </w:p>
        </w:tc>
        <w:tc>
          <w:tcPr>
            <w:tcW w:w="24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pPr>
            <w:r>
              <w:rPr/>
              <w:t>3,689</w:t>
            </w:r>
          </w:p>
        </w:tc>
        <w:tc>
          <w:tcPr>
            <w:tcW w:w="139"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473"/>
        <w:gridCol w:w="2151"/>
        <w:gridCol w:w="1581"/>
      </w:tblGrid>
      <w:tr>
        <w:trPr/>
        <w:tc>
          <w:tcPr>
            <w:tcW w:w="6473"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(1)</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See Other Benefits Table for additional information.</w:t>
            </w:r>
          </w:p>
        </w:tc>
      </w:tr>
      <w:tr>
        <w:trPr/>
        <w:tc>
          <w:tcPr>
            <w:tcW w:w="6473" w:type="dxa"/>
            <w:tcBorders/>
            <w:shd w:fill="auto" w:val="clear"/>
            <w:vAlign w:val="center"/>
          </w:tcPr>
          <w:p>
            <w:pPr>
              <w:pStyle w:val="TableContents"/>
              <w:spacing w:before="0" w:after="283"/>
              <w:rPr/>
            </w:pPr>
            <w:r>
              <w:rPr/>
              <w:t> </w:t>
            </w:r>
          </w:p>
        </w:tc>
        <w:tc>
          <w:tcPr>
            <w:tcW w:w="3732" w:type="dxa"/>
            <w:gridSpan w:val="2"/>
            <w:tcBorders/>
            <w:shd w:fill="auto" w:val="clea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(2)</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Represents taxable group life insurance premiums paid on behalf of the named executives. The benefit provides Life and Accidental Death and Dismemberment coverage at 3 times the named executives annual salary up to a maximum of $1 million.</w:t>
            </w:r>
          </w:p>
        </w:tc>
      </w:tr>
    </w:tbl>
    <w:p>
      <w:pPr>
        <w:pStyle w:val="TextBody"/>
        <w:spacing w:before="240" w:after="283"/>
        <w:jc w:val="left"/>
        <w:rPr>
          <w:rFonts w:ascii="Helvetica;Arial;sans-serif" w:hAnsi="Helvetica;Arial;sans-serif"/>
          <w:sz w:val="17"/>
        </w:rPr>
      </w:pPr>
      <w:r>
        <w:rPr>
          <w:rFonts w:ascii="Helvetica;Arial;sans-serif" w:hAnsi="Helvetica;Arial;sans-serif"/>
          <w:b/>
          <w:sz w:val="17"/>
        </w:rPr>
        <w:t>Other Benefits Table for 2007</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describes other benefits and our cost in providing them. The total amount of these other benefits is included above in the All Other Compensation Table for each named executive officer. </w:t>
      </w:r>
    </w:p>
    <w:tbl>
      <w:tblPr>
        <w:tblW w:w="5000" w:type="pct"/>
        <w:jc w:val="center"/>
        <w:tblInd w:w="0" w:type="dxa"/>
        <w:tblCellMar>
          <w:top w:w="0" w:type="dxa"/>
          <w:left w:w="0" w:type="dxa"/>
          <w:bottom w:w="0" w:type="dxa"/>
          <w:right w:w="0" w:type="dxa"/>
        </w:tblCellMar>
      </w:tblPr>
      <w:tblGrid>
        <w:gridCol w:w="3664"/>
        <w:gridCol w:w="295"/>
        <w:gridCol w:w="233"/>
        <w:gridCol w:w="1091"/>
        <w:gridCol w:w="235"/>
        <w:gridCol w:w="295"/>
        <w:gridCol w:w="336"/>
        <w:gridCol w:w="2257"/>
        <w:gridCol w:w="337"/>
        <w:gridCol w:w="295"/>
        <w:gridCol w:w="203"/>
        <w:gridCol w:w="753"/>
        <w:gridCol w:w="211"/>
      </w:tblGrid>
      <w:tr>
        <w:trPr/>
        <w:tc>
          <w:tcPr>
            <w:tcW w:w="366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257"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r>
      <w:tr>
        <w:trPr/>
        <w:tc>
          <w:tcPr>
            <w:tcW w:w="366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930" w:type="dxa"/>
            <w:gridSpan w:val="3"/>
            <w:tcBorders/>
            <w:shd w:fill="auto" w:val="clear"/>
            <w:vAlign w:val="bottom"/>
          </w:tcPr>
          <w:p>
            <w:pPr>
              <w:pStyle w:val="TableContents"/>
              <w:spacing w:before="0" w:after="283"/>
              <w:jc w:val="center"/>
              <w:rPr/>
            </w:pPr>
            <w:r>
              <w:rPr/>
              <w:t>Automobile Allowance and</w:t>
            </w:r>
          </w:p>
        </w:tc>
        <w:tc>
          <w:tcPr>
            <w:tcW w:w="295" w:type="dxa"/>
            <w:tcBorders/>
            <w:shd w:fill="auto" w:val="clear"/>
            <w:vAlign w:val="bottom"/>
          </w:tcPr>
          <w:p>
            <w:pPr>
              <w:pStyle w:val="TableContents"/>
              <w:spacing w:before="0" w:after="283"/>
              <w:rPr/>
            </w:pPr>
            <w:r>
              <w:rPr/>
              <w:t> </w:t>
            </w:r>
          </w:p>
        </w:tc>
        <w:tc>
          <w:tcPr>
            <w:tcW w:w="1167" w:type="dxa"/>
            <w:gridSpan w:val="3"/>
            <w:tcBorders/>
            <w:shd w:fill="auto" w:val="clear"/>
            <w:vAlign w:val="bottom"/>
          </w:tcPr>
          <w:p>
            <w:pPr>
              <w:pStyle w:val="TableContents"/>
              <w:spacing w:before="0" w:after="283"/>
              <w:jc w:val="center"/>
              <w:rPr/>
            </w:pPr>
            <w:r>
              <w:rPr/>
              <w:t> </w:t>
            </w:r>
          </w:p>
        </w:tc>
      </w:tr>
      <w:tr>
        <w:trPr/>
        <w:tc>
          <w:tcPr>
            <w:tcW w:w="366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559" w:type="dxa"/>
            <w:gridSpan w:val="3"/>
            <w:tcBorders/>
            <w:shd w:fill="auto" w:val="clear"/>
            <w:vAlign w:val="bottom"/>
          </w:tcPr>
          <w:p>
            <w:pPr>
              <w:pStyle w:val="TableContents"/>
              <w:spacing w:before="0" w:after="283"/>
              <w:jc w:val="center"/>
              <w:rPr/>
            </w:pPr>
            <w:r>
              <w:rPr/>
              <w:t>County Club</w:t>
            </w:r>
          </w:p>
        </w:tc>
        <w:tc>
          <w:tcPr>
            <w:tcW w:w="295" w:type="dxa"/>
            <w:tcBorders/>
            <w:shd w:fill="auto" w:val="clear"/>
            <w:vAlign w:val="bottom"/>
          </w:tcPr>
          <w:p>
            <w:pPr>
              <w:pStyle w:val="TableContents"/>
              <w:spacing w:before="0" w:after="283"/>
              <w:rPr/>
            </w:pPr>
            <w:r>
              <w:rPr/>
              <w:t> </w:t>
            </w:r>
          </w:p>
        </w:tc>
        <w:tc>
          <w:tcPr>
            <w:tcW w:w="2930" w:type="dxa"/>
            <w:gridSpan w:val="3"/>
            <w:tcBorders/>
            <w:shd w:fill="auto" w:val="clear"/>
            <w:vAlign w:val="bottom"/>
          </w:tcPr>
          <w:p>
            <w:pPr>
              <w:pStyle w:val="TableContents"/>
              <w:spacing w:before="0" w:after="283"/>
              <w:jc w:val="center"/>
              <w:rPr/>
            </w:pPr>
            <w:r>
              <w:rPr/>
              <w:t>Associated</w:t>
            </w:r>
          </w:p>
        </w:tc>
        <w:tc>
          <w:tcPr>
            <w:tcW w:w="295" w:type="dxa"/>
            <w:tcBorders/>
            <w:shd w:fill="auto" w:val="clear"/>
            <w:vAlign w:val="bottom"/>
          </w:tcPr>
          <w:p>
            <w:pPr>
              <w:pStyle w:val="TableContents"/>
              <w:spacing w:before="0" w:after="283"/>
              <w:rPr/>
            </w:pPr>
            <w:r>
              <w:rPr/>
              <w:t> </w:t>
            </w:r>
          </w:p>
        </w:tc>
        <w:tc>
          <w:tcPr>
            <w:tcW w:w="1167" w:type="dxa"/>
            <w:gridSpan w:val="3"/>
            <w:tcBorders/>
            <w:shd w:fill="auto" w:val="clear"/>
            <w:vAlign w:val="bottom"/>
          </w:tcPr>
          <w:p>
            <w:pPr>
              <w:pStyle w:val="TableContents"/>
              <w:spacing w:before="0" w:after="283"/>
              <w:jc w:val="center"/>
              <w:rPr/>
            </w:pPr>
            <w:r>
              <w:rPr/>
              <w:t> </w:t>
            </w:r>
          </w:p>
        </w:tc>
      </w:tr>
      <w:tr>
        <w:trPr/>
        <w:tc>
          <w:tcPr>
            <w:tcW w:w="3664"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295" w:type="dxa"/>
            <w:tcBorders/>
            <w:shd w:fill="auto" w:val="clear"/>
            <w:vAlign w:val="bottom"/>
          </w:tcPr>
          <w:p>
            <w:pPr>
              <w:pStyle w:val="TableContents"/>
              <w:spacing w:before="0" w:after="283"/>
              <w:rPr/>
            </w:pPr>
            <w:r>
              <w:rPr/>
              <w:t> </w:t>
            </w:r>
          </w:p>
        </w:tc>
        <w:tc>
          <w:tcPr>
            <w:tcW w:w="1559" w:type="dxa"/>
            <w:gridSpan w:val="3"/>
            <w:tcBorders>
              <w:bottom w:val="single" w:sz="2" w:space="0" w:color="000000"/>
            </w:tcBorders>
            <w:shd w:fill="auto" w:val="clear"/>
            <w:tcMar>
              <w:bottom w:w="28" w:type="dxa"/>
            </w:tcMar>
            <w:vAlign w:val="bottom"/>
          </w:tcPr>
          <w:p>
            <w:pPr>
              <w:pStyle w:val="TableContents"/>
              <w:spacing w:before="0" w:after="283"/>
              <w:jc w:val="center"/>
              <w:rPr/>
            </w:pPr>
            <w:r>
              <w:rPr/>
              <w:t>Dues ($)</w:t>
            </w:r>
          </w:p>
        </w:tc>
        <w:tc>
          <w:tcPr>
            <w:tcW w:w="295" w:type="dxa"/>
            <w:tcBorders/>
            <w:shd w:fill="auto" w:val="clear"/>
            <w:vAlign w:val="bottom"/>
          </w:tcPr>
          <w:p>
            <w:pPr>
              <w:pStyle w:val="TableContents"/>
              <w:spacing w:before="0" w:after="283"/>
              <w:rPr/>
            </w:pPr>
            <w:r>
              <w:rPr/>
              <w:t> </w:t>
            </w:r>
          </w:p>
        </w:tc>
        <w:tc>
          <w:tcPr>
            <w:tcW w:w="2930" w:type="dxa"/>
            <w:gridSpan w:val="3"/>
            <w:tcBorders>
              <w:bottom w:val="single" w:sz="2" w:space="0" w:color="000000"/>
            </w:tcBorders>
            <w:shd w:fill="auto" w:val="clear"/>
            <w:tcMar>
              <w:bottom w:w="28" w:type="dxa"/>
            </w:tcMar>
            <w:vAlign w:val="bottom"/>
          </w:tcPr>
          <w:p>
            <w:pPr>
              <w:pStyle w:val="TableContents"/>
              <w:spacing w:before="0" w:after="283"/>
              <w:jc w:val="center"/>
              <w:rPr/>
            </w:pPr>
            <w:r>
              <w:rPr/>
              <w:t>Expenses ($)</w:t>
            </w:r>
          </w:p>
        </w:tc>
        <w:tc>
          <w:tcPr>
            <w:tcW w:w="295" w:type="dxa"/>
            <w:tcBorders/>
            <w:shd w:fill="auto" w:val="clear"/>
            <w:vAlign w:val="bottom"/>
          </w:tcPr>
          <w:p>
            <w:pPr>
              <w:pStyle w:val="TableContents"/>
              <w:spacing w:before="0" w:after="283"/>
              <w:rPr/>
            </w:pPr>
            <w:r>
              <w:rPr/>
              <w:t> </w:t>
            </w:r>
          </w:p>
        </w:tc>
        <w:tc>
          <w:tcPr>
            <w:tcW w:w="1167"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 ($)</w:t>
            </w:r>
          </w:p>
        </w:tc>
      </w:tr>
      <w:tr>
        <w:trPr/>
        <w:tc>
          <w:tcPr>
            <w:tcW w:w="3664" w:type="dxa"/>
            <w:tcBorders/>
            <w:shd w:fill="CCEEFF" w:val="clear"/>
            <w:vAlign w:val="bottom"/>
          </w:tcPr>
          <w:p>
            <w:pPr>
              <w:pStyle w:val="TableContents"/>
              <w:spacing w:before="0" w:after="0"/>
              <w:ind w:left="225" w:right="0" w:hanging="225"/>
              <w:rPr/>
            </w:pPr>
            <w:r>
              <w:rPr/>
              <w:t>Joseph L. Rotunda</w:t>
            </w:r>
          </w:p>
        </w:tc>
        <w:tc>
          <w:tcPr>
            <w:tcW w:w="29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13,770</w:t>
            </w:r>
          </w:p>
        </w:tc>
        <w:tc>
          <w:tcPr>
            <w:tcW w:w="23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257" w:type="dxa"/>
            <w:tcBorders/>
            <w:shd w:fill="CCEEFF" w:val="clear"/>
            <w:vAlign w:val="bottom"/>
          </w:tcPr>
          <w:p>
            <w:pPr>
              <w:pStyle w:val="TableContents"/>
              <w:spacing w:before="0" w:after="283"/>
              <w:jc w:val="right"/>
              <w:rPr/>
            </w:pPr>
            <w:r>
              <w:rPr/>
              <w:t>26,654</w:t>
            </w:r>
          </w:p>
        </w:tc>
        <w:tc>
          <w:tcPr>
            <w:tcW w:w="33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40,424</w:t>
            </w:r>
          </w:p>
        </w:tc>
        <w:tc>
          <w:tcPr>
            <w:tcW w:w="211" w:type="dxa"/>
            <w:tcBorders/>
            <w:shd w:fill="CCEEFF" w:val="clear"/>
            <w:vAlign w:val="bottom"/>
          </w:tcPr>
          <w:p>
            <w:pPr>
              <w:pStyle w:val="TableContents"/>
              <w:spacing w:before="0" w:after="283"/>
              <w:rPr/>
            </w:pPr>
            <w:r>
              <w:rPr/>
              <w:t> </w:t>
            </w:r>
          </w:p>
        </w:tc>
      </w:tr>
      <w:tr>
        <w:trPr/>
        <w:tc>
          <w:tcPr>
            <w:tcW w:w="3664" w:type="dxa"/>
            <w:tcBorders/>
            <w:shd w:fill="auto" w:val="clear"/>
            <w:vAlign w:val="center"/>
          </w:tcPr>
          <w:p>
            <w:pPr>
              <w:pStyle w:val="TableContents"/>
              <w:spacing w:before="0" w:after="283"/>
              <w:rPr/>
            </w:pPr>
            <w:r>
              <w:rPr/>
              <w:t> </w:t>
            </w:r>
          </w:p>
        </w:tc>
        <w:tc>
          <w:tcPr>
            <w:tcW w:w="6541" w:type="dxa"/>
            <w:gridSpan w:val="12"/>
            <w:tcBorders/>
            <w:shd w:fill="auto" w:val="clear"/>
          </w:tcPr>
          <w:p>
            <w:pPr>
              <w:pStyle w:val="TableContents"/>
              <w:spacing w:before="0" w:after="283"/>
              <w:rPr>
                <w:sz w:val="4"/>
                <w:szCs w:val="4"/>
              </w:rPr>
            </w:pPr>
            <w:r>
              <w:rPr>
                <w:sz w:val="4"/>
                <w:szCs w:val="4"/>
              </w:rPr>
            </w:r>
          </w:p>
        </w:tc>
      </w:tr>
      <w:tr>
        <w:trPr/>
        <w:tc>
          <w:tcPr>
            <w:tcW w:w="3664" w:type="dxa"/>
            <w:tcBorders/>
            <w:shd w:fill="auto" w:val="clear"/>
            <w:vAlign w:val="bottom"/>
          </w:tcPr>
          <w:p>
            <w:pPr>
              <w:pStyle w:val="TableContents"/>
              <w:spacing w:before="0" w:after="0"/>
              <w:ind w:left="225" w:right="0" w:hanging="225"/>
              <w:rPr/>
            </w:pPr>
            <w:r>
              <w:rPr/>
              <w:t>Sterling B. Brinkley</w:t>
            </w:r>
          </w:p>
        </w:tc>
        <w:tc>
          <w:tcPr>
            <w:tcW w:w="29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13,200</w:t>
            </w:r>
          </w:p>
        </w:tc>
        <w:tc>
          <w:tcPr>
            <w:tcW w:w="23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257" w:type="dxa"/>
            <w:tcBorders/>
            <w:shd w:fill="auto" w:val="clear"/>
            <w:vAlign w:val="bottom"/>
          </w:tcPr>
          <w:p>
            <w:pPr>
              <w:pStyle w:val="TableContents"/>
              <w:spacing w:before="0" w:after="283"/>
              <w:jc w:val="right"/>
              <w:rPr/>
            </w:pPr>
            <w:r>
              <w:rPr/>
              <w:t>26,400</w:t>
            </w:r>
          </w:p>
        </w:tc>
        <w:tc>
          <w:tcPr>
            <w:tcW w:w="33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39,600</w:t>
            </w:r>
          </w:p>
        </w:tc>
        <w:tc>
          <w:tcPr>
            <w:tcW w:w="211" w:type="dxa"/>
            <w:tcBorders/>
            <w:shd w:fill="auto" w:val="clear"/>
            <w:vAlign w:val="bottom"/>
          </w:tcPr>
          <w:p>
            <w:pPr>
              <w:pStyle w:val="TableContents"/>
              <w:spacing w:before="0" w:after="283"/>
              <w:rPr/>
            </w:pPr>
            <w:r>
              <w:rPr/>
              <w:t> </w:t>
            </w:r>
          </w:p>
        </w:tc>
      </w:tr>
      <w:tr>
        <w:trPr/>
        <w:tc>
          <w:tcPr>
            <w:tcW w:w="3664" w:type="dxa"/>
            <w:tcBorders/>
            <w:shd w:fill="auto" w:val="clear"/>
            <w:vAlign w:val="center"/>
          </w:tcPr>
          <w:p>
            <w:pPr>
              <w:pStyle w:val="TableContents"/>
              <w:spacing w:before="0" w:after="283"/>
              <w:rPr/>
            </w:pPr>
            <w:r>
              <w:rPr/>
              <w:t> </w:t>
            </w:r>
          </w:p>
        </w:tc>
        <w:tc>
          <w:tcPr>
            <w:tcW w:w="6541" w:type="dxa"/>
            <w:gridSpan w:val="12"/>
            <w:tcBorders/>
            <w:shd w:fill="auto" w:val="clear"/>
          </w:tcPr>
          <w:p>
            <w:pPr>
              <w:pStyle w:val="TableContents"/>
              <w:spacing w:before="0" w:after="283"/>
              <w:rPr>
                <w:sz w:val="4"/>
                <w:szCs w:val="4"/>
              </w:rPr>
            </w:pPr>
            <w:r>
              <w:rPr>
                <w:sz w:val="4"/>
                <w:szCs w:val="4"/>
              </w:rPr>
            </w:r>
          </w:p>
        </w:tc>
      </w:tr>
      <w:tr>
        <w:trPr/>
        <w:tc>
          <w:tcPr>
            <w:tcW w:w="3664" w:type="dxa"/>
            <w:tcBorders/>
            <w:shd w:fill="CCEEFF" w:val="clear"/>
            <w:vAlign w:val="bottom"/>
          </w:tcPr>
          <w:p>
            <w:pPr>
              <w:pStyle w:val="TableContents"/>
              <w:spacing w:before="0" w:after="0"/>
              <w:ind w:left="225" w:right="0" w:hanging="225"/>
              <w:rPr/>
            </w:pPr>
            <w:r>
              <w:rPr/>
              <w:t>Daniel N. Tonissen</w:t>
            </w:r>
          </w:p>
        </w:tc>
        <w:tc>
          <w:tcPr>
            <w:tcW w:w="29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w:t>
            </w:r>
          </w:p>
        </w:tc>
        <w:tc>
          <w:tcPr>
            <w:tcW w:w="23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257" w:type="dxa"/>
            <w:tcBorders/>
            <w:shd w:fill="CCEEFF" w:val="clear"/>
            <w:vAlign w:val="bottom"/>
          </w:tcPr>
          <w:p>
            <w:pPr>
              <w:pStyle w:val="TableContents"/>
              <w:spacing w:before="0" w:after="283"/>
              <w:jc w:val="right"/>
              <w:rPr/>
            </w:pPr>
            <w:r>
              <w:rPr/>
              <w:t>18,000</w:t>
            </w:r>
          </w:p>
        </w:tc>
        <w:tc>
          <w:tcPr>
            <w:tcW w:w="33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18,000</w:t>
            </w:r>
          </w:p>
        </w:tc>
        <w:tc>
          <w:tcPr>
            <w:tcW w:w="211" w:type="dxa"/>
            <w:tcBorders/>
            <w:shd w:fill="CCEEFF" w:val="clear"/>
            <w:vAlign w:val="bottom"/>
          </w:tcPr>
          <w:p>
            <w:pPr>
              <w:pStyle w:val="TableContents"/>
              <w:spacing w:before="0" w:after="283"/>
              <w:rPr/>
            </w:pPr>
            <w:r>
              <w:rPr/>
              <w:t> </w:t>
            </w:r>
          </w:p>
        </w:tc>
      </w:tr>
      <w:tr>
        <w:trPr/>
        <w:tc>
          <w:tcPr>
            <w:tcW w:w="3664" w:type="dxa"/>
            <w:tcBorders/>
            <w:shd w:fill="auto" w:val="clear"/>
            <w:vAlign w:val="center"/>
          </w:tcPr>
          <w:p>
            <w:pPr>
              <w:pStyle w:val="TableContents"/>
              <w:spacing w:before="0" w:after="283"/>
              <w:rPr/>
            </w:pPr>
            <w:r>
              <w:rPr/>
              <w:t> </w:t>
            </w:r>
          </w:p>
        </w:tc>
        <w:tc>
          <w:tcPr>
            <w:tcW w:w="6541" w:type="dxa"/>
            <w:gridSpan w:val="12"/>
            <w:tcBorders/>
            <w:shd w:fill="auto" w:val="clear"/>
          </w:tcPr>
          <w:p>
            <w:pPr>
              <w:pStyle w:val="TableContents"/>
              <w:spacing w:before="0" w:after="283"/>
              <w:rPr>
                <w:sz w:val="4"/>
                <w:szCs w:val="4"/>
              </w:rPr>
            </w:pPr>
            <w:r>
              <w:rPr>
                <w:sz w:val="4"/>
                <w:szCs w:val="4"/>
              </w:rPr>
            </w:r>
          </w:p>
        </w:tc>
      </w:tr>
      <w:tr>
        <w:trPr/>
        <w:tc>
          <w:tcPr>
            <w:tcW w:w="3664" w:type="dxa"/>
            <w:tcBorders/>
            <w:shd w:fill="auto" w:val="clear"/>
            <w:vAlign w:val="bottom"/>
          </w:tcPr>
          <w:p>
            <w:pPr>
              <w:pStyle w:val="TableContents"/>
              <w:spacing w:before="0" w:after="0"/>
              <w:ind w:left="225" w:right="0" w:hanging="225"/>
              <w:rPr/>
            </w:pPr>
            <w:r>
              <w:rPr/>
              <w:t>Robert Kasenter</w:t>
            </w:r>
          </w:p>
        </w:tc>
        <w:tc>
          <w:tcPr>
            <w:tcW w:w="29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w:t>
            </w:r>
          </w:p>
        </w:tc>
        <w:tc>
          <w:tcPr>
            <w:tcW w:w="23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257" w:type="dxa"/>
            <w:tcBorders/>
            <w:shd w:fill="auto" w:val="clear"/>
            <w:vAlign w:val="bottom"/>
          </w:tcPr>
          <w:p>
            <w:pPr>
              <w:pStyle w:val="TableContents"/>
              <w:spacing w:before="0" w:after="283"/>
              <w:jc w:val="right"/>
              <w:rPr/>
            </w:pPr>
            <w:r>
              <w:rPr/>
              <w:t>18,000</w:t>
            </w:r>
          </w:p>
        </w:tc>
        <w:tc>
          <w:tcPr>
            <w:tcW w:w="337"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18,000</w:t>
            </w:r>
          </w:p>
        </w:tc>
        <w:tc>
          <w:tcPr>
            <w:tcW w:w="211" w:type="dxa"/>
            <w:tcBorders/>
            <w:shd w:fill="auto" w:val="clear"/>
            <w:vAlign w:val="bottom"/>
          </w:tcPr>
          <w:p>
            <w:pPr>
              <w:pStyle w:val="TableContents"/>
              <w:spacing w:before="0" w:after="283"/>
              <w:rPr/>
            </w:pPr>
            <w:r>
              <w:rPr/>
              <w:t> </w:t>
            </w:r>
          </w:p>
        </w:tc>
      </w:tr>
      <w:tr>
        <w:trPr/>
        <w:tc>
          <w:tcPr>
            <w:tcW w:w="3664" w:type="dxa"/>
            <w:tcBorders/>
            <w:shd w:fill="auto" w:val="clear"/>
            <w:vAlign w:val="center"/>
          </w:tcPr>
          <w:p>
            <w:pPr>
              <w:pStyle w:val="TableContents"/>
              <w:spacing w:before="0" w:after="283"/>
              <w:rPr/>
            </w:pPr>
            <w:r>
              <w:rPr/>
              <w:t> </w:t>
            </w:r>
          </w:p>
        </w:tc>
        <w:tc>
          <w:tcPr>
            <w:tcW w:w="6541" w:type="dxa"/>
            <w:gridSpan w:val="12"/>
            <w:tcBorders/>
            <w:shd w:fill="auto" w:val="clear"/>
          </w:tcPr>
          <w:p>
            <w:pPr>
              <w:pStyle w:val="TableContents"/>
              <w:spacing w:before="0" w:after="283"/>
              <w:rPr>
                <w:sz w:val="4"/>
                <w:szCs w:val="4"/>
              </w:rPr>
            </w:pPr>
            <w:r>
              <w:rPr>
                <w:sz w:val="4"/>
                <w:szCs w:val="4"/>
              </w:rPr>
            </w:r>
          </w:p>
        </w:tc>
      </w:tr>
      <w:tr>
        <w:trPr/>
        <w:tc>
          <w:tcPr>
            <w:tcW w:w="3664" w:type="dxa"/>
            <w:tcBorders/>
            <w:shd w:fill="CCEEFF" w:val="clear"/>
            <w:vAlign w:val="bottom"/>
          </w:tcPr>
          <w:p>
            <w:pPr>
              <w:pStyle w:val="TableContents"/>
              <w:spacing w:before="0" w:after="0"/>
              <w:ind w:left="225" w:right="0" w:hanging="225"/>
              <w:rPr/>
            </w:pPr>
            <w:r>
              <w:rPr/>
              <w:t>Eric Fosse</w:t>
            </w:r>
          </w:p>
        </w:tc>
        <w:tc>
          <w:tcPr>
            <w:tcW w:w="29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w:t>
            </w:r>
          </w:p>
        </w:tc>
        <w:tc>
          <w:tcPr>
            <w:tcW w:w="23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2257" w:type="dxa"/>
            <w:tcBorders/>
            <w:shd w:fill="CCEEFF" w:val="clear"/>
            <w:vAlign w:val="bottom"/>
          </w:tcPr>
          <w:p>
            <w:pPr>
              <w:pStyle w:val="TableContents"/>
              <w:spacing w:before="0" w:after="283"/>
              <w:jc w:val="right"/>
              <w:rPr/>
            </w:pPr>
            <w:r>
              <w:rPr/>
              <w:t></w:t>
            </w:r>
          </w:p>
        </w:tc>
        <w:tc>
          <w:tcPr>
            <w:tcW w:w="337"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w:t>
            </w:r>
          </w:p>
        </w:tc>
        <w:tc>
          <w:tcPr>
            <w:tcW w:w="211" w:type="dxa"/>
            <w:tcBorders/>
            <w:shd w:fill="CCEEFF" w:val="clear"/>
            <w:vAlign w:val="bottom"/>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92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r>
        <w:rPr>
          <w:rFonts w:ascii="Helvetica;Arial;sans-serif" w:hAnsi="Helvetica;Arial;sans-serif"/>
          <w:b/>
          <w:sz w:val="17"/>
        </w:rPr>
        <w:t>Non-qualified Deferred Compensation Table for 2007</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data regarding our Supplemental Executive Retirement Plan, which is our only non-qualified deferred compensation plan. Information regarding this plan is also presented in the Pension Benefits table above. No contributions were made by named executive officers, and no withdrawals or distributions were made to them in 2007. </w:t>
      </w:r>
    </w:p>
    <w:tbl>
      <w:tblPr>
        <w:tblW w:w="5000" w:type="pct"/>
        <w:jc w:val="center"/>
        <w:tblInd w:w="0" w:type="dxa"/>
        <w:tblCellMar>
          <w:top w:w="0" w:type="dxa"/>
          <w:left w:w="0" w:type="dxa"/>
          <w:bottom w:w="0" w:type="dxa"/>
          <w:right w:w="0" w:type="dxa"/>
        </w:tblCellMar>
      </w:tblPr>
      <w:tblGrid>
        <w:gridCol w:w="4199"/>
        <w:gridCol w:w="337"/>
        <w:gridCol w:w="263"/>
        <w:gridCol w:w="1355"/>
        <w:gridCol w:w="267"/>
        <w:gridCol w:w="337"/>
        <w:gridCol w:w="247"/>
        <w:gridCol w:w="981"/>
        <w:gridCol w:w="252"/>
        <w:gridCol w:w="337"/>
        <w:gridCol w:w="246"/>
        <w:gridCol w:w="1127"/>
        <w:gridCol w:w="257"/>
      </w:tblGrid>
      <w:tr>
        <w:trPr/>
        <w:tc>
          <w:tcPr>
            <w:tcW w:w="4199"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35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r>
      <w:tr>
        <w:trPr/>
        <w:tc>
          <w:tcPr>
            <w:tcW w:w="4199"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885" w:type="dxa"/>
            <w:gridSpan w:val="3"/>
            <w:tcBorders/>
            <w:shd w:fill="auto" w:val="clear"/>
            <w:vAlign w:val="bottom"/>
          </w:tcPr>
          <w:p>
            <w:pPr>
              <w:pStyle w:val="TableContents"/>
              <w:spacing w:before="0" w:after="283"/>
              <w:jc w:val="center"/>
              <w:rPr/>
            </w:pPr>
            <w:r>
              <w:rPr/>
              <w:t>Registrant</w:t>
            </w:r>
          </w:p>
        </w:tc>
        <w:tc>
          <w:tcPr>
            <w:tcW w:w="337" w:type="dxa"/>
            <w:tcBorders/>
            <w:shd w:fill="auto" w:val="clear"/>
            <w:vAlign w:val="bottom"/>
          </w:tcPr>
          <w:p>
            <w:pPr>
              <w:pStyle w:val="TableContents"/>
              <w:spacing w:before="0" w:after="283"/>
              <w:rPr/>
            </w:pPr>
            <w:r>
              <w:rPr/>
              <w:t> </w:t>
            </w:r>
          </w:p>
        </w:tc>
        <w:tc>
          <w:tcPr>
            <w:tcW w:w="1480" w:type="dxa"/>
            <w:gridSpan w:val="3"/>
            <w:tcBorders/>
            <w:shd w:fill="auto" w:val="clear"/>
            <w:vAlign w:val="bottom"/>
          </w:tcPr>
          <w:p>
            <w:pPr>
              <w:pStyle w:val="TableContents"/>
              <w:spacing w:before="0" w:after="283"/>
              <w:jc w:val="center"/>
              <w:rPr/>
            </w:pPr>
            <w:r>
              <w:rPr/>
              <w:t>Aggregate</w:t>
            </w:r>
          </w:p>
        </w:tc>
        <w:tc>
          <w:tcPr>
            <w:tcW w:w="337" w:type="dxa"/>
            <w:tcBorders/>
            <w:shd w:fill="auto" w:val="clear"/>
            <w:vAlign w:val="bottom"/>
          </w:tcPr>
          <w:p>
            <w:pPr>
              <w:pStyle w:val="TableContents"/>
              <w:spacing w:before="0" w:after="283"/>
              <w:rPr/>
            </w:pPr>
            <w:r>
              <w:rPr/>
              <w:t> </w:t>
            </w:r>
          </w:p>
        </w:tc>
        <w:tc>
          <w:tcPr>
            <w:tcW w:w="1630" w:type="dxa"/>
            <w:gridSpan w:val="3"/>
            <w:tcBorders/>
            <w:shd w:fill="auto" w:val="clear"/>
            <w:vAlign w:val="bottom"/>
          </w:tcPr>
          <w:p>
            <w:pPr>
              <w:pStyle w:val="TableContents"/>
              <w:spacing w:before="0" w:after="283"/>
              <w:jc w:val="center"/>
              <w:rPr/>
            </w:pPr>
            <w:r>
              <w:rPr/>
              <w:t>Aggregate</w:t>
            </w:r>
          </w:p>
        </w:tc>
      </w:tr>
      <w:tr>
        <w:trPr/>
        <w:tc>
          <w:tcPr>
            <w:tcW w:w="4199"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885" w:type="dxa"/>
            <w:gridSpan w:val="3"/>
            <w:tcBorders/>
            <w:shd w:fill="auto" w:val="clear"/>
            <w:vAlign w:val="bottom"/>
          </w:tcPr>
          <w:p>
            <w:pPr>
              <w:pStyle w:val="TableContents"/>
              <w:spacing w:before="0" w:after="283"/>
              <w:jc w:val="center"/>
              <w:rPr/>
            </w:pPr>
            <w:r>
              <w:rPr/>
              <w:t>Contributions in</w:t>
            </w:r>
          </w:p>
        </w:tc>
        <w:tc>
          <w:tcPr>
            <w:tcW w:w="337" w:type="dxa"/>
            <w:tcBorders/>
            <w:shd w:fill="auto" w:val="clear"/>
            <w:vAlign w:val="bottom"/>
          </w:tcPr>
          <w:p>
            <w:pPr>
              <w:pStyle w:val="TableContents"/>
              <w:spacing w:before="0" w:after="283"/>
              <w:rPr/>
            </w:pPr>
            <w:r>
              <w:rPr/>
              <w:t> </w:t>
            </w:r>
          </w:p>
        </w:tc>
        <w:tc>
          <w:tcPr>
            <w:tcW w:w="1480" w:type="dxa"/>
            <w:gridSpan w:val="3"/>
            <w:tcBorders/>
            <w:shd w:fill="auto" w:val="clear"/>
            <w:vAlign w:val="bottom"/>
          </w:tcPr>
          <w:p>
            <w:pPr>
              <w:pStyle w:val="TableContents"/>
              <w:spacing w:before="0" w:after="283"/>
              <w:jc w:val="center"/>
              <w:rPr/>
            </w:pPr>
            <w:r>
              <w:rPr/>
              <w:t>Earnings in</w:t>
            </w:r>
          </w:p>
        </w:tc>
        <w:tc>
          <w:tcPr>
            <w:tcW w:w="337" w:type="dxa"/>
            <w:tcBorders/>
            <w:shd w:fill="auto" w:val="clear"/>
            <w:vAlign w:val="bottom"/>
          </w:tcPr>
          <w:p>
            <w:pPr>
              <w:pStyle w:val="TableContents"/>
              <w:spacing w:before="0" w:after="283"/>
              <w:rPr/>
            </w:pPr>
            <w:r>
              <w:rPr/>
              <w:t> </w:t>
            </w:r>
          </w:p>
        </w:tc>
        <w:tc>
          <w:tcPr>
            <w:tcW w:w="1630" w:type="dxa"/>
            <w:gridSpan w:val="3"/>
            <w:tcBorders/>
            <w:shd w:fill="auto" w:val="clear"/>
            <w:vAlign w:val="bottom"/>
          </w:tcPr>
          <w:p>
            <w:pPr>
              <w:pStyle w:val="TableContents"/>
              <w:spacing w:before="0" w:after="283"/>
              <w:jc w:val="center"/>
              <w:rPr/>
            </w:pPr>
            <w:r>
              <w:rPr/>
              <w:t>Balance at</w:t>
            </w:r>
          </w:p>
        </w:tc>
      </w:tr>
      <w:tr>
        <w:trPr/>
        <w:tc>
          <w:tcPr>
            <w:tcW w:w="4199"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337" w:type="dxa"/>
            <w:tcBorders/>
            <w:shd w:fill="auto" w:val="clear"/>
            <w:vAlign w:val="bottom"/>
          </w:tcPr>
          <w:p>
            <w:pPr>
              <w:pStyle w:val="TableContents"/>
              <w:spacing w:before="0" w:after="283"/>
              <w:rPr/>
            </w:pPr>
            <w:r>
              <w:rPr/>
              <w:t> </w:t>
            </w:r>
          </w:p>
        </w:tc>
        <w:tc>
          <w:tcPr>
            <w:tcW w:w="1885" w:type="dxa"/>
            <w:gridSpan w:val="3"/>
            <w:tcBorders>
              <w:bottom w:val="single" w:sz="2" w:space="0" w:color="000000"/>
            </w:tcBorders>
            <w:shd w:fill="auto" w:val="clear"/>
            <w:tcMar>
              <w:bottom w:w="28" w:type="dxa"/>
            </w:tcMar>
            <w:vAlign w:val="bottom"/>
          </w:tcPr>
          <w:p>
            <w:pPr>
              <w:pStyle w:val="TableContents"/>
              <w:spacing w:before="0" w:after="283"/>
              <w:jc w:val="center"/>
              <w:rPr/>
            </w:pPr>
            <w:r>
              <w:rPr/>
              <w:t>Last FY ($)</w:t>
            </w:r>
          </w:p>
        </w:tc>
        <w:tc>
          <w:tcPr>
            <w:tcW w:w="337" w:type="dxa"/>
            <w:tcBorders/>
            <w:shd w:fill="auto" w:val="clear"/>
            <w:vAlign w:val="bottom"/>
          </w:tcPr>
          <w:p>
            <w:pPr>
              <w:pStyle w:val="TableContents"/>
              <w:spacing w:before="0" w:after="283"/>
              <w:rPr/>
            </w:pPr>
            <w:r>
              <w:rPr/>
              <w:t> </w:t>
            </w:r>
          </w:p>
        </w:tc>
        <w:tc>
          <w:tcPr>
            <w:tcW w:w="1480" w:type="dxa"/>
            <w:gridSpan w:val="3"/>
            <w:tcBorders>
              <w:bottom w:val="single" w:sz="2" w:space="0" w:color="000000"/>
            </w:tcBorders>
            <w:shd w:fill="auto" w:val="clear"/>
            <w:tcMar>
              <w:bottom w:w="28" w:type="dxa"/>
            </w:tcMar>
            <w:vAlign w:val="bottom"/>
          </w:tcPr>
          <w:p>
            <w:pPr>
              <w:pStyle w:val="TableContents"/>
              <w:spacing w:before="0" w:after="283"/>
              <w:jc w:val="center"/>
              <w:rPr/>
            </w:pPr>
            <w:r>
              <w:rPr/>
              <w:t>Last FY ($)</w:t>
            </w:r>
          </w:p>
        </w:tc>
        <w:tc>
          <w:tcPr>
            <w:tcW w:w="337" w:type="dxa"/>
            <w:tcBorders/>
            <w:shd w:fill="auto" w:val="clear"/>
            <w:vAlign w:val="bottom"/>
          </w:tcPr>
          <w:p>
            <w:pPr>
              <w:pStyle w:val="TableContents"/>
              <w:spacing w:before="0" w:after="283"/>
              <w:rPr/>
            </w:pPr>
            <w:r>
              <w:rPr/>
              <w:t> </w:t>
            </w:r>
          </w:p>
        </w:tc>
        <w:tc>
          <w:tcPr>
            <w:tcW w:w="1630" w:type="dxa"/>
            <w:gridSpan w:val="3"/>
            <w:tcBorders>
              <w:bottom w:val="single" w:sz="2" w:space="0" w:color="000000"/>
            </w:tcBorders>
            <w:shd w:fill="auto" w:val="clear"/>
            <w:tcMar>
              <w:bottom w:w="28" w:type="dxa"/>
            </w:tcMar>
            <w:vAlign w:val="bottom"/>
          </w:tcPr>
          <w:p>
            <w:pPr>
              <w:pStyle w:val="TableContents"/>
              <w:spacing w:before="0" w:after="283"/>
              <w:jc w:val="center"/>
              <w:rPr/>
            </w:pPr>
            <w:r>
              <w:rPr/>
              <w:t>Last FYE ($)</w:t>
            </w:r>
          </w:p>
        </w:tc>
      </w:tr>
      <w:tr>
        <w:trPr/>
        <w:tc>
          <w:tcPr>
            <w:tcW w:w="4199" w:type="dxa"/>
            <w:tcBorders/>
            <w:shd w:fill="CCEEFF" w:val="clear"/>
            <w:vAlign w:val="bottom"/>
          </w:tcPr>
          <w:p>
            <w:pPr>
              <w:pStyle w:val="TableContents"/>
              <w:spacing w:before="0" w:after="0"/>
              <w:ind w:left="225" w:right="0" w:hanging="225"/>
              <w:rPr/>
            </w:pPr>
            <w:r>
              <w:rPr/>
              <w:t>Joseph L. Rotunda</w:t>
            </w:r>
          </w:p>
        </w:tc>
        <w:tc>
          <w:tcPr>
            <w:tcW w:w="337"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355" w:type="dxa"/>
            <w:tcBorders/>
            <w:shd w:fill="CCEEFF" w:val="clear"/>
            <w:vAlign w:val="bottom"/>
          </w:tcPr>
          <w:p>
            <w:pPr>
              <w:pStyle w:val="TableContents"/>
              <w:spacing w:before="0" w:after="283"/>
              <w:jc w:val="right"/>
              <w:rPr/>
            </w:pPr>
            <w:r>
              <w:rPr/>
              <w:t>126,000</w:t>
            </w:r>
          </w:p>
        </w:tc>
        <w:tc>
          <w:tcPr>
            <w:tcW w:w="267"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24,070</w:t>
            </w:r>
          </w:p>
        </w:tc>
        <w:tc>
          <w:tcPr>
            <w:tcW w:w="25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231,542</w:t>
            </w:r>
          </w:p>
        </w:tc>
        <w:tc>
          <w:tcPr>
            <w:tcW w:w="257" w:type="dxa"/>
            <w:tcBorders/>
            <w:shd w:fill="CCEEFF" w:val="clear"/>
            <w:vAlign w:val="bottom"/>
          </w:tcPr>
          <w:p>
            <w:pPr>
              <w:pStyle w:val="TableContents"/>
              <w:spacing w:before="0" w:after="283"/>
              <w:rPr/>
            </w:pPr>
            <w:r>
              <w:rPr/>
              <w:t> </w:t>
            </w:r>
          </w:p>
        </w:tc>
      </w:tr>
      <w:tr>
        <w:trPr/>
        <w:tc>
          <w:tcPr>
            <w:tcW w:w="4199" w:type="dxa"/>
            <w:tcBorders/>
            <w:shd w:fill="auto" w:val="clear"/>
            <w:vAlign w:val="center"/>
          </w:tcPr>
          <w:p>
            <w:pPr>
              <w:pStyle w:val="TableContents"/>
              <w:spacing w:before="0" w:after="283"/>
              <w:rPr/>
            </w:pPr>
            <w:r>
              <w:rPr/>
              <w:t> </w:t>
            </w:r>
          </w:p>
        </w:tc>
        <w:tc>
          <w:tcPr>
            <w:tcW w:w="6006" w:type="dxa"/>
            <w:gridSpan w:val="12"/>
            <w:tcBorders/>
            <w:shd w:fill="auto" w:val="clear"/>
          </w:tcPr>
          <w:p>
            <w:pPr>
              <w:pStyle w:val="TableContents"/>
              <w:spacing w:before="0" w:after="283"/>
              <w:rPr>
                <w:sz w:val="4"/>
                <w:szCs w:val="4"/>
              </w:rPr>
            </w:pPr>
            <w:r>
              <w:rPr>
                <w:sz w:val="4"/>
                <w:szCs w:val="4"/>
              </w:rPr>
            </w:r>
          </w:p>
        </w:tc>
      </w:tr>
      <w:tr>
        <w:trPr/>
        <w:tc>
          <w:tcPr>
            <w:tcW w:w="4199" w:type="dxa"/>
            <w:tcBorders/>
            <w:shd w:fill="auto" w:val="clear"/>
            <w:vAlign w:val="bottom"/>
          </w:tcPr>
          <w:p>
            <w:pPr>
              <w:pStyle w:val="TableContents"/>
              <w:spacing w:before="0" w:after="0"/>
              <w:ind w:left="225" w:right="0" w:hanging="225"/>
              <w:rPr/>
            </w:pPr>
            <w:r>
              <w:rPr/>
              <w:t>Sterling B. Brinkley</w:t>
            </w:r>
          </w:p>
        </w:tc>
        <w:tc>
          <w:tcPr>
            <w:tcW w:w="3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355" w:type="dxa"/>
            <w:tcBorders/>
            <w:shd w:fill="auto" w:val="clear"/>
            <w:vAlign w:val="bottom"/>
          </w:tcPr>
          <w:p>
            <w:pPr>
              <w:pStyle w:val="TableContents"/>
              <w:spacing w:before="0" w:after="283"/>
              <w:jc w:val="right"/>
              <w:rPr/>
            </w:pPr>
            <w:r>
              <w:rPr/>
              <w:t>54,426</w:t>
            </w:r>
          </w:p>
        </w:tc>
        <w:tc>
          <w:tcPr>
            <w:tcW w:w="267"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23,241</w:t>
            </w:r>
          </w:p>
        </w:tc>
        <w:tc>
          <w:tcPr>
            <w:tcW w:w="25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159,107</w:t>
            </w:r>
          </w:p>
        </w:tc>
        <w:tc>
          <w:tcPr>
            <w:tcW w:w="257" w:type="dxa"/>
            <w:tcBorders/>
            <w:shd w:fill="auto" w:val="clear"/>
            <w:vAlign w:val="bottom"/>
          </w:tcPr>
          <w:p>
            <w:pPr>
              <w:pStyle w:val="TableContents"/>
              <w:spacing w:before="0" w:after="283"/>
              <w:rPr/>
            </w:pPr>
            <w:r>
              <w:rPr/>
              <w:t> </w:t>
            </w:r>
          </w:p>
        </w:tc>
      </w:tr>
      <w:tr>
        <w:trPr/>
        <w:tc>
          <w:tcPr>
            <w:tcW w:w="4199" w:type="dxa"/>
            <w:tcBorders/>
            <w:shd w:fill="auto" w:val="clear"/>
            <w:vAlign w:val="center"/>
          </w:tcPr>
          <w:p>
            <w:pPr>
              <w:pStyle w:val="TableContents"/>
              <w:spacing w:before="0" w:after="283"/>
              <w:rPr/>
            </w:pPr>
            <w:r>
              <w:rPr/>
              <w:t> </w:t>
            </w:r>
          </w:p>
        </w:tc>
        <w:tc>
          <w:tcPr>
            <w:tcW w:w="6006" w:type="dxa"/>
            <w:gridSpan w:val="12"/>
            <w:tcBorders/>
            <w:shd w:fill="auto" w:val="clear"/>
          </w:tcPr>
          <w:p>
            <w:pPr>
              <w:pStyle w:val="TableContents"/>
              <w:spacing w:before="0" w:after="283"/>
              <w:rPr>
                <w:sz w:val="4"/>
                <w:szCs w:val="4"/>
              </w:rPr>
            </w:pPr>
            <w:r>
              <w:rPr>
                <w:sz w:val="4"/>
                <w:szCs w:val="4"/>
              </w:rPr>
            </w:r>
          </w:p>
        </w:tc>
      </w:tr>
      <w:tr>
        <w:trPr/>
        <w:tc>
          <w:tcPr>
            <w:tcW w:w="4199" w:type="dxa"/>
            <w:tcBorders/>
            <w:shd w:fill="CCEEFF" w:val="clear"/>
            <w:vAlign w:val="bottom"/>
          </w:tcPr>
          <w:p>
            <w:pPr>
              <w:pStyle w:val="TableContents"/>
              <w:spacing w:before="0" w:after="0"/>
              <w:ind w:left="225" w:right="0" w:hanging="225"/>
              <w:rPr/>
            </w:pPr>
            <w:r>
              <w:rPr/>
              <w:t>Daniel N. Tonissen</w:t>
            </w:r>
          </w:p>
        </w:tc>
        <w:tc>
          <w:tcPr>
            <w:tcW w:w="337"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355" w:type="dxa"/>
            <w:tcBorders/>
            <w:shd w:fill="CCEEFF" w:val="clear"/>
            <w:vAlign w:val="bottom"/>
          </w:tcPr>
          <w:p>
            <w:pPr>
              <w:pStyle w:val="TableContents"/>
              <w:spacing w:before="0" w:after="283"/>
              <w:jc w:val="right"/>
              <w:rPr/>
            </w:pPr>
            <w:r>
              <w:rPr/>
              <w:t>43,600</w:t>
            </w:r>
          </w:p>
        </w:tc>
        <w:tc>
          <w:tcPr>
            <w:tcW w:w="267"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13,843</w:t>
            </w:r>
          </w:p>
        </w:tc>
        <w:tc>
          <w:tcPr>
            <w:tcW w:w="25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90,028</w:t>
            </w:r>
          </w:p>
        </w:tc>
        <w:tc>
          <w:tcPr>
            <w:tcW w:w="257" w:type="dxa"/>
            <w:tcBorders/>
            <w:shd w:fill="CCEEFF" w:val="clear"/>
            <w:vAlign w:val="bottom"/>
          </w:tcPr>
          <w:p>
            <w:pPr>
              <w:pStyle w:val="TableContents"/>
              <w:spacing w:before="0" w:after="283"/>
              <w:rPr/>
            </w:pPr>
            <w:r>
              <w:rPr/>
              <w:t> </w:t>
            </w:r>
          </w:p>
        </w:tc>
      </w:tr>
      <w:tr>
        <w:trPr/>
        <w:tc>
          <w:tcPr>
            <w:tcW w:w="4199" w:type="dxa"/>
            <w:tcBorders/>
            <w:shd w:fill="auto" w:val="clear"/>
            <w:vAlign w:val="center"/>
          </w:tcPr>
          <w:p>
            <w:pPr>
              <w:pStyle w:val="TableContents"/>
              <w:spacing w:before="0" w:after="283"/>
              <w:rPr/>
            </w:pPr>
            <w:r>
              <w:rPr/>
              <w:t> </w:t>
            </w:r>
          </w:p>
        </w:tc>
        <w:tc>
          <w:tcPr>
            <w:tcW w:w="6006" w:type="dxa"/>
            <w:gridSpan w:val="12"/>
            <w:tcBorders/>
            <w:shd w:fill="auto" w:val="clear"/>
          </w:tcPr>
          <w:p>
            <w:pPr>
              <w:pStyle w:val="TableContents"/>
              <w:spacing w:before="0" w:after="283"/>
              <w:rPr>
                <w:sz w:val="4"/>
                <w:szCs w:val="4"/>
              </w:rPr>
            </w:pPr>
            <w:r>
              <w:rPr>
                <w:sz w:val="4"/>
                <w:szCs w:val="4"/>
              </w:rPr>
            </w:r>
          </w:p>
        </w:tc>
      </w:tr>
      <w:tr>
        <w:trPr/>
        <w:tc>
          <w:tcPr>
            <w:tcW w:w="4199" w:type="dxa"/>
            <w:tcBorders/>
            <w:shd w:fill="auto" w:val="clear"/>
            <w:vAlign w:val="bottom"/>
          </w:tcPr>
          <w:p>
            <w:pPr>
              <w:pStyle w:val="TableContents"/>
              <w:spacing w:before="0" w:after="0"/>
              <w:ind w:left="225" w:right="0" w:hanging="225"/>
              <w:rPr/>
            </w:pPr>
            <w:r>
              <w:rPr/>
              <w:t>Robert Kasenter</w:t>
            </w:r>
          </w:p>
        </w:tc>
        <w:tc>
          <w:tcPr>
            <w:tcW w:w="33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355" w:type="dxa"/>
            <w:tcBorders/>
            <w:shd w:fill="auto" w:val="clear"/>
            <w:vAlign w:val="bottom"/>
          </w:tcPr>
          <w:p>
            <w:pPr>
              <w:pStyle w:val="TableContents"/>
              <w:spacing w:before="0" w:after="283"/>
              <w:jc w:val="right"/>
              <w:rPr/>
            </w:pPr>
            <w:r>
              <w:rPr/>
              <w:t>32,400</w:t>
            </w:r>
          </w:p>
        </w:tc>
        <w:tc>
          <w:tcPr>
            <w:tcW w:w="267"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10,563</w:t>
            </w:r>
          </w:p>
        </w:tc>
        <w:tc>
          <w:tcPr>
            <w:tcW w:w="25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75,788</w:t>
            </w:r>
          </w:p>
        </w:tc>
        <w:tc>
          <w:tcPr>
            <w:tcW w:w="257" w:type="dxa"/>
            <w:tcBorders/>
            <w:shd w:fill="auto" w:val="clear"/>
            <w:vAlign w:val="bottom"/>
          </w:tcPr>
          <w:p>
            <w:pPr>
              <w:pStyle w:val="TableContents"/>
              <w:spacing w:before="0" w:after="283"/>
              <w:rPr/>
            </w:pPr>
            <w:r>
              <w:rPr/>
              <w:t> </w:t>
            </w:r>
          </w:p>
        </w:tc>
      </w:tr>
      <w:tr>
        <w:trPr/>
        <w:tc>
          <w:tcPr>
            <w:tcW w:w="4199" w:type="dxa"/>
            <w:tcBorders/>
            <w:shd w:fill="auto" w:val="clear"/>
            <w:vAlign w:val="center"/>
          </w:tcPr>
          <w:p>
            <w:pPr>
              <w:pStyle w:val="TableContents"/>
              <w:spacing w:before="0" w:after="283"/>
              <w:rPr/>
            </w:pPr>
            <w:r>
              <w:rPr/>
              <w:t> </w:t>
            </w:r>
          </w:p>
        </w:tc>
        <w:tc>
          <w:tcPr>
            <w:tcW w:w="6006" w:type="dxa"/>
            <w:gridSpan w:val="12"/>
            <w:tcBorders/>
            <w:shd w:fill="auto" w:val="clear"/>
          </w:tcPr>
          <w:p>
            <w:pPr>
              <w:pStyle w:val="TableContents"/>
              <w:spacing w:before="0" w:after="283"/>
              <w:rPr>
                <w:sz w:val="4"/>
                <w:szCs w:val="4"/>
              </w:rPr>
            </w:pPr>
            <w:r>
              <w:rPr>
                <w:sz w:val="4"/>
                <w:szCs w:val="4"/>
              </w:rPr>
            </w:r>
          </w:p>
        </w:tc>
      </w:tr>
      <w:tr>
        <w:trPr/>
        <w:tc>
          <w:tcPr>
            <w:tcW w:w="4199" w:type="dxa"/>
            <w:tcBorders/>
            <w:shd w:fill="CCEEFF" w:val="clear"/>
            <w:vAlign w:val="bottom"/>
          </w:tcPr>
          <w:p>
            <w:pPr>
              <w:pStyle w:val="TableContents"/>
              <w:spacing w:before="0" w:after="0"/>
              <w:ind w:left="225" w:right="0" w:hanging="225"/>
              <w:rPr/>
            </w:pPr>
            <w:r>
              <w:rPr/>
              <w:t>Eric Fosse</w:t>
            </w:r>
          </w:p>
        </w:tc>
        <w:tc>
          <w:tcPr>
            <w:tcW w:w="337"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355" w:type="dxa"/>
            <w:tcBorders/>
            <w:shd w:fill="CCEEFF" w:val="clear"/>
            <w:vAlign w:val="bottom"/>
          </w:tcPr>
          <w:p>
            <w:pPr>
              <w:pStyle w:val="TableContents"/>
              <w:spacing w:before="0" w:after="283"/>
              <w:jc w:val="right"/>
              <w:rPr/>
            </w:pPr>
            <w:r>
              <w:rPr/>
              <w:t>11,600</w:t>
            </w:r>
          </w:p>
        </w:tc>
        <w:tc>
          <w:tcPr>
            <w:tcW w:w="267"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2,333</w:t>
            </w:r>
          </w:p>
        </w:tc>
        <w:tc>
          <w:tcPr>
            <w:tcW w:w="25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22,398</w:t>
            </w:r>
          </w:p>
        </w:tc>
        <w:tc>
          <w:tcPr>
            <w:tcW w:w="257" w:type="dxa"/>
            <w:tcBorders/>
            <w:shd w:fill="CCEEFF" w:val="clear"/>
            <w:vAlign w:val="bottom"/>
          </w:tcPr>
          <w:p>
            <w:pPr>
              <w:pStyle w:val="TableContents"/>
              <w:spacing w:before="0" w:after="283"/>
              <w:rPr/>
            </w:pPr>
            <w:r>
              <w:rPr/>
              <w:t> </w:t>
            </w:r>
          </w:p>
        </w:tc>
      </w:tr>
    </w:tbl>
    <w:p>
      <w:pPr>
        <w:pStyle w:val="TextBody"/>
        <w:spacing w:before="240" w:after="283"/>
        <w:jc w:val="left"/>
        <w:rPr>
          <w:rFonts w:ascii="Helvetica;Arial;sans-serif" w:hAnsi="Helvetica;Arial;sans-serif"/>
          <w:sz w:val="17"/>
        </w:rPr>
      </w:pPr>
      <w:r>
        <w:rPr>
          <w:rFonts w:ascii="Helvetica;Arial;sans-serif" w:hAnsi="Helvetica;Arial;sans-serif"/>
          <w:b/>
          <w:sz w:val="17"/>
        </w:rPr>
        <w:t>Director Compensation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following table presents the compensation paid to our non-employee directors in fiscal 2007: </w:t>
      </w:r>
    </w:p>
    <w:tbl>
      <w:tblPr>
        <w:tblW w:w="5000" w:type="pct"/>
        <w:jc w:val="center"/>
        <w:tblInd w:w="0" w:type="dxa"/>
        <w:tblCellMar>
          <w:top w:w="0" w:type="dxa"/>
          <w:left w:w="0" w:type="dxa"/>
          <w:bottom w:w="0" w:type="dxa"/>
          <w:right w:w="0" w:type="dxa"/>
        </w:tblCellMar>
      </w:tblPr>
      <w:tblGrid>
        <w:gridCol w:w="4194"/>
        <w:gridCol w:w="337"/>
        <w:gridCol w:w="278"/>
        <w:gridCol w:w="1326"/>
        <w:gridCol w:w="281"/>
        <w:gridCol w:w="337"/>
        <w:gridCol w:w="275"/>
        <w:gridCol w:w="1277"/>
        <w:gridCol w:w="276"/>
        <w:gridCol w:w="337"/>
        <w:gridCol w:w="225"/>
        <w:gridCol w:w="827"/>
        <w:gridCol w:w="235"/>
      </w:tblGrid>
      <w:tr>
        <w:trPr/>
        <w:tc>
          <w:tcPr>
            <w:tcW w:w="4194"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32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277"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r>
      <w:tr>
        <w:trPr/>
        <w:tc>
          <w:tcPr>
            <w:tcW w:w="4194"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885" w:type="dxa"/>
            <w:gridSpan w:val="3"/>
            <w:tcBorders/>
            <w:shd w:fill="auto" w:val="clear"/>
            <w:vAlign w:val="bottom"/>
          </w:tcPr>
          <w:p>
            <w:pPr>
              <w:pStyle w:val="TableContents"/>
              <w:spacing w:before="0" w:after="283"/>
              <w:jc w:val="center"/>
              <w:rPr/>
            </w:pPr>
            <w:r>
              <w:rPr/>
              <w:t>Fees Earned or</w:t>
            </w:r>
          </w:p>
        </w:tc>
        <w:tc>
          <w:tcPr>
            <w:tcW w:w="337" w:type="dxa"/>
            <w:tcBorders/>
            <w:shd w:fill="auto" w:val="clear"/>
            <w:vAlign w:val="bottom"/>
          </w:tcPr>
          <w:p>
            <w:pPr>
              <w:pStyle w:val="TableContents"/>
              <w:spacing w:before="0" w:after="283"/>
              <w:rPr/>
            </w:pPr>
            <w:r>
              <w:rPr/>
              <w:t> </w:t>
            </w:r>
          </w:p>
        </w:tc>
        <w:tc>
          <w:tcPr>
            <w:tcW w:w="1828" w:type="dxa"/>
            <w:gridSpan w:val="3"/>
            <w:tcBorders/>
            <w:shd w:fill="auto" w:val="clear"/>
            <w:vAlign w:val="bottom"/>
          </w:tcPr>
          <w:p>
            <w:pPr>
              <w:pStyle w:val="TableContents"/>
              <w:spacing w:before="0" w:after="283"/>
              <w:jc w:val="center"/>
              <w:rPr/>
            </w:pPr>
            <w:r>
              <w:rPr/>
              <w:t>Option Awards</w:t>
            </w:r>
          </w:p>
        </w:tc>
        <w:tc>
          <w:tcPr>
            <w:tcW w:w="337" w:type="dxa"/>
            <w:tcBorders/>
            <w:shd w:fill="auto" w:val="clear"/>
            <w:vAlign w:val="bottom"/>
          </w:tcPr>
          <w:p>
            <w:pPr>
              <w:pStyle w:val="TableContents"/>
              <w:spacing w:before="0" w:after="283"/>
              <w:rPr/>
            </w:pPr>
            <w:r>
              <w:rPr/>
              <w:t> </w:t>
            </w:r>
          </w:p>
        </w:tc>
        <w:tc>
          <w:tcPr>
            <w:tcW w:w="1287" w:type="dxa"/>
            <w:gridSpan w:val="3"/>
            <w:tcBorders/>
            <w:shd w:fill="auto" w:val="clear"/>
            <w:vAlign w:val="bottom"/>
          </w:tcPr>
          <w:p>
            <w:pPr>
              <w:pStyle w:val="TableContents"/>
              <w:spacing w:before="0" w:after="283"/>
              <w:jc w:val="center"/>
              <w:rPr/>
            </w:pPr>
            <w:r>
              <w:rPr/>
              <w:t> </w:t>
            </w:r>
          </w:p>
        </w:tc>
      </w:tr>
      <w:tr>
        <w:trPr/>
        <w:tc>
          <w:tcPr>
            <w:tcW w:w="4194" w:type="dxa"/>
            <w:tcBorders>
              <w:bottom w:val="single" w:sz="2" w:space="0" w:color="000000"/>
            </w:tcBorders>
            <w:shd w:fill="auto" w:val="clear"/>
            <w:tcMar>
              <w:bottom w:w="28" w:type="dxa"/>
            </w:tcMar>
            <w:vAlign w:val="bottom"/>
          </w:tcPr>
          <w:p>
            <w:pPr>
              <w:pStyle w:val="TableContents"/>
              <w:spacing w:before="0" w:after="283"/>
              <w:jc w:val="center"/>
              <w:rPr/>
            </w:pPr>
            <w:r>
              <w:rPr/>
              <w:t>Name</w:t>
            </w:r>
          </w:p>
        </w:tc>
        <w:tc>
          <w:tcPr>
            <w:tcW w:w="337" w:type="dxa"/>
            <w:tcBorders/>
            <w:shd w:fill="auto" w:val="clear"/>
            <w:vAlign w:val="bottom"/>
          </w:tcPr>
          <w:p>
            <w:pPr>
              <w:pStyle w:val="TableContents"/>
              <w:spacing w:before="0" w:after="283"/>
              <w:rPr/>
            </w:pPr>
            <w:r>
              <w:rPr/>
              <w:t> </w:t>
            </w:r>
          </w:p>
        </w:tc>
        <w:tc>
          <w:tcPr>
            <w:tcW w:w="1885" w:type="dxa"/>
            <w:gridSpan w:val="3"/>
            <w:tcBorders>
              <w:bottom w:val="single" w:sz="2" w:space="0" w:color="000000"/>
            </w:tcBorders>
            <w:shd w:fill="auto" w:val="clear"/>
            <w:tcMar>
              <w:bottom w:w="28" w:type="dxa"/>
            </w:tcMar>
            <w:vAlign w:val="bottom"/>
          </w:tcPr>
          <w:p>
            <w:pPr>
              <w:pStyle w:val="TableContents"/>
              <w:spacing w:before="0" w:after="283"/>
              <w:jc w:val="center"/>
              <w:rPr/>
            </w:pPr>
            <w:r>
              <w:rPr/>
              <w:t>Paid in Cash ($)</w:t>
            </w:r>
          </w:p>
        </w:tc>
        <w:tc>
          <w:tcPr>
            <w:tcW w:w="337" w:type="dxa"/>
            <w:tcBorders/>
            <w:shd w:fill="auto" w:val="clear"/>
            <w:vAlign w:val="bottom"/>
          </w:tcPr>
          <w:p>
            <w:pPr>
              <w:pStyle w:val="TableContents"/>
              <w:spacing w:before="0" w:after="283"/>
              <w:rPr/>
            </w:pPr>
            <w:r>
              <w:rPr/>
              <w:t> </w:t>
            </w:r>
          </w:p>
        </w:tc>
        <w:tc>
          <w:tcPr>
            <w:tcW w:w="1828" w:type="dxa"/>
            <w:gridSpan w:val="3"/>
            <w:tcBorders>
              <w:bottom w:val="single" w:sz="2" w:space="0" w:color="000000"/>
            </w:tcBorders>
            <w:shd w:fill="auto" w:val="clear"/>
            <w:tcMar>
              <w:bottom w:w="28" w:type="dxa"/>
            </w:tcMar>
            <w:vAlign w:val="bottom"/>
          </w:tcPr>
          <w:p>
            <w:pPr>
              <w:pStyle w:val="TableContents"/>
              <w:spacing w:before="0" w:after="283"/>
              <w:jc w:val="center"/>
              <w:rPr/>
            </w:pPr>
            <w:r>
              <w:rPr/>
              <w:t>($) (1)</w:t>
            </w:r>
          </w:p>
        </w:tc>
        <w:tc>
          <w:tcPr>
            <w:tcW w:w="337" w:type="dxa"/>
            <w:tcBorders/>
            <w:shd w:fill="auto" w:val="clear"/>
            <w:vAlign w:val="bottom"/>
          </w:tcPr>
          <w:p>
            <w:pPr>
              <w:pStyle w:val="TableContents"/>
              <w:spacing w:before="0" w:after="283"/>
              <w:rPr/>
            </w:pPr>
            <w:r>
              <w:rPr/>
              <w:t> </w:t>
            </w:r>
          </w:p>
        </w:tc>
        <w:tc>
          <w:tcPr>
            <w:tcW w:w="1287"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 ($)</w:t>
            </w:r>
          </w:p>
        </w:tc>
      </w:tr>
      <w:tr>
        <w:trPr/>
        <w:tc>
          <w:tcPr>
            <w:tcW w:w="4194" w:type="dxa"/>
            <w:tcBorders/>
            <w:shd w:fill="CCEEFF" w:val="clear"/>
            <w:vAlign w:val="bottom"/>
          </w:tcPr>
          <w:p>
            <w:pPr>
              <w:pStyle w:val="TableContents"/>
              <w:spacing w:before="0" w:after="0"/>
              <w:ind w:left="225" w:right="0" w:hanging="225"/>
              <w:rPr/>
            </w:pPr>
            <w:r>
              <w:rPr/>
              <w:t>Richard M. Edwards</w:t>
            </w:r>
          </w:p>
        </w:tc>
        <w:tc>
          <w:tcPr>
            <w:tcW w:w="337"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326" w:type="dxa"/>
            <w:tcBorders/>
            <w:shd w:fill="CCEEFF" w:val="clear"/>
            <w:vAlign w:val="bottom"/>
          </w:tcPr>
          <w:p>
            <w:pPr>
              <w:pStyle w:val="TableContents"/>
              <w:spacing w:before="0" w:after="283"/>
              <w:jc w:val="right"/>
              <w:rPr/>
            </w:pPr>
            <w:r>
              <w:rPr/>
              <w:t>20,000</w:t>
            </w:r>
          </w:p>
        </w:tc>
        <w:tc>
          <w:tcPr>
            <w:tcW w:w="281"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77" w:type="dxa"/>
            <w:tcBorders/>
            <w:shd w:fill="CCEEFF" w:val="clear"/>
            <w:vAlign w:val="bottom"/>
          </w:tcPr>
          <w:p>
            <w:pPr>
              <w:pStyle w:val="TableContents"/>
              <w:spacing w:before="0" w:after="283"/>
              <w:jc w:val="right"/>
              <w:rPr/>
            </w:pPr>
            <w:r>
              <w:rPr/>
              <w:t>2,745</w:t>
            </w:r>
          </w:p>
        </w:tc>
        <w:tc>
          <w:tcPr>
            <w:tcW w:w="276"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22,745</w:t>
            </w:r>
          </w:p>
        </w:tc>
        <w:tc>
          <w:tcPr>
            <w:tcW w:w="235" w:type="dxa"/>
            <w:tcBorders/>
            <w:shd w:fill="CCEEFF" w:val="clear"/>
            <w:vAlign w:val="bottom"/>
          </w:tcPr>
          <w:p>
            <w:pPr>
              <w:pStyle w:val="TableContents"/>
              <w:spacing w:before="0" w:after="283"/>
              <w:rPr/>
            </w:pPr>
            <w:r>
              <w:rPr/>
              <w:t> </w:t>
            </w:r>
          </w:p>
        </w:tc>
      </w:tr>
      <w:tr>
        <w:trPr/>
        <w:tc>
          <w:tcPr>
            <w:tcW w:w="4194" w:type="dxa"/>
            <w:tcBorders/>
            <w:shd w:fill="auto" w:val="clear"/>
            <w:vAlign w:val="center"/>
          </w:tcPr>
          <w:p>
            <w:pPr>
              <w:pStyle w:val="TableContents"/>
              <w:spacing w:before="0" w:after="283"/>
              <w:rPr/>
            </w:pPr>
            <w:r>
              <w:rPr/>
              <w:t> </w:t>
            </w:r>
          </w:p>
        </w:tc>
        <w:tc>
          <w:tcPr>
            <w:tcW w:w="6011" w:type="dxa"/>
            <w:gridSpan w:val="12"/>
            <w:tcBorders/>
            <w:shd w:fill="auto" w:val="clear"/>
          </w:tcPr>
          <w:p>
            <w:pPr>
              <w:pStyle w:val="TableContents"/>
              <w:spacing w:before="0" w:after="283"/>
              <w:rPr>
                <w:sz w:val="4"/>
                <w:szCs w:val="4"/>
              </w:rPr>
            </w:pPr>
            <w:r>
              <w:rPr>
                <w:sz w:val="4"/>
                <w:szCs w:val="4"/>
              </w:rPr>
            </w:r>
          </w:p>
        </w:tc>
      </w:tr>
      <w:tr>
        <w:trPr/>
        <w:tc>
          <w:tcPr>
            <w:tcW w:w="4194" w:type="dxa"/>
            <w:tcBorders/>
            <w:shd w:fill="auto" w:val="clear"/>
            <w:vAlign w:val="bottom"/>
          </w:tcPr>
          <w:p>
            <w:pPr>
              <w:pStyle w:val="TableContents"/>
              <w:spacing w:before="0" w:after="0"/>
              <w:ind w:left="225" w:right="0" w:hanging="225"/>
              <w:rPr/>
            </w:pPr>
            <w:r>
              <w:rPr/>
              <w:t>Gary Matzner</w:t>
            </w:r>
          </w:p>
        </w:tc>
        <w:tc>
          <w:tcPr>
            <w:tcW w:w="33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326" w:type="dxa"/>
            <w:tcBorders/>
            <w:shd w:fill="auto" w:val="clear"/>
            <w:vAlign w:val="bottom"/>
          </w:tcPr>
          <w:p>
            <w:pPr>
              <w:pStyle w:val="TableContents"/>
              <w:spacing w:before="0" w:after="283"/>
              <w:jc w:val="right"/>
              <w:rPr/>
            </w:pPr>
            <w:r>
              <w:rPr/>
              <w:t>60,000</w:t>
            </w:r>
          </w:p>
        </w:tc>
        <w:tc>
          <w:tcPr>
            <w:tcW w:w="28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277" w:type="dxa"/>
            <w:tcBorders/>
            <w:shd w:fill="auto" w:val="clear"/>
            <w:vAlign w:val="bottom"/>
          </w:tcPr>
          <w:p>
            <w:pPr>
              <w:pStyle w:val="TableContents"/>
              <w:spacing w:before="0" w:after="283"/>
              <w:jc w:val="right"/>
              <w:rPr/>
            </w:pPr>
            <w:r>
              <w:rPr/>
              <w:t>69,227</w:t>
            </w:r>
          </w:p>
        </w:tc>
        <w:tc>
          <w:tcPr>
            <w:tcW w:w="276"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129,227</w:t>
            </w:r>
          </w:p>
        </w:tc>
        <w:tc>
          <w:tcPr>
            <w:tcW w:w="235" w:type="dxa"/>
            <w:tcBorders/>
            <w:shd w:fill="auto" w:val="clear"/>
            <w:vAlign w:val="bottom"/>
          </w:tcPr>
          <w:p>
            <w:pPr>
              <w:pStyle w:val="TableContents"/>
              <w:spacing w:before="0" w:after="283"/>
              <w:rPr/>
            </w:pPr>
            <w:r>
              <w:rPr/>
              <w:t> </w:t>
            </w:r>
          </w:p>
        </w:tc>
      </w:tr>
      <w:tr>
        <w:trPr/>
        <w:tc>
          <w:tcPr>
            <w:tcW w:w="4194" w:type="dxa"/>
            <w:tcBorders/>
            <w:shd w:fill="auto" w:val="clear"/>
            <w:vAlign w:val="center"/>
          </w:tcPr>
          <w:p>
            <w:pPr>
              <w:pStyle w:val="TableContents"/>
              <w:spacing w:before="0" w:after="283"/>
              <w:rPr/>
            </w:pPr>
            <w:r>
              <w:rPr/>
              <w:t> </w:t>
            </w:r>
          </w:p>
        </w:tc>
        <w:tc>
          <w:tcPr>
            <w:tcW w:w="6011" w:type="dxa"/>
            <w:gridSpan w:val="12"/>
            <w:tcBorders/>
            <w:shd w:fill="auto" w:val="clear"/>
          </w:tcPr>
          <w:p>
            <w:pPr>
              <w:pStyle w:val="TableContents"/>
              <w:spacing w:before="0" w:after="283"/>
              <w:rPr>
                <w:sz w:val="4"/>
                <w:szCs w:val="4"/>
              </w:rPr>
            </w:pPr>
            <w:r>
              <w:rPr>
                <w:sz w:val="4"/>
                <w:szCs w:val="4"/>
              </w:rPr>
            </w:r>
          </w:p>
        </w:tc>
      </w:tr>
      <w:tr>
        <w:trPr/>
        <w:tc>
          <w:tcPr>
            <w:tcW w:w="4194" w:type="dxa"/>
            <w:tcBorders/>
            <w:shd w:fill="CCEEFF" w:val="clear"/>
            <w:vAlign w:val="bottom"/>
          </w:tcPr>
          <w:p>
            <w:pPr>
              <w:pStyle w:val="TableContents"/>
              <w:spacing w:before="0" w:after="0"/>
              <w:ind w:left="225" w:right="0" w:hanging="225"/>
              <w:rPr/>
            </w:pPr>
            <w:r>
              <w:rPr/>
              <w:t>Thomas C. Roberts</w:t>
            </w:r>
          </w:p>
        </w:tc>
        <w:tc>
          <w:tcPr>
            <w:tcW w:w="337"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326" w:type="dxa"/>
            <w:tcBorders/>
            <w:shd w:fill="CCEEFF" w:val="clear"/>
            <w:vAlign w:val="bottom"/>
          </w:tcPr>
          <w:p>
            <w:pPr>
              <w:pStyle w:val="TableContents"/>
              <w:spacing w:before="0" w:after="283"/>
              <w:jc w:val="right"/>
              <w:rPr/>
            </w:pPr>
            <w:r>
              <w:rPr/>
              <w:t>70,000</w:t>
            </w:r>
          </w:p>
        </w:tc>
        <w:tc>
          <w:tcPr>
            <w:tcW w:w="281"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277" w:type="dxa"/>
            <w:tcBorders/>
            <w:shd w:fill="CCEEFF" w:val="clear"/>
            <w:vAlign w:val="bottom"/>
          </w:tcPr>
          <w:p>
            <w:pPr>
              <w:pStyle w:val="TableContents"/>
              <w:spacing w:before="0" w:after="283"/>
              <w:jc w:val="right"/>
              <w:rPr/>
            </w:pPr>
            <w:r>
              <w:rPr/>
              <w:t>68,124</w:t>
            </w:r>
          </w:p>
        </w:tc>
        <w:tc>
          <w:tcPr>
            <w:tcW w:w="276"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138,124</w:t>
            </w:r>
          </w:p>
        </w:tc>
        <w:tc>
          <w:tcPr>
            <w:tcW w:w="235" w:type="dxa"/>
            <w:tcBorders/>
            <w:shd w:fill="CCEEFF" w:val="clear"/>
            <w:vAlign w:val="bottom"/>
          </w:tcPr>
          <w:p>
            <w:pPr>
              <w:pStyle w:val="TableContents"/>
              <w:spacing w:before="0" w:after="283"/>
              <w:rPr/>
            </w:pPr>
            <w:r>
              <w:rPr/>
              <w:t> </w:t>
            </w:r>
          </w:p>
        </w:tc>
      </w:tr>
      <w:tr>
        <w:trPr/>
        <w:tc>
          <w:tcPr>
            <w:tcW w:w="4194" w:type="dxa"/>
            <w:tcBorders/>
            <w:shd w:fill="auto" w:val="clear"/>
            <w:vAlign w:val="center"/>
          </w:tcPr>
          <w:p>
            <w:pPr>
              <w:pStyle w:val="TableContents"/>
              <w:spacing w:before="0" w:after="283"/>
              <w:rPr/>
            </w:pPr>
            <w:r>
              <w:rPr/>
              <w:t> </w:t>
            </w:r>
          </w:p>
        </w:tc>
        <w:tc>
          <w:tcPr>
            <w:tcW w:w="6011" w:type="dxa"/>
            <w:gridSpan w:val="12"/>
            <w:tcBorders/>
            <w:shd w:fill="auto" w:val="clear"/>
          </w:tcPr>
          <w:p>
            <w:pPr>
              <w:pStyle w:val="TableContents"/>
              <w:spacing w:before="0" w:after="283"/>
              <w:rPr>
                <w:sz w:val="4"/>
                <w:szCs w:val="4"/>
              </w:rPr>
            </w:pPr>
            <w:r>
              <w:rPr>
                <w:sz w:val="4"/>
                <w:szCs w:val="4"/>
              </w:rPr>
            </w:r>
          </w:p>
        </w:tc>
      </w:tr>
      <w:tr>
        <w:trPr/>
        <w:tc>
          <w:tcPr>
            <w:tcW w:w="4194" w:type="dxa"/>
            <w:tcBorders/>
            <w:shd w:fill="auto" w:val="clear"/>
            <w:vAlign w:val="bottom"/>
          </w:tcPr>
          <w:p>
            <w:pPr>
              <w:pStyle w:val="TableContents"/>
              <w:spacing w:before="0" w:after="0"/>
              <w:ind w:left="225" w:right="0" w:hanging="225"/>
              <w:rPr/>
            </w:pPr>
            <w:r>
              <w:rPr/>
              <w:t>Richard D. Sage</w:t>
            </w:r>
          </w:p>
        </w:tc>
        <w:tc>
          <w:tcPr>
            <w:tcW w:w="33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326" w:type="dxa"/>
            <w:tcBorders/>
            <w:shd w:fill="auto" w:val="clear"/>
            <w:vAlign w:val="bottom"/>
          </w:tcPr>
          <w:p>
            <w:pPr>
              <w:pStyle w:val="TableContents"/>
              <w:spacing w:before="0" w:after="283"/>
              <w:jc w:val="right"/>
              <w:rPr/>
            </w:pPr>
            <w:r>
              <w:rPr/>
              <w:t>67,000</w:t>
            </w:r>
          </w:p>
        </w:tc>
        <w:tc>
          <w:tcPr>
            <w:tcW w:w="28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277" w:type="dxa"/>
            <w:tcBorders/>
            <w:shd w:fill="auto" w:val="clear"/>
            <w:vAlign w:val="bottom"/>
          </w:tcPr>
          <w:p>
            <w:pPr>
              <w:pStyle w:val="TableContents"/>
              <w:spacing w:before="0" w:after="283"/>
              <w:jc w:val="right"/>
              <w:rPr/>
            </w:pPr>
            <w:r>
              <w:rPr/>
              <w:t>69,290</w:t>
            </w:r>
          </w:p>
        </w:tc>
        <w:tc>
          <w:tcPr>
            <w:tcW w:w="276"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136,290</w:t>
            </w:r>
          </w:p>
        </w:tc>
        <w:tc>
          <w:tcPr>
            <w:tcW w:w="235"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14"/>
        <w:gridCol w:w="2205"/>
        <w:gridCol w:w="1386"/>
      </w:tblGrid>
      <w:tr>
        <w:trPr/>
        <w:tc>
          <w:tcPr>
            <w:tcW w:w="6614"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(1)</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The amounts in the Option Awards column reflect the dollar amount we have recognized for financial statement reporting purposes (excluding estimated forfeitures) for the year ended September 30, 2007, in accordance with SFAS No. 123(R) of stock option awards, including awards granted in and prior to 2007. Assumptions used in the calculation of these amounts are included in the footnotes to our audited financial statements included in this annual report.</w:t>
            </w:r>
          </w:p>
        </w:tc>
      </w:tr>
    </w:tbl>
    <w:p>
      <w:pPr>
        <w:pStyle w:val="TextBody"/>
        <w:jc w:val="center"/>
        <w:rPr>
          <w:rFonts w:ascii="Helvetica;Arial;sans-serif" w:hAnsi="Helvetica;Arial;sans-serif"/>
          <w:sz w:val="17"/>
        </w:rPr>
      </w:pPr>
      <w:r>
        <w:rPr>
          <w:rFonts w:ascii="Helvetica;Arial;sans-serif" w:hAnsi="Helvetica;Arial;sans-serif"/>
          <w:sz w:val="17"/>
        </w:rPr>
        <w:t xml:space="preserve">93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Helvetica;Arial;sans-serif" w:hAnsi="Helvetica;Arial;sans-serif"/>
          <w:sz w:val="17"/>
        </w:rPr>
      </w:pPr>
      <w:bookmarkStart w:id="27" w:name="118"/>
      <w:bookmarkEnd w:id="27"/>
      <w:r>
        <w:rPr>
          <w:rFonts w:ascii="Helvetica;Arial;sans-serif" w:hAnsi="Helvetica;Arial;sans-serif"/>
          <w:b/>
          <w:sz w:val="17"/>
        </w:rPr>
        <w:t>Item 12. Security Ownership of Certain Beneficial Owners and Management and Related Stockholder Matters</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b/>
          <w:i/>
          <w:sz w:val="17"/>
        </w:rPr>
        <w:t>Security Ownership of Management and Principal Stockholders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Phillip Ean Cohen indirectly controls EZCORP through his ownership of all of the issued and outstanding stock of MS Pawn Corporation, the sole general partner of MS Pawn Limited Partnership (MS Pawn), which owns 100% of our Class B Voting Common Stock. The table below presents information regarding the beneficial ownership of our Common Stock as of October 31, 2007 for (i) each of our current directors, (ii) each of the named executive officers, (iii) beneficial owners known to the registrant to own more than five percent of any class of our voting securities, and (iv) all current officers and directors as a group.</w:t>
      </w:r>
    </w:p>
    <w:tbl>
      <w:tblPr>
        <w:tblW w:w="5000" w:type="pct"/>
        <w:jc w:val="center"/>
        <w:tblInd w:w="0" w:type="dxa"/>
        <w:tblCellMar>
          <w:top w:w="0" w:type="dxa"/>
          <w:left w:w="0" w:type="dxa"/>
          <w:bottom w:w="0" w:type="dxa"/>
          <w:right w:w="0" w:type="dxa"/>
        </w:tblCellMar>
      </w:tblPr>
      <w:tblGrid>
        <w:gridCol w:w="3491"/>
        <w:gridCol w:w="198"/>
        <w:gridCol w:w="142"/>
        <w:gridCol w:w="982"/>
        <w:gridCol w:w="366"/>
        <w:gridCol w:w="198"/>
        <w:gridCol w:w="142"/>
        <w:gridCol w:w="456"/>
        <w:gridCol w:w="556"/>
        <w:gridCol w:w="198"/>
        <w:gridCol w:w="142"/>
        <w:gridCol w:w="982"/>
        <w:gridCol w:w="141"/>
        <w:gridCol w:w="198"/>
        <w:gridCol w:w="148"/>
        <w:gridCol w:w="437"/>
        <w:gridCol w:w="316"/>
        <w:gridCol w:w="198"/>
        <w:gridCol w:w="148"/>
        <w:gridCol w:w="437"/>
        <w:gridCol w:w="329"/>
      </w:tblGrid>
      <w:tr>
        <w:trPr/>
        <w:tc>
          <w:tcPr>
            <w:tcW w:w="34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2842" w:type="dxa"/>
            <w:gridSpan w:val="7"/>
            <w:tcBorders/>
            <w:shd w:fill="auto" w:val="clear"/>
            <w:vAlign w:val="bottom"/>
          </w:tcPr>
          <w:p>
            <w:pPr>
              <w:pStyle w:val="TableContents"/>
              <w:spacing w:before="0" w:after="283"/>
              <w:jc w:val="center"/>
              <w:rPr/>
            </w:pPr>
            <w:r>
              <w:rPr/>
              <w:t>Class A Non-Voting</w:t>
            </w:r>
          </w:p>
        </w:tc>
        <w:tc>
          <w:tcPr>
            <w:tcW w:w="198" w:type="dxa"/>
            <w:tcBorders/>
            <w:shd w:fill="auto" w:val="clear"/>
            <w:vAlign w:val="bottom"/>
          </w:tcPr>
          <w:p>
            <w:pPr>
              <w:pStyle w:val="TableContents"/>
              <w:spacing w:before="0" w:after="283"/>
              <w:rPr/>
            </w:pPr>
            <w:r>
              <w:rPr/>
              <w:t> </w:t>
            </w:r>
          </w:p>
        </w:tc>
        <w:tc>
          <w:tcPr>
            <w:tcW w:w="2364" w:type="dxa"/>
            <w:gridSpan w:val="7"/>
            <w:tcBorders/>
            <w:shd w:fill="auto" w:val="clear"/>
            <w:vAlign w:val="bottom"/>
          </w:tcPr>
          <w:p>
            <w:pPr>
              <w:pStyle w:val="TableContents"/>
              <w:spacing w:before="0" w:after="283"/>
              <w:jc w:val="center"/>
              <w:rPr/>
            </w:pPr>
            <w:r>
              <w:rPr/>
              <w:t>Class B Voting</w:t>
            </w:r>
          </w:p>
        </w:tc>
        <w:tc>
          <w:tcPr>
            <w:tcW w:w="198" w:type="dxa"/>
            <w:tcBorders/>
            <w:shd w:fill="auto" w:val="clear"/>
            <w:vAlign w:val="bottom"/>
          </w:tcPr>
          <w:p>
            <w:pPr>
              <w:pStyle w:val="TableContents"/>
              <w:spacing w:before="0" w:after="283"/>
              <w:rPr/>
            </w:pPr>
            <w:r>
              <w:rPr/>
              <w:t> </w:t>
            </w:r>
          </w:p>
        </w:tc>
        <w:tc>
          <w:tcPr>
            <w:tcW w:w="914" w:type="dxa"/>
            <w:gridSpan w:val="3"/>
            <w:tcBorders/>
            <w:shd w:fill="auto" w:val="clear"/>
            <w:vAlign w:val="bottom"/>
          </w:tcPr>
          <w:p>
            <w:pPr>
              <w:pStyle w:val="TableContents"/>
              <w:spacing w:before="0" w:after="283"/>
              <w:jc w:val="center"/>
              <w:rPr/>
            </w:pPr>
            <w:r>
              <w:rPr/>
              <w:t> </w:t>
            </w:r>
          </w:p>
        </w:tc>
      </w:tr>
      <w:tr>
        <w:trPr/>
        <w:tc>
          <w:tcPr>
            <w:tcW w:w="3491" w:type="dxa"/>
            <w:tcBorders>
              <w:bottom w:val="single" w:sz="2" w:space="0" w:color="000000"/>
            </w:tcBorders>
            <w:shd w:fill="auto" w:val="clear"/>
            <w:tcMar>
              <w:bottom w:w="28" w:type="dxa"/>
            </w:tcMar>
            <w:vAlign w:val="bottom"/>
          </w:tcPr>
          <w:p>
            <w:pPr>
              <w:pStyle w:val="TableContents"/>
              <w:spacing w:before="0" w:after="283"/>
              <w:jc w:val="center"/>
              <w:rPr/>
            </w:pPr>
            <w:r>
              <w:rPr/>
              <w:t>Name and Address of the</w:t>
            </w:r>
          </w:p>
        </w:tc>
        <w:tc>
          <w:tcPr>
            <w:tcW w:w="198" w:type="dxa"/>
            <w:tcBorders/>
            <w:shd w:fill="auto" w:val="clear"/>
            <w:vAlign w:val="bottom"/>
          </w:tcPr>
          <w:p>
            <w:pPr>
              <w:pStyle w:val="TableContents"/>
              <w:spacing w:before="0" w:after="283"/>
              <w:rPr/>
            </w:pPr>
            <w:r>
              <w:rPr/>
              <w:t> </w:t>
            </w:r>
          </w:p>
        </w:tc>
        <w:tc>
          <w:tcPr>
            <w:tcW w:w="2842" w:type="dxa"/>
            <w:gridSpan w:val="7"/>
            <w:tcBorders>
              <w:bottom w:val="single" w:sz="2" w:space="0" w:color="000000"/>
            </w:tcBorders>
            <w:shd w:fill="auto" w:val="clear"/>
            <w:tcMar>
              <w:bottom w:w="28" w:type="dxa"/>
            </w:tcMar>
            <w:vAlign w:val="bottom"/>
          </w:tcPr>
          <w:p>
            <w:pPr>
              <w:pStyle w:val="TableContents"/>
              <w:spacing w:before="0" w:after="283"/>
              <w:jc w:val="center"/>
              <w:rPr/>
            </w:pPr>
            <w:r>
              <w:rPr/>
              <w:t>Common Stock</w:t>
            </w:r>
          </w:p>
        </w:tc>
        <w:tc>
          <w:tcPr>
            <w:tcW w:w="198" w:type="dxa"/>
            <w:tcBorders/>
            <w:shd w:fill="auto" w:val="clear"/>
            <w:vAlign w:val="bottom"/>
          </w:tcPr>
          <w:p>
            <w:pPr>
              <w:pStyle w:val="TableContents"/>
              <w:spacing w:before="0" w:after="283"/>
              <w:rPr/>
            </w:pPr>
            <w:r>
              <w:rPr/>
              <w:t> </w:t>
            </w:r>
          </w:p>
        </w:tc>
        <w:tc>
          <w:tcPr>
            <w:tcW w:w="2364" w:type="dxa"/>
            <w:gridSpan w:val="7"/>
            <w:tcBorders>
              <w:bottom w:val="single" w:sz="2" w:space="0" w:color="000000"/>
            </w:tcBorders>
            <w:shd w:fill="auto" w:val="clear"/>
            <w:tcMar>
              <w:bottom w:w="28" w:type="dxa"/>
            </w:tcMar>
            <w:vAlign w:val="bottom"/>
          </w:tcPr>
          <w:p>
            <w:pPr>
              <w:pStyle w:val="TableContents"/>
              <w:spacing w:before="0" w:after="283"/>
              <w:jc w:val="center"/>
              <w:rPr/>
            </w:pPr>
            <w:r>
              <w:rPr/>
              <w:t>Common Stock</w:t>
            </w:r>
          </w:p>
        </w:tc>
        <w:tc>
          <w:tcPr>
            <w:tcW w:w="198" w:type="dxa"/>
            <w:tcBorders/>
            <w:shd w:fill="auto" w:val="clear"/>
            <w:vAlign w:val="bottom"/>
          </w:tcPr>
          <w:p>
            <w:pPr>
              <w:pStyle w:val="TableContents"/>
              <w:spacing w:before="0" w:after="283"/>
              <w:rPr/>
            </w:pPr>
            <w:r>
              <w:rPr/>
              <w:t> </w:t>
            </w:r>
          </w:p>
        </w:tc>
        <w:tc>
          <w:tcPr>
            <w:tcW w:w="914" w:type="dxa"/>
            <w:gridSpan w:val="3"/>
            <w:tcBorders>
              <w:bottom w:val="single" w:sz="2" w:space="0" w:color="000000"/>
            </w:tcBorders>
            <w:shd w:fill="auto" w:val="clear"/>
            <w:tcMar>
              <w:bottom w:w="28" w:type="dxa"/>
            </w:tcMar>
            <w:vAlign w:val="bottom"/>
          </w:tcPr>
          <w:p>
            <w:pPr>
              <w:pStyle w:val="TableContents"/>
              <w:spacing w:before="0" w:after="283"/>
              <w:jc w:val="center"/>
              <w:rPr/>
            </w:pPr>
            <w:r>
              <w:rPr/>
              <w:t>Voting</w:t>
            </w:r>
          </w:p>
        </w:tc>
      </w:tr>
      <w:tr>
        <w:trPr/>
        <w:tc>
          <w:tcPr>
            <w:tcW w:w="3491" w:type="dxa"/>
            <w:tcBorders>
              <w:bottom w:val="single" w:sz="2" w:space="0" w:color="000000"/>
            </w:tcBorders>
            <w:shd w:fill="auto" w:val="clear"/>
            <w:tcMar>
              <w:bottom w:w="28" w:type="dxa"/>
            </w:tcMar>
            <w:vAlign w:val="bottom"/>
          </w:tcPr>
          <w:p>
            <w:pPr>
              <w:pStyle w:val="TableContents"/>
              <w:spacing w:before="0" w:after="283"/>
              <w:jc w:val="center"/>
              <w:rPr/>
            </w:pPr>
            <w:r>
              <w:rPr/>
              <w:t>Beneficial Owners (a)</w:t>
            </w:r>
          </w:p>
        </w:tc>
        <w:tc>
          <w:tcPr>
            <w:tcW w:w="198" w:type="dxa"/>
            <w:tcBorders/>
            <w:shd w:fill="auto" w:val="clear"/>
            <w:vAlign w:val="bottom"/>
          </w:tcPr>
          <w:p>
            <w:pPr>
              <w:pStyle w:val="TableContents"/>
              <w:spacing w:before="0" w:after="283"/>
              <w:rPr/>
            </w:pPr>
            <w:r>
              <w:rPr/>
              <w:t> </w:t>
            </w:r>
          </w:p>
        </w:tc>
        <w:tc>
          <w:tcPr>
            <w:tcW w:w="1490" w:type="dxa"/>
            <w:gridSpan w:val="3"/>
            <w:tcBorders>
              <w:bottom w:val="single" w:sz="2" w:space="0" w:color="000000"/>
            </w:tcBorders>
            <w:shd w:fill="auto" w:val="clear"/>
            <w:tcMar>
              <w:bottom w:w="28" w:type="dxa"/>
            </w:tcMar>
            <w:vAlign w:val="bottom"/>
          </w:tcPr>
          <w:p>
            <w:pPr>
              <w:pStyle w:val="TableContents"/>
              <w:spacing w:before="0" w:after="283"/>
              <w:jc w:val="center"/>
              <w:rPr/>
            </w:pPr>
            <w:r>
              <w:rPr/>
              <w:t>Number</w:t>
            </w:r>
          </w:p>
        </w:tc>
        <w:tc>
          <w:tcPr>
            <w:tcW w:w="198" w:type="dxa"/>
            <w:tcBorders/>
            <w:shd w:fill="auto" w:val="clear"/>
            <w:vAlign w:val="bottom"/>
          </w:tcPr>
          <w:p>
            <w:pPr>
              <w:pStyle w:val="TableContents"/>
              <w:spacing w:before="0" w:after="283"/>
              <w:rPr/>
            </w:pPr>
            <w:r>
              <w:rPr/>
              <w:t> </w:t>
            </w:r>
          </w:p>
        </w:tc>
        <w:tc>
          <w:tcPr>
            <w:tcW w:w="1154" w:type="dxa"/>
            <w:gridSpan w:val="3"/>
            <w:tcBorders>
              <w:bottom w:val="single" w:sz="2" w:space="0" w:color="000000"/>
            </w:tcBorders>
            <w:shd w:fill="auto" w:val="clear"/>
            <w:tcMar>
              <w:bottom w:w="28" w:type="dxa"/>
            </w:tcMar>
            <w:vAlign w:val="bottom"/>
          </w:tcPr>
          <w:p>
            <w:pPr>
              <w:pStyle w:val="TableContents"/>
              <w:spacing w:before="0" w:after="283"/>
              <w:jc w:val="center"/>
              <w:rPr/>
            </w:pPr>
            <w:r>
              <w:rPr/>
              <w:t>Percent</w:t>
            </w:r>
          </w:p>
        </w:tc>
        <w:tc>
          <w:tcPr>
            <w:tcW w:w="198" w:type="dxa"/>
            <w:tcBorders/>
            <w:shd w:fill="auto" w:val="clear"/>
            <w:vAlign w:val="bottom"/>
          </w:tcPr>
          <w:p>
            <w:pPr>
              <w:pStyle w:val="TableContents"/>
              <w:spacing w:before="0" w:after="283"/>
              <w:rPr/>
            </w:pPr>
            <w:r>
              <w:rPr/>
              <w:t> </w:t>
            </w:r>
          </w:p>
        </w:tc>
        <w:tc>
          <w:tcPr>
            <w:tcW w:w="1265" w:type="dxa"/>
            <w:gridSpan w:val="3"/>
            <w:tcBorders>
              <w:bottom w:val="single" w:sz="2" w:space="0" w:color="000000"/>
            </w:tcBorders>
            <w:shd w:fill="auto" w:val="clear"/>
            <w:tcMar>
              <w:bottom w:w="28" w:type="dxa"/>
            </w:tcMar>
            <w:vAlign w:val="bottom"/>
          </w:tcPr>
          <w:p>
            <w:pPr>
              <w:pStyle w:val="TableContents"/>
              <w:spacing w:before="0" w:after="283"/>
              <w:jc w:val="center"/>
              <w:rPr/>
            </w:pPr>
            <w:r>
              <w:rPr/>
              <w:t>Number</w:t>
            </w:r>
          </w:p>
        </w:tc>
        <w:tc>
          <w:tcPr>
            <w:tcW w:w="198" w:type="dxa"/>
            <w:tcBorders/>
            <w:shd w:fill="auto" w:val="clear"/>
            <w:vAlign w:val="bottom"/>
          </w:tcPr>
          <w:p>
            <w:pPr>
              <w:pStyle w:val="TableContents"/>
              <w:spacing w:before="0" w:after="283"/>
              <w:rPr/>
            </w:pPr>
            <w:r>
              <w:rPr/>
              <w:t> </w:t>
            </w:r>
          </w:p>
        </w:tc>
        <w:tc>
          <w:tcPr>
            <w:tcW w:w="901" w:type="dxa"/>
            <w:gridSpan w:val="3"/>
            <w:tcBorders>
              <w:bottom w:val="single" w:sz="2" w:space="0" w:color="000000"/>
            </w:tcBorders>
            <w:shd w:fill="auto" w:val="clear"/>
            <w:tcMar>
              <w:bottom w:w="28" w:type="dxa"/>
            </w:tcMar>
            <w:vAlign w:val="bottom"/>
          </w:tcPr>
          <w:p>
            <w:pPr>
              <w:pStyle w:val="TableContents"/>
              <w:spacing w:before="0" w:after="283"/>
              <w:jc w:val="center"/>
              <w:rPr/>
            </w:pPr>
            <w:r>
              <w:rPr/>
              <w:t>Percent</w:t>
            </w:r>
          </w:p>
        </w:tc>
        <w:tc>
          <w:tcPr>
            <w:tcW w:w="198" w:type="dxa"/>
            <w:tcBorders/>
            <w:shd w:fill="auto" w:val="clear"/>
            <w:vAlign w:val="bottom"/>
          </w:tcPr>
          <w:p>
            <w:pPr>
              <w:pStyle w:val="TableContents"/>
              <w:spacing w:before="0" w:after="283"/>
              <w:rPr/>
            </w:pPr>
            <w:r>
              <w:rPr/>
              <w:t> </w:t>
            </w:r>
          </w:p>
        </w:tc>
        <w:tc>
          <w:tcPr>
            <w:tcW w:w="914" w:type="dxa"/>
            <w:gridSpan w:val="3"/>
            <w:tcBorders>
              <w:bottom w:val="single" w:sz="2" w:space="0" w:color="000000"/>
            </w:tcBorders>
            <w:shd w:fill="auto" w:val="clear"/>
            <w:tcMar>
              <w:bottom w:w="28" w:type="dxa"/>
            </w:tcMar>
            <w:vAlign w:val="bottom"/>
          </w:tcPr>
          <w:p>
            <w:pPr>
              <w:pStyle w:val="TableContents"/>
              <w:spacing w:before="0" w:after="283"/>
              <w:jc w:val="center"/>
              <w:rPr/>
            </w:pPr>
            <w:r>
              <w:rPr/>
              <w:t>Percent</w:t>
            </w:r>
          </w:p>
        </w:tc>
      </w:tr>
      <w:tr>
        <w:trPr/>
        <w:tc>
          <w:tcPr>
            <w:tcW w:w="3491" w:type="dxa"/>
            <w:tcBorders/>
            <w:shd w:fill="CCEEFF" w:val="clear"/>
            <w:vAlign w:val="bottom"/>
          </w:tcPr>
          <w:p>
            <w:pPr>
              <w:pStyle w:val="TableContents"/>
              <w:spacing w:before="0" w:after="0"/>
              <w:ind w:left="0" w:right="0" w:hanging="0"/>
              <w:rPr/>
            </w:pPr>
            <w:r>
              <w:rPr/>
              <w:t>MS Pawn Limited Partnership (b) (g)</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right"/>
              <w:rPr/>
            </w:pPr>
            <w:r>
              <w:rPr/>
              <w:t> </w:t>
            </w:r>
          </w:p>
        </w:tc>
        <w:tc>
          <w:tcPr>
            <w:tcW w:w="982" w:type="dxa"/>
            <w:tcBorders/>
            <w:shd w:fill="CCEEFF" w:val="clear"/>
            <w:vAlign w:val="bottom"/>
          </w:tcPr>
          <w:p>
            <w:pPr>
              <w:pStyle w:val="TableContents"/>
              <w:spacing w:before="0" w:after="283"/>
              <w:jc w:val="right"/>
              <w:rPr/>
            </w:pPr>
            <w:r>
              <w:rPr/>
              <w:t>2,998,548</w:t>
            </w:r>
          </w:p>
        </w:tc>
        <w:tc>
          <w:tcPr>
            <w:tcW w:w="366" w:type="dxa"/>
            <w:tcBorders/>
            <w:shd w:fill="CCEEFF" w:val="clear"/>
            <w:vAlign w:val="bottom"/>
          </w:tcPr>
          <w:p>
            <w:pPr>
              <w:pStyle w:val="TableContents"/>
              <w:spacing w:before="0" w:after="283"/>
              <w:rPr/>
            </w:pPr>
            <w:r>
              <w:rPr/>
              <w:t>(h)</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right"/>
              <w:rPr/>
            </w:pPr>
            <w:r>
              <w:rPr/>
              <w:t> </w:t>
            </w:r>
          </w:p>
        </w:tc>
        <w:tc>
          <w:tcPr>
            <w:tcW w:w="456" w:type="dxa"/>
            <w:tcBorders/>
            <w:shd w:fill="CCEEFF" w:val="clear"/>
            <w:vAlign w:val="bottom"/>
          </w:tcPr>
          <w:p>
            <w:pPr>
              <w:pStyle w:val="TableContents"/>
              <w:spacing w:before="0" w:after="283"/>
              <w:jc w:val="right"/>
              <w:rPr/>
            </w:pPr>
            <w:r>
              <w:rPr/>
              <w:t>7.25</w:t>
            </w:r>
          </w:p>
        </w:tc>
        <w:tc>
          <w:tcPr>
            <w:tcW w:w="556" w:type="dxa"/>
            <w:tcBorders/>
            <w:shd w:fill="CCEEFF" w:val="clear"/>
            <w:vAlign w:val="bottom"/>
          </w:tcPr>
          <w:p>
            <w:pPr>
              <w:pStyle w:val="TableContents"/>
              <w:spacing w:before="0" w:after="283"/>
              <w:rPr/>
            </w:pPr>
            <w:r>
              <w:rPr/>
              <w:t>%(h)</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2,982,393</w:t>
            </w:r>
          </w:p>
        </w:tc>
        <w:tc>
          <w:tcPr>
            <w:tcW w:w="1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pPr>
            <w:r>
              <w:rPr/>
              <w:t> </w:t>
            </w:r>
          </w:p>
        </w:tc>
        <w:tc>
          <w:tcPr>
            <w:tcW w:w="437" w:type="dxa"/>
            <w:tcBorders/>
            <w:shd w:fill="CCEEFF" w:val="clear"/>
            <w:vAlign w:val="bottom"/>
          </w:tcPr>
          <w:p>
            <w:pPr>
              <w:pStyle w:val="TableContents"/>
              <w:spacing w:before="0" w:after="283"/>
              <w:jc w:val="right"/>
              <w:rPr/>
            </w:pPr>
            <w:r>
              <w:rPr/>
              <w:t>100</w:t>
            </w:r>
          </w:p>
        </w:tc>
        <w:tc>
          <w:tcPr>
            <w:tcW w:w="316" w:type="dxa"/>
            <w:tcBorders/>
            <w:shd w:fill="CCEEFF" w:val="clear"/>
            <w:vAlign w:val="bottom"/>
          </w:tcPr>
          <w:p>
            <w:pPr>
              <w:pStyle w:val="TableContents"/>
              <w:spacing w:before="0" w:after="283"/>
              <w:rPr/>
            </w:pPr>
            <w:r>
              <w:rPr/>
              <w:t>%</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right"/>
              <w:rPr/>
            </w:pPr>
            <w:r>
              <w:rPr/>
              <w:t> </w:t>
            </w:r>
          </w:p>
        </w:tc>
        <w:tc>
          <w:tcPr>
            <w:tcW w:w="437" w:type="dxa"/>
            <w:tcBorders/>
            <w:shd w:fill="CCEEFF" w:val="clear"/>
            <w:vAlign w:val="bottom"/>
          </w:tcPr>
          <w:p>
            <w:pPr>
              <w:pStyle w:val="TableContents"/>
              <w:spacing w:before="0" w:after="283"/>
              <w:jc w:val="right"/>
              <w:rPr/>
            </w:pPr>
            <w:r>
              <w:rPr/>
              <w:t>100</w:t>
            </w:r>
          </w:p>
        </w:tc>
        <w:tc>
          <w:tcPr>
            <w:tcW w:w="329" w:type="dxa"/>
            <w:tcBorders/>
            <w:shd w:fill="CCEEFF" w:val="clear"/>
            <w:vAlign w:val="bottom"/>
          </w:tcPr>
          <w:p>
            <w:pPr>
              <w:pStyle w:val="TableContents"/>
              <w:spacing w:before="0" w:after="283"/>
              <w:rPr/>
            </w:pPr>
            <w:r>
              <w:rPr/>
              <w:t>%</w:t>
            </w:r>
          </w:p>
        </w:tc>
      </w:tr>
      <w:tr>
        <w:trPr/>
        <w:tc>
          <w:tcPr>
            <w:tcW w:w="3491" w:type="dxa"/>
            <w:tcBorders/>
            <w:shd w:fill="CCEEFF" w:val="clear"/>
            <w:vAlign w:val="bottom"/>
          </w:tcPr>
          <w:p>
            <w:pPr>
              <w:pStyle w:val="TableContents"/>
              <w:spacing w:before="0" w:after="0"/>
              <w:ind w:left="0" w:right="0" w:hanging="0"/>
              <w:rPr/>
            </w:pPr>
            <w:r>
              <w:rPr/>
              <w:t>MS Pawn Corporation</w:t>
              <w:br/>
              <w:t>Phillip Ean Cohen</w:t>
              <w:br/>
              <w:t>1901 Capital Parkway</w:t>
              <w:br/>
              <w:t>Austin, Texas 78746</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Sterling B. Brinkley (c)</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410,810</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 </w:t>
            </w:r>
          </w:p>
        </w:tc>
        <w:tc>
          <w:tcPr>
            <w:tcW w:w="456" w:type="dxa"/>
            <w:tcBorders/>
            <w:shd w:fill="auto" w:val="clear"/>
            <w:vAlign w:val="bottom"/>
          </w:tcPr>
          <w:p>
            <w:pPr>
              <w:pStyle w:val="TableContents"/>
              <w:spacing w:before="0" w:after="283"/>
              <w:jc w:val="right"/>
              <w:rPr/>
            </w:pPr>
            <w:r>
              <w:rPr/>
              <w:t>1.07</w:t>
            </w:r>
          </w:p>
        </w:tc>
        <w:tc>
          <w:tcPr>
            <w:tcW w:w="556" w:type="dxa"/>
            <w:tcBorders/>
            <w:shd w:fill="auto" w:val="clear"/>
            <w:vAlign w:val="bottom"/>
          </w:tcPr>
          <w:p>
            <w:pPr>
              <w:pStyle w:val="TableContents"/>
              <w:spacing w:before="0" w:after="283"/>
              <w:rPr/>
            </w:pPr>
            <w:r>
              <w:rPr/>
              <w:t>%</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9 Morgan Lane</w:t>
              <w:br/>
              <w:t>Locust Valley, New York 11560</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CCEEFF" w:val="clear"/>
            <w:vAlign w:val="bottom"/>
          </w:tcPr>
          <w:p>
            <w:pPr>
              <w:pStyle w:val="TableContents"/>
              <w:spacing w:before="0" w:after="0"/>
              <w:ind w:left="0" w:right="0" w:hanging="0"/>
              <w:rPr/>
            </w:pPr>
            <w:r>
              <w:rPr/>
              <w:t>Joseph L. Rotunda (d)</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525,589</w:t>
            </w:r>
          </w:p>
        </w:tc>
        <w:tc>
          <w:tcPr>
            <w:tcW w:w="36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right"/>
              <w:rPr/>
            </w:pPr>
            <w:r>
              <w:rPr/>
              <w:t> </w:t>
            </w:r>
          </w:p>
        </w:tc>
        <w:tc>
          <w:tcPr>
            <w:tcW w:w="456" w:type="dxa"/>
            <w:tcBorders/>
            <w:shd w:fill="CCEEFF" w:val="clear"/>
            <w:vAlign w:val="bottom"/>
          </w:tcPr>
          <w:p>
            <w:pPr>
              <w:pStyle w:val="TableContents"/>
              <w:spacing w:before="0" w:after="283"/>
              <w:jc w:val="right"/>
              <w:rPr/>
            </w:pPr>
            <w:r>
              <w:rPr/>
              <w:t>1.37</w:t>
            </w:r>
          </w:p>
        </w:tc>
        <w:tc>
          <w:tcPr>
            <w:tcW w:w="556" w:type="dxa"/>
            <w:tcBorders/>
            <w:shd w:fill="CCEEFF" w:val="clear"/>
            <w:vAlign w:val="bottom"/>
          </w:tcPr>
          <w:p>
            <w:pPr>
              <w:pStyle w:val="TableContents"/>
              <w:spacing w:before="0" w:after="283"/>
              <w:rPr/>
            </w:pPr>
            <w:r>
              <w:rPr/>
              <w:t>%</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w:t>
            </w:r>
          </w:p>
        </w:tc>
        <w:tc>
          <w:tcPr>
            <w:tcW w:w="31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w:t>
            </w:r>
          </w:p>
        </w:tc>
        <w:tc>
          <w:tcPr>
            <w:tcW w:w="329" w:type="dxa"/>
            <w:tcBorders/>
            <w:shd w:fill="CCEEFF" w:val="clear"/>
            <w:vAlign w:val="bottom"/>
          </w:tcPr>
          <w:p>
            <w:pPr>
              <w:pStyle w:val="TableContents"/>
              <w:spacing w:before="0" w:after="283"/>
              <w:rPr/>
            </w:pPr>
            <w:r>
              <w:rPr/>
              <w:t> </w:t>
            </w:r>
          </w:p>
        </w:tc>
      </w:tr>
      <w:tr>
        <w:trPr/>
        <w:tc>
          <w:tcPr>
            <w:tcW w:w="3491" w:type="dxa"/>
            <w:tcBorders/>
            <w:shd w:fill="CCEEFF" w:val="clear"/>
            <w:vAlign w:val="bottom"/>
          </w:tcPr>
          <w:p>
            <w:pPr>
              <w:pStyle w:val="TableContents"/>
              <w:spacing w:before="0" w:after="0"/>
              <w:ind w:left="0" w:right="0" w:hanging="0"/>
              <w:rPr/>
            </w:pPr>
            <w:r>
              <w:rPr/>
              <w:t>1901 Capital Parkway</w:t>
              <w:br/>
              <w:t>Austin, TX 78746</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Dan N. Tonissen (e)</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202,092</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 </w:t>
            </w:r>
          </w:p>
        </w:tc>
        <w:tc>
          <w:tcPr>
            <w:tcW w:w="456" w:type="dxa"/>
            <w:tcBorders/>
            <w:shd w:fill="auto" w:val="clear"/>
            <w:vAlign w:val="bottom"/>
          </w:tcPr>
          <w:p>
            <w:pPr>
              <w:pStyle w:val="TableContents"/>
              <w:spacing w:before="0" w:after="283"/>
              <w:jc w:val="right"/>
              <w:rPr/>
            </w:pPr>
            <w:r>
              <w:rPr/>
              <w:t>0.53</w:t>
            </w:r>
          </w:p>
        </w:tc>
        <w:tc>
          <w:tcPr>
            <w:tcW w:w="556" w:type="dxa"/>
            <w:tcBorders/>
            <w:shd w:fill="auto" w:val="clear"/>
            <w:vAlign w:val="bottom"/>
          </w:tcPr>
          <w:p>
            <w:pPr>
              <w:pStyle w:val="TableContents"/>
              <w:spacing w:before="0" w:after="283"/>
              <w:rPr/>
            </w:pPr>
            <w:r>
              <w:rPr/>
              <w:t>%</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1901 Capital Parkway</w:t>
              <w:br/>
              <w:t>Austin, Texas 78746</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CCEEFF" w:val="clear"/>
            <w:vAlign w:val="bottom"/>
          </w:tcPr>
          <w:p>
            <w:pPr>
              <w:pStyle w:val="TableContents"/>
              <w:spacing w:before="0" w:after="0"/>
              <w:ind w:left="0" w:right="0" w:hanging="0"/>
              <w:rPr/>
            </w:pPr>
            <w:r>
              <w:rPr/>
              <w:t>Gary C. Matzner (k)</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24,000</w:t>
            </w:r>
          </w:p>
        </w:tc>
        <w:tc>
          <w:tcPr>
            <w:tcW w:w="36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right"/>
              <w:rPr/>
            </w:pPr>
            <w:r>
              <w:rPr/>
              <w:t> </w:t>
            </w:r>
          </w:p>
        </w:tc>
        <w:tc>
          <w:tcPr>
            <w:tcW w:w="456" w:type="dxa"/>
            <w:tcBorders/>
            <w:shd w:fill="CCEEFF" w:val="clear"/>
            <w:vAlign w:val="bottom"/>
          </w:tcPr>
          <w:p>
            <w:pPr>
              <w:pStyle w:val="TableContents"/>
              <w:spacing w:before="0" w:after="283"/>
              <w:jc w:val="right"/>
              <w:rPr/>
            </w:pPr>
            <w:r>
              <w:rPr/>
              <w:t>0.06</w:t>
            </w:r>
          </w:p>
        </w:tc>
        <w:tc>
          <w:tcPr>
            <w:tcW w:w="556" w:type="dxa"/>
            <w:tcBorders/>
            <w:shd w:fill="CCEEFF" w:val="clear"/>
            <w:vAlign w:val="bottom"/>
          </w:tcPr>
          <w:p>
            <w:pPr>
              <w:pStyle w:val="TableContents"/>
              <w:spacing w:before="0" w:after="283"/>
              <w:rPr/>
            </w:pPr>
            <w:r>
              <w:rPr/>
              <w:t>%</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w:t>
            </w:r>
          </w:p>
        </w:tc>
        <w:tc>
          <w:tcPr>
            <w:tcW w:w="31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w:t>
            </w:r>
          </w:p>
        </w:tc>
        <w:tc>
          <w:tcPr>
            <w:tcW w:w="329" w:type="dxa"/>
            <w:tcBorders/>
            <w:shd w:fill="CCEEFF" w:val="clear"/>
            <w:vAlign w:val="bottom"/>
          </w:tcPr>
          <w:p>
            <w:pPr>
              <w:pStyle w:val="TableContents"/>
              <w:spacing w:before="0" w:after="283"/>
              <w:rPr/>
            </w:pPr>
            <w:r>
              <w:rPr/>
              <w:t> </w:t>
            </w:r>
          </w:p>
        </w:tc>
      </w:tr>
      <w:tr>
        <w:trPr/>
        <w:tc>
          <w:tcPr>
            <w:tcW w:w="3491" w:type="dxa"/>
            <w:tcBorders/>
            <w:shd w:fill="CCEEFF" w:val="clear"/>
            <w:vAlign w:val="bottom"/>
          </w:tcPr>
          <w:p>
            <w:pPr>
              <w:pStyle w:val="TableContents"/>
              <w:spacing w:before="0" w:after="0"/>
              <w:ind w:left="0" w:right="0" w:hanging="0"/>
              <w:rPr/>
            </w:pPr>
            <w:r>
              <w:rPr/>
              <w:t>2601 S. Bayshore Dr.</w:t>
              <w:br/>
              <w:t>Miami, Florida 33133</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Thomas C. Roberts (m)</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45,000</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 </w:t>
            </w:r>
          </w:p>
        </w:tc>
        <w:tc>
          <w:tcPr>
            <w:tcW w:w="456" w:type="dxa"/>
            <w:tcBorders/>
            <w:shd w:fill="auto" w:val="clear"/>
            <w:vAlign w:val="bottom"/>
          </w:tcPr>
          <w:p>
            <w:pPr>
              <w:pStyle w:val="TableContents"/>
              <w:spacing w:before="0" w:after="283"/>
              <w:jc w:val="right"/>
              <w:rPr/>
            </w:pPr>
            <w:r>
              <w:rPr/>
              <w:t>0.12</w:t>
            </w:r>
          </w:p>
        </w:tc>
        <w:tc>
          <w:tcPr>
            <w:tcW w:w="556" w:type="dxa"/>
            <w:tcBorders/>
            <w:shd w:fill="auto" w:val="clear"/>
            <w:vAlign w:val="bottom"/>
          </w:tcPr>
          <w:p>
            <w:pPr>
              <w:pStyle w:val="TableContents"/>
              <w:spacing w:before="0" w:after="283"/>
              <w:rPr/>
            </w:pPr>
            <w:r>
              <w:rPr/>
              <w:t>%</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1901 Capital Parkway</w:t>
              <w:br/>
              <w:t>Austin, Texas 78746</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CCEEFF" w:val="clear"/>
            <w:vAlign w:val="bottom"/>
          </w:tcPr>
          <w:p>
            <w:pPr>
              <w:pStyle w:val="TableContents"/>
              <w:spacing w:before="0" w:after="0"/>
              <w:ind w:left="0" w:right="0" w:hanging="0"/>
              <w:rPr/>
            </w:pPr>
            <w:r>
              <w:rPr/>
              <w:t>Richard D. Sage (l)</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25,493</w:t>
            </w:r>
          </w:p>
        </w:tc>
        <w:tc>
          <w:tcPr>
            <w:tcW w:w="36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right"/>
              <w:rPr/>
            </w:pPr>
            <w:r>
              <w:rPr/>
              <w:t> </w:t>
            </w:r>
          </w:p>
        </w:tc>
        <w:tc>
          <w:tcPr>
            <w:tcW w:w="456" w:type="dxa"/>
            <w:tcBorders/>
            <w:shd w:fill="CCEEFF" w:val="clear"/>
            <w:vAlign w:val="bottom"/>
          </w:tcPr>
          <w:p>
            <w:pPr>
              <w:pStyle w:val="TableContents"/>
              <w:spacing w:before="0" w:after="283"/>
              <w:jc w:val="right"/>
              <w:rPr/>
            </w:pPr>
            <w:r>
              <w:rPr/>
              <w:t>0.07</w:t>
            </w:r>
          </w:p>
        </w:tc>
        <w:tc>
          <w:tcPr>
            <w:tcW w:w="556" w:type="dxa"/>
            <w:tcBorders/>
            <w:shd w:fill="CCEEFF" w:val="clear"/>
            <w:vAlign w:val="bottom"/>
          </w:tcPr>
          <w:p>
            <w:pPr>
              <w:pStyle w:val="TableContents"/>
              <w:spacing w:before="0" w:after="283"/>
              <w:rPr/>
            </w:pPr>
            <w:r>
              <w:rPr/>
              <w:t>%</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w:t>
            </w:r>
          </w:p>
        </w:tc>
        <w:tc>
          <w:tcPr>
            <w:tcW w:w="31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w:t>
            </w:r>
          </w:p>
        </w:tc>
        <w:tc>
          <w:tcPr>
            <w:tcW w:w="329" w:type="dxa"/>
            <w:tcBorders/>
            <w:shd w:fill="CCEEFF" w:val="clear"/>
            <w:vAlign w:val="bottom"/>
          </w:tcPr>
          <w:p>
            <w:pPr>
              <w:pStyle w:val="TableContents"/>
              <w:spacing w:before="0" w:after="283"/>
              <w:rPr/>
            </w:pPr>
            <w:r>
              <w:rPr/>
              <w:t> </w:t>
            </w:r>
          </w:p>
        </w:tc>
      </w:tr>
      <w:tr>
        <w:trPr/>
        <w:tc>
          <w:tcPr>
            <w:tcW w:w="3491" w:type="dxa"/>
            <w:tcBorders/>
            <w:shd w:fill="CCEEFF" w:val="clear"/>
            <w:vAlign w:val="bottom"/>
          </w:tcPr>
          <w:p>
            <w:pPr>
              <w:pStyle w:val="TableContents"/>
              <w:spacing w:before="0" w:after="0"/>
              <w:ind w:left="0" w:right="0" w:hanging="0"/>
              <w:rPr/>
            </w:pPr>
            <w:r>
              <w:rPr/>
              <w:t>13636 Deering Bay Drive</w:t>
              <w:br/>
              <w:t>Coral Gables, Florida 33158</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Richard M. Edwards (n)</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 </w:t>
            </w:r>
          </w:p>
        </w:tc>
        <w:tc>
          <w:tcPr>
            <w:tcW w:w="456" w:type="dxa"/>
            <w:tcBorders/>
            <w:shd w:fill="auto" w:val="clear"/>
            <w:vAlign w:val="bottom"/>
          </w:tcPr>
          <w:p>
            <w:pPr>
              <w:pStyle w:val="TableContents"/>
              <w:spacing w:before="0" w:after="283"/>
              <w:jc w:val="right"/>
              <w:rPr/>
            </w:pPr>
            <w:r>
              <w:rPr/>
              <w:t>0.00</w:t>
            </w:r>
          </w:p>
        </w:tc>
        <w:tc>
          <w:tcPr>
            <w:tcW w:w="556" w:type="dxa"/>
            <w:tcBorders/>
            <w:shd w:fill="auto" w:val="clear"/>
            <w:vAlign w:val="bottom"/>
          </w:tcPr>
          <w:p>
            <w:pPr>
              <w:pStyle w:val="TableContents"/>
              <w:spacing w:before="0" w:after="283"/>
              <w:rPr/>
            </w:pPr>
            <w:r>
              <w:rPr/>
              <w:t>%</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1901 Capital Parkway</w:t>
              <w:br/>
              <w:t>Austin, Texas 78746</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CCEEFF" w:val="clear"/>
            <w:vAlign w:val="bottom"/>
          </w:tcPr>
          <w:p>
            <w:pPr>
              <w:pStyle w:val="TableContents"/>
              <w:spacing w:before="0" w:after="0"/>
              <w:ind w:left="0" w:right="0" w:hanging="0"/>
              <w:rPr/>
            </w:pPr>
            <w:r>
              <w:rPr/>
              <w:t>Robert A. Kasenter (i)</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15,188</w:t>
            </w:r>
          </w:p>
        </w:tc>
        <w:tc>
          <w:tcPr>
            <w:tcW w:w="36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right"/>
              <w:rPr/>
            </w:pPr>
            <w:r>
              <w:rPr/>
              <w:t> </w:t>
            </w:r>
          </w:p>
        </w:tc>
        <w:tc>
          <w:tcPr>
            <w:tcW w:w="456" w:type="dxa"/>
            <w:tcBorders/>
            <w:shd w:fill="CCEEFF" w:val="clear"/>
            <w:vAlign w:val="bottom"/>
          </w:tcPr>
          <w:p>
            <w:pPr>
              <w:pStyle w:val="TableContents"/>
              <w:spacing w:before="0" w:after="283"/>
              <w:jc w:val="right"/>
              <w:rPr/>
            </w:pPr>
            <w:r>
              <w:rPr/>
              <w:t>0.04</w:t>
            </w:r>
          </w:p>
        </w:tc>
        <w:tc>
          <w:tcPr>
            <w:tcW w:w="556" w:type="dxa"/>
            <w:tcBorders/>
            <w:shd w:fill="CCEEFF" w:val="clear"/>
            <w:vAlign w:val="bottom"/>
          </w:tcPr>
          <w:p>
            <w:pPr>
              <w:pStyle w:val="TableContents"/>
              <w:spacing w:before="0" w:after="283"/>
              <w:rPr/>
            </w:pPr>
            <w:r>
              <w:rPr/>
              <w:t>%</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w:t>
            </w:r>
          </w:p>
        </w:tc>
        <w:tc>
          <w:tcPr>
            <w:tcW w:w="31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w:t>
            </w:r>
          </w:p>
        </w:tc>
        <w:tc>
          <w:tcPr>
            <w:tcW w:w="329" w:type="dxa"/>
            <w:tcBorders/>
            <w:shd w:fill="CCEEFF" w:val="clear"/>
            <w:vAlign w:val="bottom"/>
          </w:tcPr>
          <w:p>
            <w:pPr>
              <w:pStyle w:val="TableContents"/>
              <w:spacing w:before="0" w:after="283"/>
              <w:rPr/>
            </w:pPr>
            <w:r>
              <w:rPr/>
              <w:t> </w:t>
            </w:r>
          </w:p>
        </w:tc>
      </w:tr>
      <w:tr>
        <w:trPr/>
        <w:tc>
          <w:tcPr>
            <w:tcW w:w="3491" w:type="dxa"/>
            <w:tcBorders/>
            <w:shd w:fill="CCEEFF" w:val="clear"/>
            <w:vAlign w:val="bottom"/>
          </w:tcPr>
          <w:p>
            <w:pPr>
              <w:pStyle w:val="TableContents"/>
              <w:spacing w:before="0" w:after="0"/>
              <w:ind w:left="0" w:right="0" w:hanging="0"/>
              <w:rPr/>
            </w:pPr>
            <w:r>
              <w:rPr/>
              <w:t>1901 Capital Parkway</w:t>
              <w:br/>
              <w:t>Austin, Texas 78746</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Eric Fosse (j)</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12,117</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right"/>
              <w:rPr/>
            </w:pPr>
            <w:r>
              <w:rPr/>
              <w:t> </w:t>
            </w:r>
          </w:p>
        </w:tc>
        <w:tc>
          <w:tcPr>
            <w:tcW w:w="456" w:type="dxa"/>
            <w:tcBorders/>
            <w:shd w:fill="auto" w:val="clear"/>
            <w:vAlign w:val="bottom"/>
          </w:tcPr>
          <w:p>
            <w:pPr>
              <w:pStyle w:val="TableContents"/>
              <w:spacing w:before="0" w:after="283"/>
              <w:jc w:val="right"/>
              <w:rPr/>
            </w:pPr>
            <w:r>
              <w:rPr/>
              <w:t>0.03</w:t>
            </w:r>
          </w:p>
        </w:tc>
        <w:tc>
          <w:tcPr>
            <w:tcW w:w="556" w:type="dxa"/>
            <w:tcBorders/>
            <w:shd w:fill="auto" w:val="clear"/>
            <w:vAlign w:val="bottom"/>
          </w:tcPr>
          <w:p>
            <w:pPr>
              <w:pStyle w:val="TableContents"/>
              <w:spacing w:before="0" w:after="283"/>
              <w:rPr/>
            </w:pPr>
            <w:r>
              <w:rPr/>
              <w:t>%</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1901 Capital Parkway</w:t>
              <w:br/>
              <w:t>Austin, Texas 78746</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r>
      <w:tr>
        <w:trPr/>
        <w:tc>
          <w:tcPr>
            <w:tcW w:w="3491" w:type="dxa"/>
            <w:tcBorders/>
            <w:shd w:fill="CCEEFF" w:val="clear"/>
            <w:vAlign w:val="bottom"/>
          </w:tcPr>
          <w:p>
            <w:pPr>
              <w:pStyle w:val="TableContents"/>
              <w:spacing w:before="0" w:after="0"/>
              <w:ind w:left="0" w:right="0" w:hanging="0"/>
              <w:rPr/>
            </w:pPr>
            <w:r>
              <w:rPr/>
              <w:t>All officers and directors as a group (b) (f)</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1,573,146</w:t>
            </w:r>
          </w:p>
        </w:tc>
        <w:tc>
          <w:tcPr>
            <w:tcW w:w="36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right"/>
              <w:rPr/>
            </w:pPr>
            <w:r>
              <w:rPr/>
              <w:t> </w:t>
            </w:r>
          </w:p>
        </w:tc>
        <w:tc>
          <w:tcPr>
            <w:tcW w:w="456" w:type="dxa"/>
            <w:tcBorders/>
            <w:shd w:fill="CCEEFF" w:val="clear"/>
            <w:vAlign w:val="bottom"/>
          </w:tcPr>
          <w:p>
            <w:pPr>
              <w:pStyle w:val="TableContents"/>
              <w:spacing w:before="0" w:after="283"/>
              <w:jc w:val="right"/>
              <w:rPr/>
            </w:pPr>
            <w:r>
              <w:rPr/>
              <w:t>4.06</w:t>
            </w:r>
          </w:p>
        </w:tc>
        <w:tc>
          <w:tcPr>
            <w:tcW w:w="556" w:type="dxa"/>
            <w:tcBorders/>
            <w:shd w:fill="CCEEFF" w:val="clear"/>
            <w:vAlign w:val="bottom"/>
          </w:tcPr>
          <w:p>
            <w:pPr>
              <w:pStyle w:val="TableContents"/>
              <w:spacing w:before="0" w:after="283"/>
              <w:rPr/>
            </w:pPr>
            <w:r>
              <w:rPr/>
              <w:t>%</w:t>
            </w:r>
          </w:p>
        </w:tc>
        <w:tc>
          <w:tcPr>
            <w:tcW w:w="19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w:t>
            </w:r>
          </w:p>
        </w:tc>
        <w:tc>
          <w:tcPr>
            <w:tcW w:w="14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w:t>
            </w:r>
          </w:p>
        </w:tc>
        <w:tc>
          <w:tcPr>
            <w:tcW w:w="31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w:t>
            </w:r>
          </w:p>
        </w:tc>
        <w:tc>
          <w:tcPr>
            <w:tcW w:w="329" w:type="dxa"/>
            <w:tcBorders/>
            <w:shd w:fill="CCEEFF" w:val="clear"/>
            <w:vAlign w:val="bottom"/>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94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61"/>
        <w:gridCol w:w="109"/>
        <w:gridCol w:w="9735"/>
      </w:tblGrid>
      <w:tr>
        <w:trPr/>
        <w:tc>
          <w:tcPr>
            <w:tcW w:w="361" w:type="dxa"/>
            <w:tcBorders/>
            <w:shd w:fill="auto" w:val="clear"/>
          </w:tcPr>
          <w:p>
            <w:pPr>
              <w:pStyle w:val="TableContents"/>
              <w:spacing w:before="0" w:after="283"/>
              <w:jc w:val="left"/>
              <w:rPr/>
            </w:pPr>
            <w:r>
              <w:rPr/>
              <w:t>(a)</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Except as indicated in the footnotes to this table, the persons named in the table have sole voting and investment power with respect to all shares of Class B Common Stock shown as beneficially owned by them, subject to community property laws where applicable.</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(b)</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MS Pawn Corporation is the general partner of MS Pawn and has the sole right to vote its shares of Class B Common Stock and to direct their disposition. Mr. Cohen is the sole stockholder of MS Pawn Corporation. See Certain Relationships and Related Transactions.</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(c)</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Includes warrants to acquire 3,573 shares of Class A Common Stock at $2.06 per share. Does not include options to acquire 1,050,000 shares of Class A Common Stock at $3.33 per share, none of which are currently exercisable. Does not include 675,000 shares of restricted stock.</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(d)</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Does not include 1,065,000 shares of restricted stock.</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(e)</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Does not include options to acquire 300,000 shares of Class A Common Stock at $3.33 per share and 120,000 shares of Class A Common Stock at $3.26 per share, none of which are currently exercisable. Does not include 30,000 shares of restricted stock.</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(f)</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Includes 13 persons options to acquire 396,400 shares of Class A Common Stock at prices ranging from $0.67 to $12.60 per share and warrants to acquire 3,666 shares of Class A Common Stock at $2.06 per share.</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(g)</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Includes warrants for 12,279 shares of Class A Common Stock, warrants for 12,222 shares of Class B Common Stock held by MS Pawn, and warrants for 3,876 shares of Class A Common Stock held by Mr. Cohen.</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(h)</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The number of shares and percentage reflect Class A Common Stock and warrants, inclusive of Class B Common Stock and warrants, which are convertible to Class A Common Stock.</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(i)</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Includes options to acquire 15,000 shares of Class A Common Stock at $1.41 per share. Does not include options to acquire 15,000 shares of Class A Common Stock at $1.41 per share or 120,000 shares of Class A Common Stock at $3.26 per share, none of which are currently exercisable. Does not include 30,000 shares of restricted stock.</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(j)</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Includes options to acquire 12,000 shares of Class A Common Stock at $2.89 per share. Does not include options to acquire 24,000 shares of Class A Common Stock at $2.89 per share that are not currently exercisable. Does not include 17,000 shares of restricted stock.</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(k)</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Includes options to acquire 3,600 shares of Class A Common Stock at $0.86 per share and 15,000 shares of Class A Common Stock at $12.60 per share</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(l)</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Includes options to acquire 1,800 shares of Class A Common Stock at $0.67 per share, 3,600 shares of Class A Common Stock at $0.86 per share, 5,000 shares of Class A Common Stock at $5.35 per share, 15,000 shares of Class A Common Stock at $12.60 per share and warrants to acquire 93 shares of Class A Common Stock at $2.06 per share.</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(m)</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Includes options to acquire 15,000 shares of Class A Common Stock at $5.35 per share and 15,000 shares of Class A Common Stock at $12.60 per share.</w:t>
            </w:r>
          </w:p>
        </w:tc>
      </w:tr>
      <w:tr>
        <w:trPr/>
        <w:tc>
          <w:tcPr>
            <w:tcW w:w="361" w:type="dxa"/>
            <w:tcBorders/>
            <w:shd w:fill="auto" w:val="clear"/>
            <w:vAlign w:val="center"/>
          </w:tcPr>
          <w:p>
            <w:pPr>
              <w:pStyle w:val="TableContents"/>
              <w:spacing w:before="0" w:after="283"/>
              <w:rPr/>
            </w:pPr>
            <w:r>
              <w:rPr/>
              <w:t> </w:t>
            </w:r>
          </w:p>
        </w:tc>
        <w:tc>
          <w:tcPr>
            <w:tcW w:w="9844" w:type="dxa"/>
            <w:gridSpan w:val="2"/>
            <w:tcBorders/>
            <w:shd w:fill="auto" w:val="clea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jc w:val="left"/>
              <w:rPr/>
            </w:pPr>
            <w:r>
              <w:rPr/>
              <w:t>(n)</w:t>
            </w:r>
          </w:p>
        </w:tc>
        <w:tc>
          <w:tcPr>
            <w:tcW w:w="10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0"/>
              <w:ind w:left="0" w:right="0" w:hanging="0"/>
              <w:rPr/>
            </w:pPr>
            <w:r>
              <w:rPr/>
              <w:t>Does not include options to acquire 1,666 shares of Class A Common Stock at $15.05 per share, none of which are currently exercisable.</w:t>
            </w:r>
          </w:p>
        </w:tc>
      </w:tr>
    </w:tbl>
    <w:p>
      <w:pPr>
        <w:pStyle w:val="TextBody"/>
        <w:jc w:val="center"/>
        <w:rPr>
          <w:rFonts w:ascii="Helvetica;Arial;sans-serif" w:hAnsi="Helvetica;Arial;sans-serif"/>
          <w:sz w:val="17"/>
        </w:rPr>
      </w:pPr>
      <w:r>
        <w:rPr>
          <w:rFonts w:ascii="Helvetica;Arial;sans-serif" w:hAnsi="Helvetica;Arial;sans-serif"/>
          <w:sz w:val="17"/>
        </w:rPr>
        <w:t xml:space="preserve">95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28" w:name="119"/>
      <w:bookmarkEnd w:id="28"/>
      <w:r>
        <w:rPr>
          <w:rFonts w:ascii="Helvetica;Arial;sans-serif" w:hAnsi="Helvetica;Arial;sans-serif"/>
          <w:b/>
          <w:sz w:val="17"/>
        </w:rPr>
        <w:t>Item 13. Certain Relationships and Related Transactions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fiscal 2005 through fiscal 2007, we had a financial advisory services agreement with Madison Park, L.L.C., an affiliate of the controlling stockholder. The agreement required Madison Park to provide ongoing advice and consultation with respect to mergers, acquisitions, divestitures, strategic planning, corporate development, investor relations, treasury and other advisory services for a monthly fee of $100,000, inclusive of most expenses. The Madison Park agreement had a three-year term that expired September 30, 2007. Prior to entering the agreement with Madison Park, our Audit Committee obtained a fairness opinion from a qualified, independent financial advisory firm. The fairness opinion supported the fees for the services to be rendered based on the terms of the agreement and our strategic plan. In fiscal 2006 and 2007, total payments to Madison Park amounted to $1,200,000 annually.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Effective October 1, 2007, we entered a new financial advisory services agreement with Madison Park with a one-year term expiring September 30, 2008. Either party may terminate the agreement at any time on thirty days written notice. The agreement requires Madison Park to provide advice on our business and long-term strategic plan including, but not limited to, acquisitions and strategic alliances, operating and strategic objectives, investor relations, relations with investment bankers and other members of the financial services industry, international business development and strategic investment opportunities, and financial matters. The monthly fee for the services is $150,000. Philip E. Cohen is a principal in Madison Park and the general partner of the controlling stockholder. Prior to approving the agreement, the Board of Directors appointed a special committee comprised of its four independent members to review our relationship with Madison Park. This included a review of the advisory services provided by Madison Park during fiscal 2005 through 2007, a determination whether to continue utilizing Madison Parks services, and a determination whether to enter into a new advisory services agreement with Madison Park. The independent directors were authorized to retain consultants and to review, negotiate, and approve the contractual terms of any agreement. As part of the review, the independent directors retained a qualified, independent financial advisory firm to evaluate the agreement and render a fairness opinion, from a financial point of view, of the fee to be paid to Madison Park relative to the reasonable market rates for the services contemplated in the agreement. Based on the independent directors findings and conclusions, they elected to negotiate and approve the terms of the agreement.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In October 1994, the Board of Directors approved an agreement that provided incentive compensation to the Chairman, Sterling Brinkley, based on growth in the share price of our Class A Common Stock. Mr. Brinkley was advanced $1.5 million evidenced by a recourse promissory note, due in 2005 and bearing interest at the minimum rate allowable for federal income tax purposes (2.33% for fiscal 2005). Accrued interest was forgiven based upon continued employment, and we were required to reimburse Mr. Brinkley for the income tax consequences of the interest forgiveness. Charges to operations consist of forgiveness of interest and related income tax costs and totaled approximately $60,000 for the year ended September 30, 2005. Mr. Brinkley repaid his note in full in September 2005. </w:t>
      </w:r>
    </w:p>
    <w:p>
      <w:pPr>
        <w:pStyle w:val="TextBody"/>
        <w:jc w:val="center"/>
        <w:rPr>
          <w:rFonts w:ascii="Helvetica;Arial;sans-serif" w:hAnsi="Helvetica;Arial;sans-serif"/>
          <w:sz w:val="17"/>
        </w:rPr>
      </w:pPr>
      <w:r>
        <w:rPr>
          <w:rFonts w:ascii="Helvetica;Arial;sans-serif" w:hAnsi="Helvetica;Arial;sans-serif"/>
          <w:sz w:val="17"/>
        </w:rPr>
        <w:t xml:space="preserve">96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29" w:name="120"/>
      <w:bookmarkEnd w:id="29"/>
      <w:r>
        <w:rPr>
          <w:rFonts w:ascii="Helvetica;Arial;sans-serif" w:hAnsi="Helvetica;Arial;sans-serif"/>
          <w:b/>
          <w:sz w:val="17"/>
        </w:rPr>
        <w:t>Item 14. Principal Accounting Fees and Services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Fees for professional services provided by BDO Seidman, LLP during the years ended September 30, 2006 and 2007 are: </w:t>
      </w:r>
    </w:p>
    <w:tbl>
      <w:tblPr>
        <w:tblW w:w="5000" w:type="pct"/>
        <w:jc w:val="center"/>
        <w:tblInd w:w="0" w:type="dxa"/>
        <w:tblCellMar>
          <w:top w:w="0" w:type="dxa"/>
          <w:left w:w="0" w:type="dxa"/>
          <w:bottom w:w="0" w:type="dxa"/>
          <w:right w:w="0" w:type="dxa"/>
        </w:tblCellMar>
      </w:tblPr>
      <w:tblGrid>
        <w:gridCol w:w="6576"/>
        <w:gridCol w:w="415"/>
        <w:gridCol w:w="197"/>
        <w:gridCol w:w="1073"/>
        <w:gridCol w:w="127"/>
        <w:gridCol w:w="428"/>
        <w:gridCol w:w="197"/>
        <w:gridCol w:w="1074"/>
        <w:gridCol w:w="118"/>
      </w:tblGrid>
      <w:tr>
        <w:trPr/>
        <w:tc>
          <w:tcPr>
            <w:tcW w:w="6576"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6576"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3096" w:type="dxa"/>
            <w:gridSpan w:val="6"/>
            <w:tcBorders>
              <w:bottom w:val="single" w:sz="2" w:space="0" w:color="000000"/>
            </w:tcBorders>
            <w:shd w:fill="auto" w:val="clear"/>
            <w:tcMar>
              <w:bottom w:w="28" w:type="dxa"/>
            </w:tcMar>
            <w:vAlign w:val="bottom"/>
          </w:tcPr>
          <w:p>
            <w:pPr>
              <w:pStyle w:val="TableContents"/>
              <w:spacing w:before="0" w:after="283"/>
              <w:jc w:val="center"/>
              <w:rPr/>
            </w:pPr>
            <w:r>
              <w:rPr/>
              <w:t>Years Ended September 30,</w:t>
            </w:r>
          </w:p>
        </w:tc>
        <w:tc>
          <w:tcPr>
            <w:tcW w:w="118" w:type="dxa"/>
            <w:tcBorders/>
            <w:shd w:fill="auto" w:val="clear"/>
            <w:vAlign w:val="bottom"/>
          </w:tcPr>
          <w:p>
            <w:pPr>
              <w:pStyle w:val="TableContents"/>
              <w:spacing w:before="0" w:after="283"/>
              <w:rPr/>
            </w:pPr>
            <w:r>
              <w:rPr/>
              <w:t> </w:t>
            </w:r>
          </w:p>
        </w:tc>
      </w:tr>
      <w:tr>
        <w:trPr/>
        <w:tc>
          <w:tcPr>
            <w:tcW w:w="6576"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7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27"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27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18" w:type="dxa"/>
            <w:tcBorders/>
            <w:shd w:fill="auto" w:val="clear"/>
            <w:vAlign w:val="bottom"/>
          </w:tcPr>
          <w:p>
            <w:pPr>
              <w:pStyle w:val="TableContents"/>
              <w:spacing w:before="0" w:after="283"/>
              <w:rPr/>
            </w:pPr>
            <w:r>
              <w:rPr/>
              <w:t> </w:t>
            </w:r>
          </w:p>
        </w:tc>
      </w:tr>
      <w:tr>
        <w:trPr/>
        <w:tc>
          <w:tcPr>
            <w:tcW w:w="6576" w:type="dxa"/>
            <w:tcBorders/>
            <w:shd w:fill="CCEEFF" w:val="clear"/>
            <w:vAlign w:val="bottom"/>
          </w:tcPr>
          <w:p>
            <w:pPr>
              <w:pStyle w:val="TableContents"/>
              <w:spacing w:before="0" w:after="0"/>
              <w:ind w:left="225" w:right="0" w:hanging="225"/>
              <w:rPr/>
            </w:pPr>
            <w:r>
              <w:rPr/>
              <w:t>Audit fees:</w:t>
            </w:r>
          </w:p>
        </w:tc>
        <w:tc>
          <w:tcPr>
            <w:tcW w:w="41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6576" w:type="dxa"/>
            <w:tcBorders/>
            <w:shd w:fill="auto" w:val="clear"/>
            <w:vAlign w:val="bottom"/>
          </w:tcPr>
          <w:p>
            <w:pPr>
              <w:pStyle w:val="TableContents"/>
              <w:spacing w:before="0" w:after="0"/>
              <w:ind w:left="450" w:right="0" w:hanging="225"/>
              <w:rPr/>
            </w:pPr>
            <w:r>
              <w:rPr/>
              <w:t>Audit of financial statements</w:t>
            </w:r>
          </w:p>
        </w:tc>
        <w:tc>
          <w:tcPr>
            <w:tcW w:w="41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73" w:type="dxa"/>
            <w:tcBorders/>
            <w:shd w:fill="auto" w:val="clear"/>
            <w:vAlign w:val="bottom"/>
          </w:tcPr>
          <w:p>
            <w:pPr>
              <w:pStyle w:val="TableContents"/>
              <w:spacing w:before="0" w:after="283"/>
              <w:jc w:val="right"/>
              <w:rPr/>
            </w:pPr>
            <w:r>
              <w:rPr/>
              <w:t>207,356</w:t>
            </w:r>
          </w:p>
        </w:tc>
        <w:tc>
          <w:tcPr>
            <w:tcW w:w="127"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74" w:type="dxa"/>
            <w:tcBorders/>
            <w:shd w:fill="auto" w:val="clear"/>
            <w:vAlign w:val="bottom"/>
          </w:tcPr>
          <w:p>
            <w:pPr>
              <w:pStyle w:val="TableContents"/>
              <w:spacing w:before="0" w:after="283"/>
              <w:jc w:val="right"/>
              <w:rPr/>
            </w:pPr>
            <w:r>
              <w:rPr/>
              <w:t>218,468</w:t>
            </w:r>
          </w:p>
        </w:tc>
        <w:tc>
          <w:tcPr>
            <w:tcW w:w="118" w:type="dxa"/>
            <w:tcBorders/>
            <w:shd w:fill="auto" w:val="clear"/>
            <w:vAlign w:val="bottom"/>
          </w:tcPr>
          <w:p>
            <w:pPr>
              <w:pStyle w:val="TableContents"/>
              <w:spacing w:before="0" w:after="283"/>
              <w:rPr/>
            </w:pPr>
            <w:r>
              <w:rPr/>
              <w:t> </w:t>
            </w:r>
          </w:p>
        </w:tc>
      </w:tr>
      <w:tr>
        <w:trPr/>
        <w:tc>
          <w:tcPr>
            <w:tcW w:w="6576" w:type="dxa"/>
            <w:tcBorders/>
            <w:shd w:fill="CCEEFF" w:val="clear"/>
            <w:vAlign w:val="bottom"/>
          </w:tcPr>
          <w:p>
            <w:pPr>
              <w:pStyle w:val="TableContents"/>
              <w:spacing w:before="0" w:after="0"/>
              <w:ind w:left="450" w:right="0" w:hanging="225"/>
              <w:rPr/>
            </w:pPr>
            <w:r>
              <w:rPr/>
              <w:t>Audit pursuant to section 404 of the Sarbanes-Oxley Act</w:t>
            </w:r>
          </w:p>
        </w:tc>
        <w:tc>
          <w:tcPr>
            <w:tcW w:w="41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259,831</w:t>
            </w:r>
          </w:p>
        </w:tc>
        <w:tc>
          <w:tcPr>
            <w:tcW w:w="127"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230,576</w:t>
            </w:r>
          </w:p>
        </w:tc>
        <w:tc>
          <w:tcPr>
            <w:tcW w:w="118" w:type="dxa"/>
            <w:tcBorders/>
            <w:shd w:fill="CCEEFF" w:val="clear"/>
            <w:vAlign w:val="bottom"/>
          </w:tcPr>
          <w:p>
            <w:pPr>
              <w:pStyle w:val="TableContents"/>
              <w:spacing w:before="0" w:after="283"/>
              <w:rPr/>
            </w:pPr>
            <w:r>
              <w:rPr/>
              <w:t> </w:t>
            </w:r>
          </w:p>
        </w:tc>
      </w:tr>
      <w:tr>
        <w:trPr/>
        <w:tc>
          <w:tcPr>
            <w:tcW w:w="6576" w:type="dxa"/>
            <w:tcBorders/>
            <w:shd w:fill="auto" w:val="clear"/>
            <w:vAlign w:val="bottom"/>
          </w:tcPr>
          <w:p>
            <w:pPr>
              <w:pStyle w:val="TableContents"/>
              <w:spacing w:before="0" w:after="0"/>
              <w:ind w:left="450" w:right="0" w:hanging="225"/>
              <w:rPr/>
            </w:pPr>
            <w:r>
              <w:rPr/>
              <w:t>Quarterly reviews and other audit fees</w:t>
            </w:r>
          </w:p>
        </w:tc>
        <w:tc>
          <w:tcPr>
            <w:tcW w:w="41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68,522</w:t>
            </w:r>
          </w:p>
        </w:tc>
        <w:tc>
          <w:tcPr>
            <w:tcW w:w="127"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77,479</w:t>
            </w:r>
          </w:p>
        </w:tc>
        <w:tc>
          <w:tcPr>
            <w:tcW w:w="118" w:type="dxa"/>
            <w:tcBorders/>
            <w:shd w:fill="auto" w:val="clear"/>
            <w:vAlign w:val="bottom"/>
          </w:tcPr>
          <w:p>
            <w:pPr>
              <w:pStyle w:val="TableContents"/>
              <w:spacing w:before="0" w:after="283"/>
              <w:rPr/>
            </w:pPr>
            <w:r>
              <w:rPr/>
              <w:t> </w:t>
            </w:r>
          </w:p>
        </w:tc>
      </w:tr>
      <w:tr>
        <w:trPr/>
        <w:tc>
          <w:tcPr>
            <w:tcW w:w="6576" w:type="dxa"/>
            <w:tcBorders/>
            <w:shd w:fill="auto" w:val="clear"/>
            <w:vAlign w:val="center"/>
          </w:tcPr>
          <w:p>
            <w:pPr>
              <w:pStyle w:val="TableContents"/>
              <w:spacing w:before="0" w:after="0"/>
              <w:ind w:left="225" w:right="0" w:hanging="225"/>
              <w:rPr/>
            </w:pPr>
            <w:r>
              <w:rPr/>
              <w:t> </w:t>
            </w:r>
          </w:p>
        </w:tc>
        <w:tc>
          <w:tcPr>
            <w:tcW w:w="415" w:type="dxa"/>
            <w:tcBorders/>
            <w:shd w:fill="auto" w:val="clear"/>
            <w:vAlign w:val="center"/>
          </w:tcPr>
          <w:p>
            <w:pPr>
              <w:pStyle w:val="TableContents"/>
              <w:spacing w:before="0" w:after="283"/>
              <w:rPr/>
            </w:pPr>
            <w:r>
              <w:rPr/>
              <w:t> </w:t>
            </w:r>
          </w:p>
        </w:tc>
        <w:tc>
          <w:tcPr>
            <w:tcW w:w="12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2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6576" w:type="dxa"/>
            <w:tcBorders/>
            <w:shd w:fill="CCEEFF" w:val="clear"/>
            <w:vAlign w:val="bottom"/>
          </w:tcPr>
          <w:p>
            <w:pPr>
              <w:pStyle w:val="TableContents"/>
              <w:spacing w:before="0" w:after="0"/>
              <w:ind w:left="225" w:right="0" w:hanging="225"/>
              <w:rPr/>
            </w:pPr>
            <w:r>
              <w:rPr/>
              <w:t>Total audit fees</w:t>
            </w:r>
          </w:p>
        </w:tc>
        <w:tc>
          <w:tcPr>
            <w:tcW w:w="41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535,709</w:t>
            </w:r>
          </w:p>
        </w:tc>
        <w:tc>
          <w:tcPr>
            <w:tcW w:w="127"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526,523</w:t>
            </w:r>
          </w:p>
        </w:tc>
        <w:tc>
          <w:tcPr>
            <w:tcW w:w="118" w:type="dxa"/>
            <w:tcBorders/>
            <w:shd w:fill="CCEEFF" w:val="clear"/>
            <w:vAlign w:val="bottom"/>
          </w:tcPr>
          <w:p>
            <w:pPr>
              <w:pStyle w:val="TableContents"/>
              <w:spacing w:before="0" w:after="283"/>
              <w:rPr/>
            </w:pPr>
            <w:r>
              <w:rPr/>
              <w:t> </w:t>
            </w:r>
          </w:p>
        </w:tc>
      </w:tr>
      <w:tr>
        <w:trPr/>
        <w:tc>
          <w:tcPr>
            <w:tcW w:w="6576" w:type="dxa"/>
            <w:tcBorders/>
            <w:shd w:fill="auto" w:val="clear"/>
            <w:vAlign w:val="bottom"/>
          </w:tcPr>
          <w:p>
            <w:pPr>
              <w:pStyle w:val="TableContents"/>
              <w:spacing w:before="0" w:after="0"/>
              <w:ind w:left="225" w:right="0" w:hanging="225"/>
              <w:rPr/>
            </w:pPr>
            <w:r>
              <w:rPr/>
              <w:t> </w:t>
            </w:r>
          </w:p>
        </w:tc>
        <w:tc>
          <w:tcPr>
            <w:tcW w:w="41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6576" w:type="dxa"/>
            <w:tcBorders/>
            <w:shd w:fill="auto" w:val="clear"/>
            <w:vAlign w:val="bottom"/>
          </w:tcPr>
          <w:p>
            <w:pPr>
              <w:pStyle w:val="TableContents"/>
              <w:spacing w:before="0" w:after="0"/>
              <w:ind w:left="225" w:right="0" w:hanging="225"/>
              <w:rPr/>
            </w:pPr>
            <w:r>
              <w:rPr/>
              <w:t>Audit related fees</w:t>
            </w:r>
          </w:p>
        </w:tc>
        <w:tc>
          <w:tcPr>
            <w:tcW w:w="41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15,862</w:t>
            </w:r>
          </w:p>
        </w:tc>
        <w:tc>
          <w:tcPr>
            <w:tcW w:w="127"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16,591</w:t>
            </w:r>
          </w:p>
        </w:tc>
        <w:tc>
          <w:tcPr>
            <w:tcW w:w="118" w:type="dxa"/>
            <w:tcBorders/>
            <w:shd w:fill="auto" w:val="clear"/>
            <w:vAlign w:val="bottom"/>
          </w:tcPr>
          <w:p>
            <w:pPr>
              <w:pStyle w:val="TableContents"/>
              <w:spacing w:before="0" w:after="283"/>
              <w:rPr/>
            </w:pPr>
            <w:r>
              <w:rPr/>
              <w:t> </w:t>
            </w:r>
          </w:p>
        </w:tc>
      </w:tr>
      <w:tr>
        <w:trPr/>
        <w:tc>
          <w:tcPr>
            <w:tcW w:w="6576" w:type="dxa"/>
            <w:tcBorders/>
            <w:shd w:fill="CCEEFF" w:val="clear"/>
            <w:vAlign w:val="bottom"/>
          </w:tcPr>
          <w:p>
            <w:pPr>
              <w:pStyle w:val="TableContents"/>
              <w:spacing w:before="0" w:after="0"/>
              <w:ind w:left="225" w:right="0" w:hanging="225"/>
              <w:rPr/>
            </w:pPr>
            <w:r>
              <w:rPr/>
              <w:t>Tax fees</w:t>
            </w:r>
          </w:p>
        </w:tc>
        <w:tc>
          <w:tcPr>
            <w:tcW w:w="41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r>
      <w:tr>
        <w:trPr/>
        <w:tc>
          <w:tcPr>
            <w:tcW w:w="6576" w:type="dxa"/>
            <w:tcBorders/>
            <w:shd w:fill="auto" w:val="clear"/>
            <w:vAlign w:val="bottom"/>
          </w:tcPr>
          <w:p>
            <w:pPr>
              <w:pStyle w:val="TableContents"/>
              <w:spacing w:before="0" w:after="0"/>
              <w:ind w:left="225" w:right="0" w:hanging="225"/>
              <w:rPr/>
            </w:pPr>
            <w:r>
              <w:rPr/>
              <w:t>All other fees</w:t>
            </w:r>
          </w:p>
        </w:tc>
        <w:tc>
          <w:tcPr>
            <w:tcW w:w="41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8,264</w:t>
            </w:r>
          </w:p>
        </w:tc>
        <w:tc>
          <w:tcPr>
            <w:tcW w:w="118" w:type="dxa"/>
            <w:tcBorders/>
            <w:shd w:fill="auto" w:val="clear"/>
            <w:vAlign w:val="bottom"/>
          </w:tcPr>
          <w:p>
            <w:pPr>
              <w:pStyle w:val="TableContents"/>
              <w:spacing w:before="0" w:after="283"/>
              <w:rPr/>
            </w:pPr>
            <w:r>
              <w:rPr/>
              <w:t> </w:t>
            </w:r>
          </w:p>
        </w:tc>
      </w:tr>
      <w:tr>
        <w:trPr/>
        <w:tc>
          <w:tcPr>
            <w:tcW w:w="6576" w:type="dxa"/>
            <w:tcBorders/>
            <w:shd w:fill="auto" w:val="clear"/>
            <w:vAlign w:val="center"/>
          </w:tcPr>
          <w:p>
            <w:pPr>
              <w:pStyle w:val="TableContents"/>
              <w:spacing w:before="0" w:after="0"/>
              <w:ind w:left="225" w:right="0" w:hanging="225"/>
              <w:rPr/>
            </w:pPr>
            <w:r>
              <w:rPr/>
              <w:t> </w:t>
            </w:r>
          </w:p>
        </w:tc>
        <w:tc>
          <w:tcPr>
            <w:tcW w:w="415" w:type="dxa"/>
            <w:tcBorders/>
            <w:shd w:fill="auto" w:val="clear"/>
            <w:vAlign w:val="center"/>
          </w:tcPr>
          <w:p>
            <w:pPr>
              <w:pStyle w:val="TableContents"/>
              <w:spacing w:before="0" w:after="283"/>
              <w:rPr/>
            </w:pPr>
            <w:r>
              <w:rPr/>
              <w:t> </w:t>
            </w:r>
          </w:p>
        </w:tc>
        <w:tc>
          <w:tcPr>
            <w:tcW w:w="12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2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6576" w:type="dxa"/>
            <w:tcBorders/>
            <w:shd w:fill="CCEEFF" w:val="clear"/>
            <w:vAlign w:val="bottom"/>
          </w:tcPr>
          <w:p>
            <w:pPr>
              <w:pStyle w:val="TableContents"/>
              <w:spacing w:before="0" w:after="0"/>
              <w:ind w:left="450" w:right="0" w:hanging="225"/>
              <w:rPr/>
            </w:pPr>
            <w:r>
              <w:rPr/>
              <w:t>Total fees for services</w:t>
            </w:r>
          </w:p>
        </w:tc>
        <w:tc>
          <w:tcPr>
            <w:tcW w:w="41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73" w:type="dxa"/>
            <w:tcBorders/>
            <w:shd w:fill="CCEEFF" w:val="clear"/>
            <w:vAlign w:val="bottom"/>
          </w:tcPr>
          <w:p>
            <w:pPr>
              <w:pStyle w:val="TableContents"/>
              <w:spacing w:before="0" w:after="283"/>
              <w:jc w:val="right"/>
              <w:rPr/>
            </w:pPr>
            <w:r>
              <w:rPr/>
              <w:t>551,571</w:t>
            </w:r>
          </w:p>
        </w:tc>
        <w:tc>
          <w:tcPr>
            <w:tcW w:w="127"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74" w:type="dxa"/>
            <w:tcBorders/>
            <w:shd w:fill="CCEEFF" w:val="clear"/>
            <w:vAlign w:val="bottom"/>
          </w:tcPr>
          <w:p>
            <w:pPr>
              <w:pStyle w:val="TableContents"/>
              <w:spacing w:before="0" w:after="283"/>
              <w:jc w:val="right"/>
              <w:rPr/>
            </w:pPr>
            <w:r>
              <w:rPr/>
              <w:t>551,378</w:t>
            </w:r>
          </w:p>
        </w:tc>
        <w:tc>
          <w:tcPr>
            <w:tcW w:w="118" w:type="dxa"/>
            <w:tcBorders/>
            <w:shd w:fill="CCEEFF" w:val="clear"/>
            <w:vAlign w:val="bottom"/>
          </w:tcPr>
          <w:p>
            <w:pPr>
              <w:pStyle w:val="TableContents"/>
              <w:spacing w:before="0" w:after="283"/>
              <w:rPr/>
            </w:pPr>
            <w:r>
              <w:rPr/>
              <w:t> </w:t>
            </w:r>
          </w:p>
        </w:tc>
      </w:tr>
      <w:tr>
        <w:trPr/>
        <w:tc>
          <w:tcPr>
            <w:tcW w:w="6576" w:type="dxa"/>
            <w:tcBorders/>
            <w:shd w:fill="auto" w:val="clear"/>
            <w:vAlign w:val="center"/>
          </w:tcPr>
          <w:p>
            <w:pPr>
              <w:pStyle w:val="TableContents"/>
              <w:spacing w:before="0" w:after="0"/>
              <w:ind w:left="225" w:right="0" w:hanging="225"/>
              <w:rPr/>
            </w:pPr>
            <w:r>
              <w:rPr/>
              <w:t> </w:t>
            </w:r>
          </w:p>
        </w:tc>
        <w:tc>
          <w:tcPr>
            <w:tcW w:w="415" w:type="dxa"/>
            <w:tcBorders/>
            <w:shd w:fill="auto" w:val="clear"/>
            <w:vAlign w:val="center"/>
          </w:tcPr>
          <w:p>
            <w:pPr>
              <w:pStyle w:val="TableContents"/>
              <w:spacing w:before="0" w:after="283"/>
              <w:rPr/>
            </w:pPr>
            <w:r>
              <w:rPr/>
              <w:t> </w:t>
            </w:r>
          </w:p>
        </w:tc>
        <w:tc>
          <w:tcPr>
            <w:tcW w:w="12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12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At September 30, 2006, we estimated the total costs expected for our financial statement and section 404 audits for the above disclosure, as total billings had not yet been received by the time we filed our 2006 annual report. Included in the 2007 figures above is $2,468 related to the 2006 audit of financial statements and $24,000 related to the 2006 section 404 audit. Also included in the 2007 figures is our estimated total cost for the 2007 audits, as final billings have not yet been received for those audits.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Audit related fees consist of fees for the audit of our 401(k) retirement savings plan.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Audit Committee of our Board of Directors has adopted a policy of pre-approving all fees to be paid to our independent audit firm, regardless of the type of service. All non-audit services were reviewed with the Audit Committee, which concluded that the provision of such services by BDO Seidman, LLP, as appropriate, was compatible with the maintenance of that firms independence in the conduct of its auditing functions. </w:t>
      </w:r>
    </w:p>
    <w:p>
      <w:pPr>
        <w:pStyle w:val="TextBody"/>
        <w:jc w:val="center"/>
        <w:rPr>
          <w:rFonts w:ascii="Helvetica;Arial;sans-serif" w:hAnsi="Helvetica;Arial;sans-serif"/>
          <w:sz w:val="17"/>
        </w:rPr>
      </w:pPr>
      <w:r>
        <w:rPr>
          <w:rFonts w:ascii="Helvetica;Arial;sans-serif" w:hAnsi="Helvetica;Arial;sans-serif"/>
          <w:sz w:val="17"/>
        </w:rPr>
        <w:t xml:space="preserve">97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Helvetica;Arial;sans-serif" w:hAnsi="Helvetica;Arial;sans-serif"/>
          <w:sz w:val="17"/>
        </w:rPr>
      </w:pPr>
      <w:bookmarkStart w:id="30" w:name="121"/>
      <w:bookmarkEnd w:id="30"/>
      <w:r>
        <w:rPr>
          <w:rFonts w:ascii="Helvetica;Arial;sans-serif" w:hAnsi="Helvetica;Arial;sans-serif"/>
          <w:b/>
          <w:sz w:val="17"/>
        </w:rPr>
        <w:t>PART IV</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bookmarkStart w:id="31" w:name="122"/>
      <w:bookmarkEnd w:id="31"/>
      <w:r>
        <w:rPr>
          <w:rFonts w:ascii="Helvetica;Arial;sans-serif" w:hAnsi="Helvetica;Arial;sans-serif"/>
          <w:b/>
          <w:sz w:val="17"/>
        </w:rPr>
        <w:t>Item 15. Exhibits and Financial Statement Schedules</w:t>
      </w:r>
      <w:r>
        <w:rPr>
          <w:rFonts w:ascii="Helvetica;Arial;sans-serif" w:hAnsi="Helvetica;Arial;sans-serif"/>
          <w:sz w:val="17"/>
        </w:rPr>
        <w:t xml:space="preserve"> </w:t>
      </w:r>
    </w:p>
    <w:tbl>
      <w:tblPr>
        <w:tblW w:w="5000" w:type="pct"/>
        <w:jc w:val="left"/>
        <w:tblInd w:w="0" w:type="dxa"/>
        <w:tblCellMar>
          <w:top w:w="0" w:type="dxa"/>
          <w:left w:w="0" w:type="dxa"/>
          <w:bottom w:w="0" w:type="dxa"/>
          <w:right w:w="0" w:type="dxa"/>
        </w:tblCellMar>
      </w:tblPr>
      <w:tblGrid>
        <w:gridCol w:w="617"/>
        <w:gridCol w:w="121"/>
        <w:gridCol w:w="9467"/>
      </w:tblGrid>
      <w:tr>
        <w:trPr/>
        <w:tc>
          <w:tcPr>
            <w:tcW w:w="617" w:type="dxa"/>
            <w:tcBorders/>
            <w:shd w:fill="auto" w:val="clear"/>
          </w:tcPr>
          <w:p>
            <w:pPr>
              <w:pStyle w:val="TableContents"/>
              <w:spacing w:before="0" w:after="283"/>
              <w:jc w:val="left"/>
              <w:rPr/>
            </w:pPr>
            <w:r>
              <w:rPr/>
              <w:t>(a)(1) </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The following consolidated financial statements of EZCORP, Inc. and subsidiaries are included in Item 8:</w:t>
            </w:r>
          </w:p>
        </w:tc>
      </w:tr>
      <w:tr>
        <w:trPr/>
        <w:tc>
          <w:tcPr>
            <w:tcW w:w="617" w:type="dxa"/>
            <w:tcBorders/>
            <w:shd w:fill="auto" w:val="clear"/>
            <w:vAlign w:val="center"/>
          </w:tcPr>
          <w:p>
            <w:pPr>
              <w:pStyle w:val="TableContents"/>
              <w:spacing w:before="0" w:after="283"/>
              <w:rPr/>
            </w:pPr>
            <w:r>
              <w:rPr/>
              <w:t> </w:t>
            </w:r>
          </w:p>
        </w:tc>
        <w:tc>
          <w:tcPr>
            <w:tcW w:w="9588" w:type="dxa"/>
            <w:gridSpan w:val="2"/>
            <w:tcBorders/>
            <w:shd w:fill="auto" w:val="clear"/>
          </w:tcPr>
          <w:p>
            <w:pPr>
              <w:pStyle w:val="TableContents"/>
              <w:spacing w:before="0" w:after="283"/>
              <w:rPr>
                <w:sz w:val="4"/>
                <w:szCs w:val="4"/>
              </w:rPr>
            </w:pPr>
            <w:r>
              <w:rPr>
                <w:sz w:val="4"/>
                <w:szCs w:val="4"/>
              </w:rPr>
            </w:r>
          </w:p>
        </w:tc>
      </w:tr>
      <w:tr>
        <w:trPr/>
        <w:tc>
          <w:tcPr>
            <w:tcW w:w="617" w:type="dxa"/>
            <w:tcBorders/>
            <w:shd w:fill="auto" w:val="clear"/>
          </w:tcPr>
          <w:p>
            <w:pPr>
              <w:pStyle w:val="TableContents"/>
              <w:spacing w:before="0" w:after="283"/>
              <w:jc w:val="left"/>
              <w:rPr/>
            </w:pPr>
            <w:r>
              <w:rPr/>
              <w:t> </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Consolidated Financial Statements</w:t>
            </w:r>
          </w:p>
        </w:tc>
      </w:tr>
      <w:tr>
        <w:trPr/>
        <w:tc>
          <w:tcPr>
            <w:tcW w:w="617" w:type="dxa"/>
            <w:tcBorders/>
            <w:shd w:fill="auto" w:val="clear"/>
            <w:vAlign w:val="center"/>
          </w:tcPr>
          <w:p>
            <w:pPr>
              <w:pStyle w:val="TableContents"/>
              <w:spacing w:before="0" w:after="283"/>
              <w:rPr/>
            </w:pPr>
            <w:r>
              <w:rPr/>
              <w:t> </w:t>
            </w:r>
          </w:p>
        </w:tc>
        <w:tc>
          <w:tcPr>
            <w:tcW w:w="9588" w:type="dxa"/>
            <w:gridSpan w:val="2"/>
            <w:tcBorders/>
            <w:shd w:fill="auto" w:val="clear"/>
          </w:tcPr>
          <w:p>
            <w:pPr>
              <w:pStyle w:val="TableContents"/>
              <w:spacing w:before="0" w:after="283"/>
              <w:rPr>
                <w:sz w:val="4"/>
                <w:szCs w:val="4"/>
              </w:rPr>
            </w:pPr>
            <w:r>
              <w:rPr>
                <w:sz w:val="4"/>
                <w:szCs w:val="4"/>
              </w:rPr>
            </w:r>
          </w:p>
        </w:tc>
      </w:tr>
      <w:tr>
        <w:trPr/>
        <w:tc>
          <w:tcPr>
            <w:tcW w:w="617" w:type="dxa"/>
            <w:tcBorders/>
            <w:shd w:fill="auto" w:val="clear"/>
          </w:tcPr>
          <w:p>
            <w:pPr>
              <w:pStyle w:val="TableContents"/>
              <w:spacing w:before="0" w:after="283"/>
              <w:jc w:val="left"/>
              <w:rPr/>
            </w:pPr>
            <w:r>
              <w:rPr/>
              <w:t> </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Report of Independent Registered Public Accounting Firm</w:t>
            </w:r>
          </w:p>
        </w:tc>
      </w:tr>
      <w:tr>
        <w:trPr/>
        <w:tc>
          <w:tcPr>
            <w:tcW w:w="617" w:type="dxa"/>
            <w:tcBorders/>
            <w:shd w:fill="auto" w:val="clear"/>
            <w:vAlign w:val="center"/>
          </w:tcPr>
          <w:p>
            <w:pPr>
              <w:pStyle w:val="TableContents"/>
              <w:spacing w:before="0" w:after="283"/>
              <w:rPr/>
            </w:pPr>
            <w:r>
              <w:rPr/>
              <w:t> </w:t>
            </w:r>
          </w:p>
        </w:tc>
        <w:tc>
          <w:tcPr>
            <w:tcW w:w="9588" w:type="dxa"/>
            <w:gridSpan w:val="2"/>
            <w:tcBorders/>
            <w:shd w:fill="auto" w:val="clear"/>
          </w:tcPr>
          <w:p>
            <w:pPr>
              <w:pStyle w:val="TableContents"/>
              <w:spacing w:before="0" w:after="283"/>
              <w:rPr>
                <w:sz w:val="4"/>
                <w:szCs w:val="4"/>
              </w:rPr>
            </w:pPr>
            <w:r>
              <w:rPr>
                <w:sz w:val="4"/>
                <w:szCs w:val="4"/>
              </w:rPr>
            </w:r>
          </w:p>
        </w:tc>
      </w:tr>
      <w:tr>
        <w:trPr/>
        <w:tc>
          <w:tcPr>
            <w:tcW w:w="617" w:type="dxa"/>
            <w:tcBorders/>
            <w:shd w:fill="auto" w:val="clear"/>
          </w:tcPr>
          <w:p>
            <w:pPr>
              <w:pStyle w:val="TableContents"/>
              <w:spacing w:before="0" w:after="283"/>
              <w:jc w:val="left"/>
              <w:rPr/>
            </w:pPr>
            <w:r>
              <w:rPr/>
              <w:t> </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Consolidated Balance Sheets as of September 30, 2006 and 2007</w:t>
            </w:r>
          </w:p>
        </w:tc>
      </w:tr>
      <w:tr>
        <w:trPr/>
        <w:tc>
          <w:tcPr>
            <w:tcW w:w="617" w:type="dxa"/>
            <w:tcBorders/>
            <w:shd w:fill="auto" w:val="clear"/>
            <w:vAlign w:val="center"/>
          </w:tcPr>
          <w:p>
            <w:pPr>
              <w:pStyle w:val="TableContents"/>
              <w:spacing w:before="0" w:after="283"/>
              <w:rPr/>
            </w:pPr>
            <w:r>
              <w:rPr/>
              <w:t> </w:t>
            </w:r>
          </w:p>
        </w:tc>
        <w:tc>
          <w:tcPr>
            <w:tcW w:w="9588" w:type="dxa"/>
            <w:gridSpan w:val="2"/>
            <w:tcBorders/>
            <w:shd w:fill="auto" w:val="clear"/>
          </w:tcPr>
          <w:p>
            <w:pPr>
              <w:pStyle w:val="TableContents"/>
              <w:spacing w:before="0" w:after="283"/>
              <w:rPr>
                <w:sz w:val="4"/>
                <w:szCs w:val="4"/>
              </w:rPr>
            </w:pPr>
            <w:r>
              <w:rPr>
                <w:sz w:val="4"/>
                <w:szCs w:val="4"/>
              </w:rPr>
            </w:r>
          </w:p>
        </w:tc>
      </w:tr>
      <w:tr>
        <w:trPr/>
        <w:tc>
          <w:tcPr>
            <w:tcW w:w="617" w:type="dxa"/>
            <w:tcBorders/>
            <w:shd w:fill="auto" w:val="clear"/>
          </w:tcPr>
          <w:p>
            <w:pPr>
              <w:pStyle w:val="TableContents"/>
              <w:spacing w:before="0" w:after="283"/>
              <w:jc w:val="left"/>
              <w:rPr/>
            </w:pPr>
            <w:r>
              <w:rPr/>
              <w:t> </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Consolidated Statements of Operations for each of the three years in the period ended September 30, 2007</w:t>
            </w:r>
          </w:p>
        </w:tc>
      </w:tr>
      <w:tr>
        <w:trPr/>
        <w:tc>
          <w:tcPr>
            <w:tcW w:w="617" w:type="dxa"/>
            <w:tcBorders/>
            <w:shd w:fill="auto" w:val="clear"/>
            <w:vAlign w:val="center"/>
          </w:tcPr>
          <w:p>
            <w:pPr>
              <w:pStyle w:val="TableContents"/>
              <w:spacing w:before="0" w:after="283"/>
              <w:rPr/>
            </w:pPr>
            <w:r>
              <w:rPr/>
              <w:t> </w:t>
            </w:r>
          </w:p>
        </w:tc>
        <w:tc>
          <w:tcPr>
            <w:tcW w:w="9588" w:type="dxa"/>
            <w:gridSpan w:val="2"/>
            <w:tcBorders/>
            <w:shd w:fill="auto" w:val="clear"/>
          </w:tcPr>
          <w:p>
            <w:pPr>
              <w:pStyle w:val="TableContents"/>
              <w:spacing w:before="0" w:after="283"/>
              <w:rPr>
                <w:sz w:val="4"/>
                <w:szCs w:val="4"/>
              </w:rPr>
            </w:pPr>
            <w:r>
              <w:rPr>
                <w:sz w:val="4"/>
                <w:szCs w:val="4"/>
              </w:rPr>
            </w:r>
          </w:p>
        </w:tc>
      </w:tr>
      <w:tr>
        <w:trPr/>
        <w:tc>
          <w:tcPr>
            <w:tcW w:w="617" w:type="dxa"/>
            <w:tcBorders/>
            <w:shd w:fill="auto" w:val="clear"/>
          </w:tcPr>
          <w:p>
            <w:pPr>
              <w:pStyle w:val="TableContents"/>
              <w:spacing w:before="0" w:after="283"/>
              <w:jc w:val="left"/>
              <w:rPr/>
            </w:pPr>
            <w:r>
              <w:rPr/>
              <w:t> </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Consolidated Statements of Cash Flows for each of the three years in the period ended September 30, 2007</w:t>
            </w:r>
          </w:p>
        </w:tc>
      </w:tr>
      <w:tr>
        <w:trPr/>
        <w:tc>
          <w:tcPr>
            <w:tcW w:w="617" w:type="dxa"/>
            <w:tcBorders/>
            <w:shd w:fill="auto" w:val="clear"/>
            <w:vAlign w:val="center"/>
          </w:tcPr>
          <w:p>
            <w:pPr>
              <w:pStyle w:val="TableContents"/>
              <w:spacing w:before="0" w:after="283"/>
              <w:rPr/>
            </w:pPr>
            <w:r>
              <w:rPr/>
              <w:t> </w:t>
            </w:r>
          </w:p>
        </w:tc>
        <w:tc>
          <w:tcPr>
            <w:tcW w:w="9588" w:type="dxa"/>
            <w:gridSpan w:val="2"/>
            <w:tcBorders/>
            <w:shd w:fill="auto" w:val="clear"/>
          </w:tcPr>
          <w:p>
            <w:pPr>
              <w:pStyle w:val="TableContents"/>
              <w:spacing w:before="0" w:after="283"/>
              <w:rPr>
                <w:sz w:val="4"/>
                <w:szCs w:val="4"/>
              </w:rPr>
            </w:pPr>
            <w:r>
              <w:rPr>
                <w:sz w:val="4"/>
                <w:szCs w:val="4"/>
              </w:rPr>
            </w:r>
          </w:p>
        </w:tc>
      </w:tr>
      <w:tr>
        <w:trPr/>
        <w:tc>
          <w:tcPr>
            <w:tcW w:w="617" w:type="dxa"/>
            <w:tcBorders/>
            <w:shd w:fill="auto" w:val="clear"/>
          </w:tcPr>
          <w:p>
            <w:pPr>
              <w:pStyle w:val="TableContents"/>
              <w:spacing w:before="0" w:after="283"/>
              <w:jc w:val="left"/>
              <w:rPr/>
            </w:pPr>
            <w:r>
              <w:rPr/>
              <w:t> </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 xml:space="preserve">Consolidated Statements of Stockholders Equity for each of the three years in the period ended </w:t>
              <w:br/>
              <w:t>September 30, 2007</w:t>
            </w:r>
          </w:p>
        </w:tc>
      </w:tr>
      <w:tr>
        <w:trPr/>
        <w:tc>
          <w:tcPr>
            <w:tcW w:w="617" w:type="dxa"/>
            <w:tcBorders/>
            <w:shd w:fill="auto" w:val="clear"/>
            <w:vAlign w:val="center"/>
          </w:tcPr>
          <w:p>
            <w:pPr>
              <w:pStyle w:val="TableContents"/>
              <w:spacing w:before="0" w:after="283"/>
              <w:rPr/>
            </w:pPr>
            <w:r>
              <w:rPr/>
              <w:t> </w:t>
            </w:r>
          </w:p>
        </w:tc>
        <w:tc>
          <w:tcPr>
            <w:tcW w:w="9588" w:type="dxa"/>
            <w:gridSpan w:val="2"/>
            <w:tcBorders/>
            <w:shd w:fill="auto" w:val="clear"/>
          </w:tcPr>
          <w:p>
            <w:pPr>
              <w:pStyle w:val="TableContents"/>
              <w:spacing w:before="0" w:after="283"/>
              <w:rPr>
                <w:sz w:val="4"/>
                <w:szCs w:val="4"/>
              </w:rPr>
            </w:pPr>
            <w:r>
              <w:rPr>
                <w:sz w:val="4"/>
                <w:szCs w:val="4"/>
              </w:rPr>
            </w:r>
          </w:p>
        </w:tc>
      </w:tr>
      <w:tr>
        <w:trPr/>
        <w:tc>
          <w:tcPr>
            <w:tcW w:w="617" w:type="dxa"/>
            <w:tcBorders/>
            <w:shd w:fill="auto" w:val="clear"/>
          </w:tcPr>
          <w:p>
            <w:pPr>
              <w:pStyle w:val="TableContents"/>
              <w:spacing w:before="0" w:after="283"/>
              <w:jc w:val="left"/>
              <w:rPr/>
            </w:pPr>
            <w:r>
              <w:rPr/>
              <w:t> </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Notes to Consolidated Financial Statements.</w:t>
            </w:r>
          </w:p>
        </w:tc>
      </w:tr>
      <w:tr>
        <w:trPr/>
        <w:tc>
          <w:tcPr>
            <w:tcW w:w="617" w:type="dxa"/>
            <w:tcBorders/>
            <w:shd w:fill="auto" w:val="clear"/>
            <w:vAlign w:val="center"/>
          </w:tcPr>
          <w:p>
            <w:pPr>
              <w:pStyle w:val="TableContents"/>
              <w:spacing w:before="0" w:after="283"/>
              <w:rPr/>
            </w:pPr>
            <w:r>
              <w:rPr/>
              <w:t> </w:t>
            </w:r>
          </w:p>
        </w:tc>
        <w:tc>
          <w:tcPr>
            <w:tcW w:w="9588" w:type="dxa"/>
            <w:gridSpan w:val="2"/>
            <w:tcBorders/>
            <w:shd w:fill="auto" w:val="clear"/>
          </w:tcPr>
          <w:p>
            <w:pPr>
              <w:pStyle w:val="TableContents"/>
              <w:spacing w:before="0" w:after="283"/>
              <w:rPr>
                <w:sz w:val="4"/>
                <w:szCs w:val="4"/>
              </w:rPr>
            </w:pPr>
            <w:r>
              <w:rPr>
                <w:sz w:val="4"/>
                <w:szCs w:val="4"/>
              </w:rPr>
            </w:r>
          </w:p>
        </w:tc>
      </w:tr>
      <w:tr>
        <w:trPr/>
        <w:tc>
          <w:tcPr>
            <w:tcW w:w="617" w:type="dxa"/>
            <w:tcBorders/>
            <w:shd w:fill="auto" w:val="clear"/>
          </w:tcPr>
          <w:p>
            <w:pPr>
              <w:pStyle w:val="TableContents"/>
              <w:spacing w:before="0" w:after="283"/>
              <w:jc w:val="left"/>
              <w:rPr/>
            </w:pPr>
            <w:r>
              <w:rPr/>
              <w:t>(2)</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The following Financial Statement Schedule is included herein:</w:t>
            </w:r>
          </w:p>
        </w:tc>
      </w:tr>
      <w:tr>
        <w:trPr/>
        <w:tc>
          <w:tcPr>
            <w:tcW w:w="617" w:type="dxa"/>
            <w:tcBorders/>
            <w:shd w:fill="auto" w:val="clear"/>
            <w:vAlign w:val="center"/>
          </w:tcPr>
          <w:p>
            <w:pPr>
              <w:pStyle w:val="TableContents"/>
              <w:spacing w:before="0" w:after="283"/>
              <w:rPr/>
            </w:pPr>
            <w:r>
              <w:rPr/>
              <w:t> </w:t>
            </w:r>
          </w:p>
        </w:tc>
        <w:tc>
          <w:tcPr>
            <w:tcW w:w="9588" w:type="dxa"/>
            <w:gridSpan w:val="2"/>
            <w:tcBorders/>
            <w:shd w:fill="auto" w:val="clear"/>
          </w:tcPr>
          <w:p>
            <w:pPr>
              <w:pStyle w:val="TableContents"/>
              <w:spacing w:before="0" w:after="283"/>
              <w:rPr>
                <w:sz w:val="4"/>
                <w:szCs w:val="4"/>
              </w:rPr>
            </w:pPr>
            <w:r>
              <w:rPr>
                <w:sz w:val="4"/>
                <w:szCs w:val="4"/>
              </w:rPr>
            </w:r>
          </w:p>
        </w:tc>
      </w:tr>
      <w:tr>
        <w:trPr/>
        <w:tc>
          <w:tcPr>
            <w:tcW w:w="617" w:type="dxa"/>
            <w:tcBorders/>
            <w:shd w:fill="auto" w:val="clear"/>
          </w:tcPr>
          <w:p>
            <w:pPr>
              <w:pStyle w:val="TableContents"/>
              <w:spacing w:before="0" w:after="283"/>
              <w:jc w:val="left"/>
              <w:rPr/>
            </w:pPr>
            <w:r>
              <w:rPr/>
              <w:t> </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Schedule II-Valuation Accounts</w:t>
            </w:r>
          </w:p>
        </w:tc>
      </w:tr>
      <w:tr>
        <w:trPr/>
        <w:tc>
          <w:tcPr>
            <w:tcW w:w="617" w:type="dxa"/>
            <w:tcBorders/>
            <w:shd w:fill="auto" w:val="clear"/>
            <w:vAlign w:val="center"/>
          </w:tcPr>
          <w:p>
            <w:pPr>
              <w:pStyle w:val="TableContents"/>
              <w:spacing w:before="0" w:after="283"/>
              <w:rPr/>
            </w:pPr>
            <w:r>
              <w:rPr/>
              <w:t> </w:t>
            </w:r>
          </w:p>
        </w:tc>
        <w:tc>
          <w:tcPr>
            <w:tcW w:w="9588" w:type="dxa"/>
            <w:gridSpan w:val="2"/>
            <w:tcBorders/>
            <w:shd w:fill="auto" w:val="clear"/>
          </w:tcPr>
          <w:p>
            <w:pPr>
              <w:pStyle w:val="TableContents"/>
              <w:spacing w:before="0" w:after="283"/>
              <w:rPr>
                <w:sz w:val="4"/>
                <w:szCs w:val="4"/>
              </w:rPr>
            </w:pPr>
            <w:r>
              <w:rPr>
                <w:sz w:val="4"/>
                <w:szCs w:val="4"/>
              </w:rPr>
            </w:r>
          </w:p>
        </w:tc>
      </w:tr>
      <w:tr>
        <w:trPr/>
        <w:tc>
          <w:tcPr>
            <w:tcW w:w="617" w:type="dxa"/>
            <w:tcBorders/>
            <w:shd w:fill="auto" w:val="clear"/>
          </w:tcPr>
          <w:p>
            <w:pPr>
              <w:pStyle w:val="TableContents"/>
              <w:spacing w:before="0" w:after="283"/>
              <w:jc w:val="left"/>
              <w:rPr/>
            </w:pPr>
            <w:r>
              <w:rPr/>
              <w:t> </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All other schedules for which provision is made in the applicable accounting regulation of the Securities and Exchange Commission are not required under the related instructions or are inapplicable, and therefore, have been omitted.</w:t>
            </w:r>
          </w:p>
        </w:tc>
      </w:tr>
      <w:tr>
        <w:trPr/>
        <w:tc>
          <w:tcPr>
            <w:tcW w:w="617" w:type="dxa"/>
            <w:tcBorders/>
            <w:shd w:fill="auto" w:val="clear"/>
            <w:vAlign w:val="center"/>
          </w:tcPr>
          <w:p>
            <w:pPr>
              <w:pStyle w:val="TableContents"/>
              <w:spacing w:before="0" w:after="283"/>
              <w:rPr/>
            </w:pPr>
            <w:r>
              <w:rPr/>
              <w:t> </w:t>
            </w:r>
          </w:p>
        </w:tc>
        <w:tc>
          <w:tcPr>
            <w:tcW w:w="9588" w:type="dxa"/>
            <w:gridSpan w:val="2"/>
            <w:tcBorders/>
            <w:shd w:fill="auto" w:val="clear"/>
          </w:tcPr>
          <w:p>
            <w:pPr>
              <w:pStyle w:val="TableContents"/>
              <w:spacing w:before="0" w:after="283"/>
              <w:rPr>
                <w:sz w:val="4"/>
                <w:szCs w:val="4"/>
              </w:rPr>
            </w:pPr>
            <w:r>
              <w:rPr>
                <w:sz w:val="4"/>
                <w:szCs w:val="4"/>
              </w:rPr>
            </w:r>
          </w:p>
        </w:tc>
      </w:tr>
      <w:tr>
        <w:trPr/>
        <w:tc>
          <w:tcPr>
            <w:tcW w:w="617" w:type="dxa"/>
            <w:tcBorders/>
            <w:shd w:fill="auto" w:val="clear"/>
          </w:tcPr>
          <w:p>
            <w:pPr>
              <w:pStyle w:val="TableContents"/>
              <w:spacing w:before="0" w:after="283"/>
              <w:jc w:val="left"/>
              <w:rPr/>
            </w:pPr>
            <w:r>
              <w:rPr/>
              <w:t>(3)</w:t>
            </w:r>
          </w:p>
        </w:tc>
        <w:tc>
          <w:tcPr>
            <w:tcW w:w="121" w:type="dxa"/>
            <w:tcBorders/>
            <w:shd w:fill="auto" w:val="clear"/>
          </w:tcPr>
          <w:p>
            <w:pPr>
              <w:pStyle w:val="TableContents"/>
              <w:spacing w:before="0" w:after="283"/>
              <w:rPr/>
            </w:pPr>
            <w:r>
              <w:rPr/>
              <w:t> </w:t>
            </w:r>
          </w:p>
        </w:tc>
        <w:tc>
          <w:tcPr>
            <w:tcW w:w="9467" w:type="dxa"/>
            <w:tcBorders/>
            <w:shd w:fill="auto" w:val="clear"/>
          </w:tcPr>
          <w:p>
            <w:pPr>
              <w:pStyle w:val="TableContents"/>
              <w:spacing w:before="0" w:after="283"/>
              <w:rPr/>
            </w:pPr>
            <w:r>
              <w:rPr/>
              <w:t>Listing of Exhibits (see Exhibit Index immediately following the signature page)</w:t>
            </w:r>
          </w:p>
        </w:tc>
      </w:tr>
    </w:tbl>
    <w:p>
      <w:pPr>
        <w:pStyle w:val="TextBody"/>
        <w:jc w:val="center"/>
        <w:rPr>
          <w:rFonts w:ascii="Helvetica;Arial;sans-serif" w:hAnsi="Helvetica;Arial;sans-serif"/>
          <w:sz w:val="17"/>
        </w:rPr>
      </w:pPr>
      <w:r>
        <w:rPr>
          <w:rFonts w:ascii="Helvetica;Arial;sans-serif" w:hAnsi="Helvetica;Arial;sans-serif"/>
          <w:sz w:val="17"/>
        </w:rPr>
        <w:t xml:space="preserve">98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r>
        <w:rPr>
          <w:rFonts w:ascii="Helvetica;Arial;sans-serif" w:hAnsi="Helvetica;Arial;sans-serif"/>
          <w:b/>
          <w:sz w:val="17"/>
        </w:rPr>
        <w:t>EZCORP, INC. AND SUBSIDIARIES</w:t>
        <w:br/>
        <w:t>Schedule II  Valuation Accounts</w:t>
      </w:r>
      <w:r>
        <w:rPr>
          <w:rFonts w:ascii="Helvetica;Arial;sans-serif" w:hAnsi="Helvetica;Arial;sans-serif"/>
          <w:sz w:val="17"/>
        </w:rPr>
        <w:br/>
      </w:r>
      <w:r>
        <w:rPr>
          <w:rFonts w:ascii="Helvetica;Arial;sans-serif" w:hAnsi="Helvetica;Arial;sans-serif"/>
          <w:i/>
          <w:sz w:val="17"/>
        </w:rPr>
        <w:t>(In millions)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2559"/>
        <w:gridCol w:w="241"/>
        <w:gridCol w:w="321"/>
        <w:gridCol w:w="836"/>
        <w:gridCol w:w="92"/>
        <w:gridCol w:w="241"/>
        <w:gridCol w:w="337"/>
        <w:gridCol w:w="875"/>
        <w:gridCol w:w="101"/>
        <w:gridCol w:w="250"/>
        <w:gridCol w:w="475"/>
        <w:gridCol w:w="819"/>
        <w:gridCol w:w="92"/>
        <w:gridCol w:w="241"/>
        <w:gridCol w:w="346"/>
        <w:gridCol w:w="894"/>
        <w:gridCol w:w="92"/>
        <w:gridCol w:w="241"/>
        <w:gridCol w:w="286"/>
        <w:gridCol w:w="760"/>
        <w:gridCol w:w="106"/>
      </w:tblGrid>
      <w:tr>
        <w:trPr/>
        <w:tc>
          <w:tcPr>
            <w:tcW w:w="255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255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333" w:type="dxa"/>
            <w:gridSpan w:val="2"/>
            <w:tcBorders/>
            <w:shd w:fill="auto" w:val="clear"/>
            <w:vAlign w:val="bottom"/>
          </w:tcPr>
          <w:p>
            <w:pPr>
              <w:pStyle w:val="TableContents"/>
              <w:spacing w:before="0" w:after="283"/>
              <w:jc w:val="center"/>
              <w:rPr/>
            </w:pPr>
            <w:r>
              <w:rPr/>
              <w:t> </w:t>
            </w:r>
          </w:p>
        </w:tc>
        <w:tc>
          <w:tcPr>
            <w:tcW w:w="346" w:type="dxa"/>
            <w:tcBorders/>
            <w:shd w:fill="auto" w:val="clear"/>
            <w:vAlign w:val="bottom"/>
          </w:tcPr>
          <w:p>
            <w:pPr>
              <w:pStyle w:val="TableContents"/>
              <w:spacing w:before="0" w:after="283"/>
              <w:rPr/>
            </w:pPr>
            <w:r>
              <w:rPr/>
              <w:t> </w:t>
            </w:r>
          </w:p>
        </w:tc>
        <w:tc>
          <w:tcPr>
            <w:tcW w:w="2379" w:type="dxa"/>
            <w:gridSpan w:val="6"/>
            <w:tcBorders/>
            <w:shd w:fill="auto" w:val="clear"/>
          </w:tcPr>
          <w:p>
            <w:pPr>
              <w:pStyle w:val="TableContents"/>
              <w:spacing w:before="0" w:after="283"/>
              <w:rPr>
                <w:sz w:val="4"/>
                <w:szCs w:val="4"/>
              </w:rPr>
            </w:pPr>
            <w:r>
              <w:rPr>
                <w:sz w:val="4"/>
                <w:szCs w:val="4"/>
              </w:rPr>
            </w:r>
          </w:p>
        </w:tc>
      </w:tr>
      <w:tr>
        <w:trPr/>
        <w:tc>
          <w:tcPr>
            <w:tcW w:w="255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spacing w:before="0" w:after="283"/>
              <w:jc w:val="center"/>
              <w:rPr/>
            </w:pPr>
            <w:r>
              <w:rPr/>
              <w:t>Balance at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57" w:type="dxa"/>
            <w:gridSpan w:val="6"/>
            <w:tcBorders>
              <w:bottom w:val="single" w:sz="2" w:space="0" w:color="000000"/>
            </w:tcBorders>
            <w:shd w:fill="auto" w:val="clear"/>
            <w:tcMar>
              <w:bottom w:w="28" w:type="dxa"/>
            </w:tcMar>
            <w:vAlign w:val="bottom"/>
          </w:tcPr>
          <w:p>
            <w:pPr>
              <w:pStyle w:val="TableContents"/>
              <w:spacing w:before="0" w:after="283"/>
              <w:jc w:val="center"/>
              <w:rPr>
                <w:smallCaps/>
              </w:rPr>
            </w:pPr>
            <w:r>
              <w:rPr>
                <w:smallCaps/>
              </w:rPr>
              <w:t>Additions</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46" w:type="dxa"/>
            <w:gridSpan w:val="2"/>
            <w:tcBorders/>
            <w:shd w:fill="auto" w:val="clear"/>
            <w:vAlign w:val="bottom"/>
          </w:tcPr>
          <w:p>
            <w:pPr>
              <w:pStyle w:val="TableContents"/>
              <w:spacing w:before="0" w:after="283"/>
              <w:jc w:val="center"/>
              <w:rPr/>
            </w:pPr>
            <w:r>
              <w:rPr/>
              <w:t>Balance</w:t>
            </w:r>
          </w:p>
        </w:tc>
        <w:tc>
          <w:tcPr>
            <w:tcW w:w="106" w:type="dxa"/>
            <w:tcBorders/>
            <w:shd w:fill="auto" w:val="clear"/>
            <w:vAlign w:val="bottom"/>
          </w:tcPr>
          <w:p>
            <w:pPr>
              <w:pStyle w:val="TableContents"/>
              <w:spacing w:before="0" w:after="283"/>
              <w:rPr/>
            </w:pPr>
            <w:r>
              <w:rPr/>
              <w:t> </w:t>
            </w:r>
          </w:p>
        </w:tc>
      </w:tr>
      <w:tr>
        <w:trPr/>
        <w:tc>
          <w:tcPr>
            <w:tcW w:w="255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spacing w:before="0" w:after="283"/>
              <w:jc w:val="center"/>
              <w:rPr/>
            </w:pPr>
            <w:r>
              <w:rPr/>
              <w:t>Beginning</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jc w:val="center"/>
              <w:rPr/>
            </w:pPr>
            <w:r>
              <w:rPr/>
              <w:t>Charged to</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jc w:val="center"/>
              <w:rPr/>
            </w:pPr>
            <w:r>
              <w:rPr/>
              <w:t>Charged to</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46" w:type="dxa"/>
            <w:gridSpan w:val="2"/>
            <w:tcBorders/>
            <w:shd w:fill="auto" w:val="clear"/>
            <w:vAlign w:val="bottom"/>
          </w:tcPr>
          <w:p>
            <w:pPr>
              <w:pStyle w:val="TableContents"/>
              <w:spacing w:before="0" w:after="283"/>
              <w:jc w:val="center"/>
              <w:rPr/>
            </w:pPr>
            <w:r>
              <w:rPr/>
              <w:t>at End</w:t>
            </w:r>
          </w:p>
        </w:tc>
        <w:tc>
          <w:tcPr>
            <w:tcW w:w="106" w:type="dxa"/>
            <w:tcBorders/>
            <w:shd w:fill="auto" w:val="clear"/>
            <w:vAlign w:val="bottom"/>
          </w:tcPr>
          <w:p>
            <w:pPr>
              <w:pStyle w:val="TableContents"/>
              <w:spacing w:before="0" w:after="283"/>
              <w:rPr/>
            </w:pPr>
            <w:r>
              <w:rPr/>
              <w:t> </w:t>
            </w:r>
          </w:p>
        </w:tc>
      </w:tr>
      <w:tr>
        <w:trPr/>
        <w:tc>
          <w:tcPr>
            <w:tcW w:w="2559"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c>
          <w:tcPr>
            <w:tcW w:w="241" w:type="dxa"/>
            <w:tcBorders/>
            <w:shd w:fill="auto" w:val="clear"/>
            <w:vAlign w:val="bottom"/>
          </w:tcPr>
          <w:p>
            <w:pPr>
              <w:pStyle w:val="TableContents"/>
              <w:spacing w:before="0" w:after="283"/>
              <w:rPr/>
            </w:pPr>
            <w:r>
              <w:rPr/>
              <w:t> </w:t>
            </w:r>
          </w:p>
        </w:tc>
        <w:tc>
          <w:tcPr>
            <w:tcW w:w="1157"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12" w:type="dxa"/>
            <w:gridSpan w:val="2"/>
            <w:tcBorders>
              <w:bottom w:val="single" w:sz="2" w:space="0" w:color="000000"/>
            </w:tcBorders>
            <w:shd w:fill="auto" w:val="clear"/>
            <w:tcMar>
              <w:bottom w:w="28" w:type="dxa"/>
            </w:tcMar>
            <w:vAlign w:val="bottom"/>
          </w:tcPr>
          <w:p>
            <w:pPr>
              <w:pStyle w:val="TableContents"/>
              <w:spacing w:before="0" w:after="283"/>
              <w:jc w:val="center"/>
              <w:rPr/>
            </w:pPr>
            <w:r>
              <w:rPr/>
              <w:t>Expense</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294" w:type="dxa"/>
            <w:gridSpan w:val="2"/>
            <w:tcBorders>
              <w:bottom w:val="single" w:sz="2" w:space="0" w:color="000000"/>
            </w:tcBorders>
            <w:shd w:fill="auto" w:val="clear"/>
            <w:tcMar>
              <w:bottom w:w="28" w:type="dxa"/>
            </w:tcMar>
            <w:vAlign w:val="bottom"/>
          </w:tcPr>
          <w:p>
            <w:pPr>
              <w:pStyle w:val="TableContents"/>
              <w:spacing w:before="0" w:after="283"/>
              <w:jc w:val="center"/>
              <w:rPr/>
            </w:pPr>
            <w:r>
              <w:rPr/>
              <w:t>Other Accts</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40" w:type="dxa"/>
            <w:gridSpan w:val="2"/>
            <w:tcBorders>
              <w:bottom w:val="single" w:sz="2" w:space="0" w:color="000000"/>
            </w:tcBorders>
            <w:shd w:fill="auto" w:val="clear"/>
            <w:tcMar>
              <w:bottom w:w="28" w:type="dxa"/>
            </w:tcMar>
            <w:vAlign w:val="bottom"/>
          </w:tcPr>
          <w:p>
            <w:pPr>
              <w:pStyle w:val="TableContents"/>
              <w:spacing w:before="0" w:after="283"/>
              <w:jc w:val="center"/>
              <w:rPr/>
            </w:pPr>
            <w:r>
              <w:rPr/>
              <w:t>Deductions</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46" w:type="dxa"/>
            <w:gridSpan w:val="2"/>
            <w:tcBorders>
              <w:bottom w:val="single" w:sz="2" w:space="0" w:color="000000"/>
            </w:tcBorders>
            <w:shd w:fill="auto" w:val="clear"/>
            <w:tcMar>
              <w:bottom w:w="28" w:type="dxa"/>
            </w:tcMar>
            <w:vAlign w:val="bottom"/>
          </w:tcPr>
          <w:p>
            <w:pPr>
              <w:pStyle w:val="TableContents"/>
              <w:spacing w:before="0" w:after="283"/>
              <w:jc w:val="center"/>
              <w:rPr/>
            </w:pPr>
            <w:r>
              <w:rPr/>
              <w:t>of Period</w:t>
            </w:r>
          </w:p>
        </w:tc>
        <w:tc>
          <w:tcPr>
            <w:tcW w:w="106" w:type="dxa"/>
            <w:tcBorders/>
            <w:shd w:fill="auto" w:val="clear"/>
            <w:vAlign w:val="bottom"/>
          </w:tcPr>
          <w:p>
            <w:pPr>
              <w:pStyle w:val="TableContents"/>
              <w:spacing w:before="0" w:after="283"/>
              <w:rPr/>
            </w:pPr>
            <w:r>
              <w:rPr/>
              <w:t> </w:t>
            </w:r>
          </w:p>
        </w:tc>
      </w:tr>
      <w:tr>
        <w:trPr/>
        <w:tc>
          <w:tcPr>
            <w:tcW w:w="2559" w:type="dxa"/>
            <w:tcBorders/>
            <w:shd w:fill="CCEEFF" w:val="clear"/>
            <w:vAlign w:val="bottom"/>
          </w:tcPr>
          <w:p>
            <w:pPr>
              <w:pStyle w:val="TableContents"/>
              <w:spacing w:before="0" w:after="0"/>
              <w:ind w:left="225" w:right="0" w:hanging="225"/>
              <w:rPr/>
            </w:pPr>
            <w:r>
              <w:rPr/>
              <w:t>Allowance for valuation of inventory:</w:t>
            </w:r>
          </w:p>
        </w:tc>
        <w:tc>
          <w:tcPr>
            <w:tcW w:w="241"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r>
      <w:tr>
        <w:trPr/>
        <w:tc>
          <w:tcPr>
            <w:tcW w:w="2559" w:type="dxa"/>
            <w:tcBorders/>
            <w:shd w:fill="auto" w:val="clear"/>
            <w:vAlign w:val="bottom"/>
          </w:tcPr>
          <w:p>
            <w:pPr>
              <w:pStyle w:val="TableContents"/>
              <w:spacing w:before="0" w:after="0"/>
              <w:ind w:left="225" w:right="0" w:hanging="225"/>
              <w:rPr/>
            </w:pPr>
            <w:r>
              <w:rPr/>
              <w:t>Year ended September 30, 2005</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1.5</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0.4</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w:t>
            </w:r>
          </w:p>
        </w:tc>
        <w:tc>
          <w:tcPr>
            <w:tcW w:w="894"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1.9</w:t>
            </w:r>
          </w:p>
        </w:tc>
        <w:tc>
          <w:tcPr>
            <w:tcW w:w="106" w:type="dxa"/>
            <w:tcBorders/>
            <w:shd w:fill="auto"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559" w:type="dxa"/>
            <w:tcBorders/>
            <w:shd w:fill="CCEEFF" w:val="clear"/>
            <w:vAlign w:val="bottom"/>
          </w:tcPr>
          <w:p>
            <w:pPr>
              <w:pStyle w:val="TableContents"/>
              <w:spacing w:before="0" w:after="0"/>
              <w:ind w:left="225" w:right="0" w:hanging="225"/>
              <w:rPr/>
            </w:pPr>
            <w:r>
              <w:rPr/>
              <w:t>Year ended September 30, 2006</w:t>
            </w:r>
          </w:p>
        </w:tc>
        <w:tc>
          <w:tcPr>
            <w:tcW w:w="241"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1.9</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0.9</w:t>
            </w:r>
          </w:p>
        </w:tc>
        <w:tc>
          <w:tcPr>
            <w:tcW w:w="10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jc w:val="left"/>
              <w:rPr/>
            </w:pPr>
            <w:r>
              <w:rPr/>
              <w:t>$</w:t>
            </w:r>
          </w:p>
        </w:tc>
        <w:tc>
          <w:tcPr>
            <w:tcW w:w="819"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jc w:val="left"/>
              <w:rPr/>
            </w:pPr>
            <w:r>
              <w:rPr/>
              <w:t>$</w:t>
            </w:r>
          </w:p>
        </w:tc>
        <w:tc>
          <w:tcPr>
            <w:tcW w:w="894"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left"/>
              <w:rPr/>
            </w:pPr>
            <w:r>
              <w:rPr/>
              <w:t>$</w:t>
            </w:r>
          </w:p>
        </w:tc>
        <w:tc>
          <w:tcPr>
            <w:tcW w:w="760" w:type="dxa"/>
            <w:tcBorders/>
            <w:shd w:fill="CCEEFF" w:val="clear"/>
            <w:vAlign w:val="bottom"/>
          </w:tcPr>
          <w:p>
            <w:pPr>
              <w:pStyle w:val="TableContents"/>
              <w:spacing w:before="0" w:after="283"/>
              <w:jc w:val="right"/>
              <w:rPr/>
            </w:pPr>
            <w:r>
              <w:rPr/>
              <w:t>2.8</w:t>
            </w:r>
          </w:p>
        </w:tc>
        <w:tc>
          <w:tcPr>
            <w:tcW w:w="106" w:type="dxa"/>
            <w:tcBorders/>
            <w:shd w:fill="CCEEFF"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559" w:type="dxa"/>
            <w:tcBorders/>
            <w:shd w:fill="auto" w:val="clear"/>
            <w:vAlign w:val="bottom"/>
          </w:tcPr>
          <w:p>
            <w:pPr>
              <w:pStyle w:val="TableContents"/>
              <w:spacing w:before="0" w:after="0"/>
              <w:ind w:left="225" w:right="0" w:hanging="225"/>
              <w:rPr/>
            </w:pPr>
            <w:r>
              <w:rPr/>
              <w:t>Year ended September 30, 2007</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2.8</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1.0</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w:t>
            </w:r>
          </w:p>
        </w:tc>
        <w:tc>
          <w:tcPr>
            <w:tcW w:w="894"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3.8</w:t>
            </w:r>
          </w:p>
        </w:tc>
        <w:tc>
          <w:tcPr>
            <w:tcW w:w="106" w:type="dxa"/>
            <w:tcBorders/>
            <w:shd w:fill="auto"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559" w:type="dxa"/>
            <w:tcBorders/>
            <w:shd w:fill="auto" w:val="clear"/>
            <w:vAlign w:val="bottom"/>
          </w:tcPr>
          <w:p>
            <w:pPr>
              <w:pStyle w:val="TableContents"/>
              <w:spacing w:before="0" w:after="0"/>
              <w:ind w:left="225" w:right="0" w:hanging="225"/>
              <w:rPr/>
            </w:pPr>
            <w:r>
              <w:rPr/>
              <w:t> </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4049" w:type="dxa"/>
            <w:gridSpan w:val="5"/>
            <w:tcBorders/>
            <w:shd w:fill="CCEEFF" w:val="clear"/>
            <w:vAlign w:val="bottom"/>
          </w:tcPr>
          <w:p>
            <w:pPr>
              <w:pStyle w:val="TableContents"/>
              <w:spacing w:before="0" w:after="283"/>
              <w:jc w:val="left"/>
              <w:rPr/>
            </w:pPr>
            <w:r>
              <w:rPr/>
              <w:t>Allowance for uncollectible pawn service charges receivable:</w:t>
            </w:r>
          </w:p>
        </w:tc>
        <w:tc>
          <w:tcPr>
            <w:tcW w:w="241"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r>
      <w:tr>
        <w:trPr/>
        <w:tc>
          <w:tcPr>
            <w:tcW w:w="2559" w:type="dxa"/>
            <w:tcBorders/>
            <w:shd w:fill="auto" w:val="clear"/>
            <w:vAlign w:val="bottom"/>
          </w:tcPr>
          <w:p>
            <w:pPr>
              <w:pStyle w:val="TableContents"/>
              <w:spacing w:before="0" w:after="0"/>
              <w:ind w:left="225" w:right="0" w:hanging="225"/>
              <w:rPr/>
            </w:pPr>
            <w:r>
              <w:rPr/>
              <w:t>Year ended September 30, 2005</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7.0</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0.6</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w:t>
            </w:r>
          </w:p>
        </w:tc>
        <w:tc>
          <w:tcPr>
            <w:tcW w:w="894"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7.6</w:t>
            </w:r>
          </w:p>
        </w:tc>
        <w:tc>
          <w:tcPr>
            <w:tcW w:w="106" w:type="dxa"/>
            <w:tcBorders/>
            <w:shd w:fill="auto"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559" w:type="dxa"/>
            <w:tcBorders/>
            <w:shd w:fill="CCEEFF" w:val="clear"/>
            <w:vAlign w:val="bottom"/>
          </w:tcPr>
          <w:p>
            <w:pPr>
              <w:pStyle w:val="TableContents"/>
              <w:spacing w:before="0" w:after="0"/>
              <w:ind w:left="225" w:right="0" w:hanging="225"/>
              <w:rPr/>
            </w:pPr>
            <w:r>
              <w:rPr/>
              <w:t>Year ended September 30, 2006</w:t>
            </w:r>
          </w:p>
        </w:tc>
        <w:tc>
          <w:tcPr>
            <w:tcW w:w="241"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7.6</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jc w:val="left"/>
              <w:rPr/>
            </w:pPr>
            <w:r>
              <w:rPr/>
              <w:t>$</w:t>
            </w:r>
          </w:p>
        </w:tc>
        <w:tc>
          <w:tcPr>
            <w:tcW w:w="819"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jc w:val="left"/>
              <w:rPr/>
            </w:pPr>
            <w:r>
              <w:rPr/>
              <w:t>$</w:t>
            </w:r>
          </w:p>
        </w:tc>
        <w:tc>
          <w:tcPr>
            <w:tcW w:w="894" w:type="dxa"/>
            <w:tcBorders/>
            <w:shd w:fill="CCEEFF" w:val="clear"/>
            <w:vAlign w:val="bottom"/>
          </w:tcPr>
          <w:p>
            <w:pPr>
              <w:pStyle w:val="TableContents"/>
              <w:spacing w:before="0" w:after="283"/>
              <w:jc w:val="right"/>
              <w:rPr/>
            </w:pPr>
            <w:r>
              <w:rPr/>
              <w:t>2.9</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left"/>
              <w:rPr/>
            </w:pPr>
            <w:r>
              <w:rPr/>
              <w:t>$</w:t>
            </w:r>
          </w:p>
        </w:tc>
        <w:tc>
          <w:tcPr>
            <w:tcW w:w="760" w:type="dxa"/>
            <w:tcBorders/>
            <w:shd w:fill="CCEEFF" w:val="clear"/>
            <w:vAlign w:val="bottom"/>
          </w:tcPr>
          <w:p>
            <w:pPr>
              <w:pStyle w:val="TableContents"/>
              <w:spacing w:before="0" w:after="283"/>
              <w:jc w:val="right"/>
              <w:rPr/>
            </w:pPr>
            <w:r>
              <w:rPr/>
              <w:t>4.7</w:t>
            </w:r>
          </w:p>
        </w:tc>
        <w:tc>
          <w:tcPr>
            <w:tcW w:w="106" w:type="dxa"/>
            <w:tcBorders/>
            <w:shd w:fill="CCEEFF"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559" w:type="dxa"/>
            <w:tcBorders/>
            <w:shd w:fill="auto" w:val="clear"/>
            <w:vAlign w:val="bottom"/>
          </w:tcPr>
          <w:p>
            <w:pPr>
              <w:pStyle w:val="TableContents"/>
              <w:spacing w:before="0" w:after="0"/>
              <w:ind w:left="225" w:right="0" w:hanging="225"/>
              <w:rPr/>
            </w:pPr>
            <w:r>
              <w:rPr/>
              <w:t>Year ended September 30, 2007</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4.7</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0.1</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w:t>
            </w:r>
          </w:p>
        </w:tc>
        <w:tc>
          <w:tcPr>
            <w:tcW w:w="894"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4.8</w:t>
            </w:r>
          </w:p>
        </w:tc>
        <w:tc>
          <w:tcPr>
            <w:tcW w:w="106" w:type="dxa"/>
            <w:tcBorders/>
            <w:shd w:fill="auto"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559" w:type="dxa"/>
            <w:tcBorders/>
            <w:shd w:fill="auto" w:val="clear"/>
            <w:vAlign w:val="bottom"/>
          </w:tcPr>
          <w:p>
            <w:pPr>
              <w:pStyle w:val="TableContents"/>
              <w:spacing w:before="0" w:after="0"/>
              <w:ind w:left="225" w:right="0" w:hanging="225"/>
              <w:rPr/>
            </w:pPr>
            <w:r>
              <w:rPr/>
              <w:t> </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2559" w:type="dxa"/>
            <w:tcBorders/>
            <w:shd w:fill="CCEEFF" w:val="clear"/>
            <w:vAlign w:val="bottom"/>
          </w:tcPr>
          <w:p>
            <w:pPr>
              <w:pStyle w:val="TableContents"/>
              <w:spacing w:before="0" w:after="0"/>
              <w:ind w:left="225" w:right="0" w:hanging="225"/>
              <w:rPr/>
            </w:pPr>
            <w:r>
              <w:rPr/>
              <w:t>Allowance for losses on payday loans:</w:t>
            </w:r>
          </w:p>
        </w:tc>
        <w:tc>
          <w:tcPr>
            <w:tcW w:w="241"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r>
      <w:tr>
        <w:trPr/>
        <w:tc>
          <w:tcPr>
            <w:tcW w:w="2559" w:type="dxa"/>
            <w:tcBorders/>
            <w:shd w:fill="auto" w:val="clear"/>
            <w:vAlign w:val="bottom"/>
          </w:tcPr>
          <w:p>
            <w:pPr>
              <w:pStyle w:val="TableContents"/>
              <w:spacing w:before="0" w:after="0"/>
              <w:ind w:left="225" w:right="0" w:hanging="225"/>
              <w:rPr/>
            </w:pPr>
            <w:r>
              <w:rPr/>
              <w:t>Year ended September 30, 2005</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0.5</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6.6</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w:t>
            </w:r>
          </w:p>
        </w:tc>
        <w:tc>
          <w:tcPr>
            <w:tcW w:w="894" w:type="dxa"/>
            <w:tcBorders/>
            <w:shd w:fill="auto" w:val="clear"/>
            <w:vAlign w:val="bottom"/>
          </w:tcPr>
          <w:p>
            <w:pPr>
              <w:pStyle w:val="TableContents"/>
              <w:spacing w:before="0" w:after="283"/>
              <w:jc w:val="right"/>
              <w:rPr/>
            </w:pPr>
            <w:r>
              <w:rPr/>
              <w:t>7.0</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0.1</w:t>
            </w:r>
          </w:p>
        </w:tc>
        <w:tc>
          <w:tcPr>
            <w:tcW w:w="106" w:type="dxa"/>
            <w:tcBorders/>
            <w:shd w:fill="auto"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559" w:type="dxa"/>
            <w:tcBorders/>
            <w:shd w:fill="CCEEFF" w:val="clear"/>
            <w:vAlign w:val="bottom"/>
          </w:tcPr>
          <w:p>
            <w:pPr>
              <w:pStyle w:val="TableContents"/>
              <w:spacing w:before="0" w:after="0"/>
              <w:ind w:left="225" w:right="0" w:hanging="225"/>
              <w:rPr/>
            </w:pPr>
            <w:r>
              <w:rPr/>
              <w:t>Year ended September 30, 2006</w:t>
            </w:r>
          </w:p>
        </w:tc>
        <w:tc>
          <w:tcPr>
            <w:tcW w:w="241"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0.1</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2.3</w:t>
            </w:r>
          </w:p>
        </w:tc>
        <w:tc>
          <w:tcPr>
            <w:tcW w:w="10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jc w:val="left"/>
              <w:rPr/>
            </w:pPr>
            <w:r>
              <w:rPr/>
              <w:t>$</w:t>
            </w:r>
          </w:p>
        </w:tc>
        <w:tc>
          <w:tcPr>
            <w:tcW w:w="819"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jc w:val="left"/>
              <w:rPr/>
            </w:pPr>
            <w:r>
              <w:rPr/>
              <w:t>$</w:t>
            </w:r>
          </w:p>
        </w:tc>
        <w:tc>
          <w:tcPr>
            <w:tcW w:w="894" w:type="dxa"/>
            <w:tcBorders/>
            <w:shd w:fill="CCEEFF" w:val="clear"/>
            <w:vAlign w:val="bottom"/>
          </w:tcPr>
          <w:p>
            <w:pPr>
              <w:pStyle w:val="TableContents"/>
              <w:spacing w:before="0" w:after="283"/>
              <w:jc w:val="right"/>
              <w:rPr/>
            </w:pPr>
            <w:r>
              <w:rPr/>
              <w:t>2.2</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left"/>
              <w:rPr/>
            </w:pPr>
            <w:r>
              <w:rPr/>
              <w:t>$</w:t>
            </w:r>
          </w:p>
        </w:tc>
        <w:tc>
          <w:tcPr>
            <w:tcW w:w="760" w:type="dxa"/>
            <w:tcBorders/>
            <w:shd w:fill="CCEEFF" w:val="clear"/>
            <w:vAlign w:val="bottom"/>
          </w:tcPr>
          <w:p>
            <w:pPr>
              <w:pStyle w:val="TableContents"/>
              <w:spacing w:before="0" w:after="283"/>
              <w:jc w:val="right"/>
              <w:rPr/>
            </w:pPr>
            <w:r>
              <w:rPr/>
              <w:t>0.2</w:t>
            </w:r>
          </w:p>
        </w:tc>
        <w:tc>
          <w:tcPr>
            <w:tcW w:w="106" w:type="dxa"/>
            <w:tcBorders/>
            <w:shd w:fill="CCEEFF"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559" w:type="dxa"/>
            <w:tcBorders/>
            <w:shd w:fill="auto" w:val="clear"/>
            <w:vAlign w:val="bottom"/>
          </w:tcPr>
          <w:p>
            <w:pPr>
              <w:pStyle w:val="TableContents"/>
              <w:spacing w:before="0" w:after="0"/>
              <w:ind w:left="225" w:right="0" w:hanging="225"/>
              <w:rPr/>
            </w:pPr>
            <w:r>
              <w:rPr/>
              <w:t>Year ended September 30, 2007</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0.2</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5.4</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w:t>
            </w:r>
          </w:p>
        </w:tc>
        <w:tc>
          <w:tcPr>
            <w:tcW w:w="894" w:type="dxa"/>
            <w:tcBorders/>
            <w:shd w:fill="auto" w:val="clear"/>
            <w:vAlign w:val="bottom"/>
          </w:tcPr>
          <w:p>
            <w:pPr>
              <w:pStyle w:val="TableContents"/>
              <w:spacing w:before="0" w:after="283"/>
              <w:jc w:val="right"/>
              <w:rPr/>
            </w:pPr>
            <w:r>
              <w:rPr/>
              <w:t>5.3</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0.3</w:t>
            </w:r>
          </w:p>
        </w:tc>
        <w:tc>
          <w:tcPr>
            <w:tcW w:w="106" w:type="dxa"/>
            <w:tcBorders/>
            <w:shd w:fill="auto"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559" w:type="dxa"/>
            <w:tcBorders/>
            <w:shd w:fill="auto" w:val="clear"/>
            <w:vAlign w:val="bottom"/>
          </w:tcPr>
          <w:p>
            <w:pPr>
              <w:pStyle w:val="TableContents"/>
              <w:spacing w:before="0" w:after="0"/>
              <w:ind w:left="225" w:right="0" w:hanging="225"/>
              <w:rPr/>
            </w:pPr>
            <w:r>
              <w:rPr/>
              <w:t> </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r>
      <w:tr>
        <w:trPr/>
        <w:tc>
          <w:tcPr>
            <w:tcW w:w="4049" w:type="dxa"/>
            <w:gridSpan w:val="5"/>
            <w:tcBorders/>
            <w:shd w:fill="CCEEFF" w:val="clear"/>
            <w:vAlign w:val="bottom"/>
          </w:tcPr>
          <w:p>
            <w:pPr>
              <w:pStyle w:val="TableContents"/>
              <w:spacing w:before="0" w:after="283"/>
              <w:jc w:val="left"/>
              <w:rPr/>
            </w:pPr>
            <w:r>
              <w:rPr/>
              <w:t>Allowance for valuation of deferred tax assets:</w:t>
            </w:r>
          </w:p>
        </w:tc>
        <w:tc>
          <w:tcPr>
            <w:tcW w:w="241"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r>
      <w:tr>
        <w:trPr/>
        <w:tc>
          <w:tcPr>
            <w:tcW w:w="2559" w:type="dxa"/>
            <w:tcBorders/>
            <w:shd w:fill="auto" w:val="clear"/>
            <w:vAlign w:val="bottom"/>
          </w:tcPr>
          <w:p>
            <w:pPr>
              <w:pStyle w:val="TableContents"/>
              <w:spacing w:before="0" w:after="0"/>
              <w:ind w:left="225" w:right="0" w:hanging="225"/>
              <w:rPr/>
            </w:pPr>
            <w:r>
              <w:rPr/>
              <w:t>Year ended September 30, 2005</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w:t>
            </w:r>
          </w:p>
        </w:tc>
        <w:tc>
          <w:tcPr>
            <w:tcW w:w="894"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559" w:type="dxa"/>
            <w:tcBorders/>
            <w:shd w:fill="CCEEFF" w:val="clear"/>
            <w:vAlign w:val="bottom"/>
          </w:tcPr>
          <w:p>
            <w:pPr>
              <w:pStyle w:val="TableContents"/>
              <w:spacing w:before="0" w:after="0"/>
              <w:ind w:left="225" w:right="0" w:hanging="225"/>
              <w:rPr/>
            </w:pPr>
            <w:r>
              <w:rPr/>
              <w:t>Year ended September 30, 2006</w:t>
            </w:r>
          </w:p>
        </w:tc>
        <w:tc>
          <w:tcPr>
            <w:tcW w:w="241"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0.4</w:t>
            </w:r>
          </w:p>
        </w:tc>
        <w:tc>
          <w:tcPr>
            <w:tcW w:w="10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jc w:val="left"/>
              <w:rPr/>
            </w:pPr>
            <w:r>
              <w:rPr/>
              <w:t>$</w:t>
            </w:r>
          </w:p>
        </w:tc>
        <w:tc>
          <w:tcPr>
            <w:tcW w:w="819"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jc w:val="left"/>
              <w:rPr/>
            </w:pPr>
            <w:r>
              <w:rPr/>
              <w:t>$</w:t>
            </w:r>
          </w:p>
        </w:tc>
        <w:tc>
          <w:tcPr>
            <w:tcW w:w="894"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left"/>
              <w:rPr/>
            </w:pPr>
            <w:r>
              <w:rPr/>
              <w:t>$</w:t>
            </w:r>
          </w:p>
        </w:tc>
        <w:tc>
          <w:tcPr>
            <w:tcW w:w="760" w:type="dxa"/>
            <w:tcBorders/>
            <w:shd w:fill="CCEEFF" w:val="clear"/>
            <w:vAlign w:val="bottom"/>
          </w:tcPr>
          <w:p>
            <w:pPr>
              <w:pStyle w:val="TableContents"/>
              <w:spacing w:before="0" w:after="283"/>
              <w:jc w:val="right"/>
              <w:rPr/>
            </w:pPr>
            <w:r>
              <w:rPr/>
              <w:t>0.4</w:t>
            </w:r>
          </w:p>
        </w:tc>
        <w:tc>
          <w:tcPr>
            <w:tcW w:w="106" w:type="dxa"/>
            <w:tcBorders/>
            <w:shd w:fill="CCEEFF"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r>
        <w:trPr/>
        <w:tc>
          <w:tcPr>
            <w:tcW w:w="2559" w:type="dxa"/>
            <w:tcBorders/>
            <w:shd w:fill="auto" w:val="clear"/>
            <w:vAlign w:val="bottom"/>
          </w:tcPr>
          <w:p>
            <w:pPr>
              <w:pStyle w:val="TableContents"/>
              <w:spacing w:before="0" w:after="0"/>
              <w:ind w:left="225" w:right="0" w:hanging="225"/>
              <w:rPr/>
            </w:pPr>
            <w:r>
              <w:rPr/>
              <w:t>Year ended September 30, 2007</w:t>
            </w:r>
          </w:p>
        </w:tc>
        <w:tc>
          <w:tcPr>
            <w:tcW w:w="24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0.4</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w:t>
            </w:r>
          </w:p>
        </w:tc>
        <w:tc>
          <w:tcPr>
            <w:tcW w:w="894"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left"/>
              <w:rPr/>
            </w:pPr>
            <w:r>
              <w:rPr/>
              <w:t>$</w:t>
            </w:r>
          </w:p>
        </w:tc>
        <w:tc>
          <w:tcPr>
            <w:tcW w:w="760" w:type="dxa"/>
            <w:tcBorders/>
            <w:shd w:fill="auto" w:val="clear"/>
            <w:vAlign w:val="bottom"/>
          </w:tcPr>
          <w:p>
            <w:pPr>
              <w:pStyle w:val="TableContents"/>
              <w:spacing w:before="0" w:after="283"/>
              <w:jc w:val="right"/>
              <w:rPr/>
            </w:pPr>
            <w:r>
              <w:rPr/>
              <w:t>0.4</w:t>
            </w:r>
          </w:p>
        </w:tc>
        <w:tc>
          <w:tcPr>
            <w:tcW w:w="106" w:type="dxa"/>
            <w:tcBorders/>
            <w:shd w:fill="auto" w:val="clear"/>
            <w:vAlign w:val="bottom"/>
          </w:tcPr>
          <w:p>
            <w:pPr>
              <w:pStyle w:val="TableContents"/>
              <w:spacing w:before="0" w:after="283"/>
              <w:rPr/>
            </w:pPr>
            <w:r>
              <w:rPr/>
              <w:t> </w:t>
            </w:r>
          </w:p>
        </w:tc>
      </w:tr>
      <w:tr>
        <w:trPr/>
        <w:tc>
          <w:tcPr>
            <w:tcW w:w="2559"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1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99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bookmarkStart w:id="32" w:name="123"/>
      <w:bookmarkEnd w:id="32"/>
      <w:r>
        <w:rPr>
          <w:rFonts w:ascii="Helvetica;Arial;sans-serif" w:hAnsi="Helvetica;Arial;sans-serif"/>
          <w:b/>
          <w:sz w:val="17"/>
        </w:rPr>
        <w:t>SIGNATURES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EZCORP, Inc. </w:t>
      </w:r>
    </w:p>
    <w:p>
      <w:pPr>
        <w:pStyle w:val="TextBody"/>
        <w:spacing w:before="120" w:after="283"/>
        <w:jc w:val="left"/>
        <w:rPr>
          <w:rFonts w:ascii="Helvetica;Arial;sans-serif" w:hAnsi="Helvetica;Arial;sans-serif"/>
          <w:sz w:val="17"/>
        </w:rPr>
      </w:pPr>
      <w:r>
        <w:rPr>
          <w:rFonts w:ascii="Helvetica;Arial;sans-serif" w:hAnsi="Helvetica;Arial;sans-serif"/>
          <w:sz w:val="17"/>
        </w:rPr>
        <w:t>December 13, 2007</w:t>
        <w:br/>
        <w:br/>
        <w:t xml:space="preserve">By: </w:t>
      </w:r>
      <w:r>
        <w:rPr>
          <w:rFonts w:ascii="Helvetica;Arial;sans-serif" w:hAnsi="Helvetica;Arial;sans-serif"/>
          <w:sz w:val="17"/>
          <w:bdr w:val="single" w:sz="2" w:space="1" w:color="000000"/>
        </w:rPr>
        <w:t>/s/ Joseph L. Rotunda                    </w:t>
      </w:r>
      <w:r>
        <w:rPr>
          <w:rFonts w:ascii="Helvetica;Arial;sans-serif" w:hAnsi="Helvetica;Arial;sans-serif"/>
          <w:sz w:val="17"/>
        </w:rPr>
        <w:br/>
        <w:t>(Joseph L. Rotunda)</w:t>
        <w:br/>
        <w:t xml:space="preserve">(President, Chief Executive Officer &amp; Director)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Pursuant to the requirements of the Securities Exchange Act of 1934, this report has been signed below by the following persons on behalf of the registrant and in the capacities and on the dates indicated. </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vAlign w:val="bottom"/>
          </w:tcPr>
          <w:p>
            <w:pPr>
              <w:pStyle w:val="TableContents"/>
              <w:spacing w:before="0" w:after="283"/>
              <w:jc w:val="center"/>
              <w:rPr/>
            </w:pPr>
            <w:r>
              <w:rPr/>
              <w:t xml:space="preserve">Signature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jc w:val="center"/>
              <w:rPr/>
            </w:pPr>
            <w:r>
              <w:rPr/>
              <w:t>Title</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jc w:val="center"/>
              <w:rPr/>
            </w:pPr>
            <w:r>
              <w:rPr/>
              <w:t>Date</w:t>
            </w:r>
          </w:p>
        </w:tc>
      </w:tr>
      <w:tr>
        <w:trPr/>
        <w:tc>
          <w:tcPr>
            <w:tcW w:w="306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r>
              <w:rPr/>
              <w:t xml:space="preserve">/s/ Sterling B. Brinkley </w:t>
            </w:r>
          </w:p>
          <w:p>
            <w:pPr>
              <w:pStyle w:val="TableContents"/>
              <w:spacing w:before="0" w:after="0"/>
              <w:rPr>
                <w:bdr w:val="single" w:sz="2" w:space="1" w:color="000000"/>
              </w:rPr>
            </w:pPr>
            <w:r>
              <w:rPr>
                <w:bdr w:val="single" w:sz="2" w:space="1" w:color="000000"/>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xml:space="preserve">Chairman of the Board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December 13, 2007</w:t>
            </w:r>
          </w:p>
        </w:tc>
      </w:tr>
      <w:tr>
        <w:trPr/>
        <w:tc>
          <w:tcPr>
            <w:tcW w:w="3062" w:type="dxa"/>
            <w:tcBorders/>
            <w:shd w:fill="auto" w:val="clear"/>
          </w:tcPr>
          <w:p>
            <w:pPr>
              <w:pStyle w:val="TableContents"/>
              <w:spacing w:before="0" w:after="0"/>
              <w:ind w:left="0" w:right="0" w:hanging="0"/>
              <w:rPr/>
            </w:pPr>
            <w:r>
              <w:rPr/>
              <w:t>     </w:t>
            </w:r>
            <w:r>
              <w:rPr/>
              <w:t>Sterling B. Brinkley</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r>
              <w:rPr/>
              <w:t xml:space="preserve">/s/ Joseph L. Rotunda </w:t>
            </w:r>
          </w:p>
          <w:p>
            <w:pPr>
              <w:pStyle w:val="TableContents"/>
              <w:spacing w:before="0" w:after="0"/>
              <w:rPr>
                <w:bdr w:val="single" w:sz="2" w:space="1" w:color="000000"/>
              </w:rPr>
            </w:pPr>
            <w:r>
              <w:rPr>
                <w:bdr w:val="single" w:sz="2" w:space="1" w:color="000000"/>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xml:space="preserve">President, Chief Executive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December 13, 2007</w:t>
            </w:r>
          </w:p>
        </w:tc>
      </w:tr>
      <w:tr>
        <w:trPr/>
        <w:tc>
          <w:tcPr>
            <w:tcW w:w="3062" w:type="dxa"/>
            <w:tcBorders/>
            <w:shd w:fill="auto" w:val="clear"/>
          </w:tcPr>
          <w:p>
            <w:pPr>
              <w:pStyle w:val="TableContents"/>
              <w:spacing w:before="0" w:after="0"/>
              <w:ind w:left="0" w:right="0" w:hanging="0"/>
              <w:rPr/>
            </w:pPr>
            <w:r>
              <w:rPr/>
              <w:t>     </w:t>
            </w:r>
            <w:r>
              <w:rPr/>
              <w:t xml:space="preserve">Joseph L. Rotunda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Officer &amp; Director</w:t>
              <w:br/>
              <w:t>(Principal Executive Officer)</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r>
              <w:rPr/>
              <w:t xml:space="preserve">/s/ Dan N. Tonissen </w:t>
            </w:r>
          </w:p>
          <w:p>
            <w:pPr>
              <w:pStyle w:val="TableContents"/>
              <w:spacing w:before="0" w:after="0"/>
              <w:rPr>
                <w:bdr w:val="single" w:sz="2" w:space="1" w:color="000000"/>
              </w:rPr>
            </w:pPr>
            <w:r>
              <w:rPr>
                <w:bdr w:val="single" w:sz="2" w:space="1" w:color="000000"/>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xml:space="preserve">Senior Vice President, Chief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December 13, 2007</w:t>
            </w:r>
          </w:p>
        </w:tc>
      </w:tr>
      <w:tr>
        <w:trPr/>
        <w:tc>
          <w:tcPr>
            <w:tcW w:w="3062" w:type="dxa"/>
            <w:tcBorders/>
            <w:shd w:fill="auto" w:val="clear"/>
          </w:tcPr>
          <w:p>
            <w:pPr>
              <w:pStyle w:val="TableContents"/>
              <w:spacing w:before="0" w:after="0"/>
              <w:ind w:left="0" w:right="0" w:hanging="0"/>
              <w:rPr/>
            </w:pPr>
            <w:r>
              <w:rPr/>
              <w:t>     </w:t>
            </w:r>
            <w:r>
              <w:rPr/>
              <w:t xml:space="preserve">Dan N. Tonissen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Financial Officer, Assistant Secretary &amp; Director (Principal Financial and Accounting Officer)</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r>
              <w:rPr/>
              <w:t xml:space="preserve">/s/ Gary C. Matzner </w:t>
            </w:r>
          </w:p>
          <w:p>
            <w:pPr>
              <w:pStyle w:val="TableContents"/>
              <w:spacing w:before="0" w:after="0"/>
              <w:rPr>
                <w:bdr w:val="single" w:sz="2" w:space="1" w:color="000000"/>
              </w:rPr>
            </w:pPr>
            <w:r>
              <w:rPr>
                <w:bdr w:val="single" w:sz="2" w:space="1" w:color="000000"/>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xml:space="preserve">Director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December 13, 2007</w:t>
            </w:r>
          </w:p>
        </w:tc>
      </w:tr>
      <w:tr>
        <w:trPr/>
        <w:tc>
          <w:tcPr>
            <w:tcW w:w="3062" w:type="dxa"/>
            <w:tcBorders/>
            <w:shd w:fill="auto" w:val="clear"/>
          </w:tcPr>
          <w:p>
            <w:pPr>
              <w:pStyle w:val="TableContents"/>
              <w:spacing w:before="0" w:after="0"/>
              <w:ind w:left="0" w:right="0" w:hanging="0"/>
              <w:rPr/>
            </w:pPr>
            <w:r>
              <w:rPr/>
              <w:t>     </w:t>
            </w:r>
            <w:r>
              <w:rPr/>
              <w:t>Gary C. Matzner</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r>
              <w:rPr/>
              <w:t xml:space="preserve">/s/ Richard D. Sage </w:t>
            </w:r>
          </w:p>
          <w:p>
            <w:pPr>
              <w:pStyle w:val="TableContents"/>
              <w:spacing w:before="0" w:after="0"/>
              <w:rPr>
                <w:bdr w:val="single" w:sz="2" w:space="1" w:color="000000"/>
              </w:rPr>
            </w:pPr>
            <w:r>
              <w:rPr>
                <w:bdr w:val="single" w:sz="2" w:space="1" w:color="000000"/>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xml:space="preserve">Director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December 13, 2007</w:t>
            </w:r>
          </w:p>
        </w:tc>
      </w:tr>
      <w:tr>
        <w:trPr/>
        <w:tc>
          <w:tcPr>
            <w:tcW w:w="3062" w:type="dxa"/>
            <w:tcBorders/>
            <w:shd w:fill="auto" w:val="clear"/>
          </w:tcPr>
          <w:p>
            <w:pPr>
              <w:pStyle w:val="TableContents"/>
              <w:spacing w:before="0" w:after="0"/>
              <w:ind w:left="0" w:right="0" w:hanging="0"/>
              <w:rPr/>
            </w:pPr>
            <w:r>
              <w:rPr/>
              <w:t>     </w:t>
            </w:r>
            <w:r>
              <w:rPr/>
              <w:t>Richard D. Sage</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r>
              <w:rPr/>
              <w:t xml:space="preserve">/s/ Thomas C. Roberts </w:t>
            </w:r>
          </w:p>
          <w:p>
            <w:pPr>
              <w:pStyle w:val="TableContents"/>
              <w:spacing w:before="0" w:after="0"/>
              <w:rPr>
                <w:bdr w:val="single" w:sz="2" w:space="1" w:color="000000"/>
              </w:rPr>
            </w:pPr>
            <w:r>
              <w:rPr>
                <w:bdr w:val="single" w:sz="2" w:space="1" w:color="000000"/>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xml:space="preserve">Director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December 13, 2007</w:t>
            </w:r>
          </w:p>
        </w:tc>
      </w:tr>
      <w:tr>
        <w:trPr/>
        <w:tc>
          <w:tcPr>
            <w:tcW w:w="3062" w:type="dxa"/>
            <w:tcBorders/>
            <w:shd w:fill="auto" w:val="clear"/>
          </w:tcPr>
          <w:p>
            <w:pPr>
              <w:pStyle w:val="TableContents"/>
              <w:spacing w:before="0" w:after="0"/>
              <w:ind w:left="0" w:right="0" w:hanging="0"/>
              <w:rPr/>
            </w:pPr>
            <w:r>
              <w:rPr/>
              <w:t>     </w:t>
            </w:r>
            <w:r>
              <w:rPr/>
              <w:t>Thomas Roberts</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0"/>
              <w:ind w:left="0" w:right="0" w:hanging="0"/>
              <w:rPr/>
            </w:pPr>
            <w:r>
              <w:rPr/>
              <w:t>  </w:t>
            </w:r>
            <w:r>
              <w:rPr/>
              <w:t xml:space="preserve">/s/ Richard M. Edwards </w:t>
            </w:r>
          </w:p>
          <w:p>
            <w:pPr>
              <w:pStyle w:val="TableContents"/>
              <w:spacing w:before="0" w:after="0"/>
              <w:rPr>
                <w:bdr w:val="single" w:sz="2" w:space="1" w:color="000000"/>
              </w:rPr>
            </w:pPr>
            <w:r>
              <w:rPr>
                <w:bdr w:val="single" w:sz="2" w:space="1" w:color="000000"/>
              </w:rP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xml:space="preserve">Director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December 13, 2007</w:t>
            </w:r>
          </w:p>
        </w:tc>
      </w:tr>
      <w:tr>
        <w:trPr/>
        <w:tc>
          <w:tcPr>
            <w:tcW w:w="3062" w:type="dxa"/>
            <w:tcBorders/>
            <w:shd w:fill="auto" w:val="clear"/>
          </w:tcPr>
          <w:p>
            <w:pPr>
              <w:pStyle w:val="TableContents"/>
              <w:spacing w:before="0" w:after="0"/>
              <w:ind w:left="0" w:right="0" w:hanging="0"/>
              <w:rPr/>
            </w:pPr>
            <w:r>
              <w:rPr/>
              <w:t>     </w:t>
            </w:r>
            <w:r>
              <w:rPr/>
              <w:t>Richard M. Edwards</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bl>
    <w:p>
      <w:pPr>
        <w:pStyle w:val="TextBody"/>
        <w:jc w:val="center"/>
        <w:rPr>
          <w:rFonts w:ascii="Helvetica;Arial;sans-serif" w:hAnsi="Helvetica;Arial;sans-serif"/>
          <w:sz w:val="17"/>
        </w:rPr>
      </w:pPr>
      <w:r>
        <w:rPr>
          <w:rFonts w:ascii="Helvetica;Arial;sans-serif" w:hAnsi="Helvetica;Arial;sans-serif"/>
          <w:sz w:val="17"/>
        </w:rPr>
        <w:t xml:space="preserve">100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Helvetica;Arial;sans-serif" w:hAnsi="Helvetica;Arial;sans-serif"/>
          <w:sz w:val="17"/>
        </w:rPr>
      </w:pPr>
      <w:bookmarkStart w:id="33" w:name="124"/>
      <w:bookmarkEnd w:id="33"/>
      <w:r>
        <w:rPr>
          <w:rFonts w:ascii="Helvetica;Arial;sans-serif" w:hAnsi="Helvetica;Arial;sans-serif"/>
          <w:b/>
          <w:sz w:val="17"/>
        </w:rPr>
        <w:t>EXHIBIT INDEX</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800"/>
        <w:gridCol w:w="231"/>
        <w:gridCol w:w="2810"/>
        <w:gridCol w:w="231"/>
        <w:gridCol w:w="89"/>
        <w:gridCol w:w="89"/>
        <w:gridCol w:w="5955"/>
      </w:tblGrid>
      <w:tr>
        <w:trPr/>
        <w:tc>
          <w:tcPr>
            <w:tcW w:w="80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vAlign w:val="bottom"/>
          </w:tcPr>
          <w:p>
            <w:pPr>
              <w:pStyle w:val="TableContents"/>
              <w:spacing w:before="0" w:after="283"/>
              <w:rPr/>
            </w:pPr>
            <w:r>
              <w:rPr/>
              <w:t> </w:t>
            </w:r>
          </w:p>
        </w:tc>
      </w:tr>
      <w:tr>
        <w:trPr/>
        <w:tc>
          <w:tcPr>
            <w:tcW w:w="80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vAlign w:val="bottom"/>
          </w:tcPr>
          <w:p>
            <w:pPr>
              <w:pStyle w:val="TableContents"/>
              <w:spacing w:before="0" w:after="283"/>
              <w:jc w:val="center"/>
              <w:rPr/>
            </w:pPr>
            <w:r>
              <w:rPr/>
              <w:t>Incorporated by</w:t>
            </w:r>
          </w:p>
        </w:tc>
      </w:tr>
      <w:tr>
        <w:trPr/>
        <w:tc>
          <w:tcPr>
            <w:tcW w:w="800"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231" w:type="dxa"/>
            <w:tcBorders/>
            <w:shd w:fill="auto" w:val="clear"/>
            <w:vAlign w:val="bottom"/>
          </w:tcPr>
          <w:p>
            <w:pPr>
              <w:pStyle w:val="TableContents"/>
              <w:spacing w:before="0" w:after="283"/>
              <w:rPr/>
            </w:pPr>
            <w:r>
              <w:rPr/>
              <w:t> </w:t>
            </w:r>
          </w:p>
        </w:tc>
        <w:tc>
          <w:tcPr>
            <w:tcW w:w="2810"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c>
          <w:tcPr>
            <w:tcW w:w="23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5955" w:type="dxa"/>
            <w:tcBorders>
              <w:bottom w:val="single" w:sz="2" w:space="0" w:color="000000"/>
            </w:tcBorders>
            <w:shd w:fill="auto" w:val="clear"/>
            <w:tcMar>
              <w:bottom w:w="28" w:type="dxa"/>
            </w:tcMar>
            <w:vAlign w:val="bottom"/>
          </w:tcPr>
          <w:p>
            <w:pPr>
              <w:pStyle w:val="TableContents"/>
              <w:spacing w:before="0" w:after="283"/>
              <w:jc w:val="center"/>
              <w:rPr/>
            </w:pPr>
            <w:r>
              <w:rPr/>
              <w:t>Reference to</w:t>
            </w:r>
          </w:p>
        </w:tc>
      </w:tr>
      <w:tr>
        <w:trPr/>
        <w:tc>
          <w:tcPr>
            <w:tcW w:w="800" w:type="dxa"/>
            <w:tcBorders/>
            <w:shd w:fill="auto" w:val="clear"/>
            <w:vAlign w:val="center"/>
          </w:tcPr>
          <w:p>
            <w:pPr>
              <w:pStyle w:val="TableContents"/>
              <w:spacing w:before="0" w:after="283"/>
              <w:rPr/>
            </w:pPr>
            <w:r>
              <w:rPr/>
              <w:t> </w:t>
            </w:r>
          </w:p>
        </w:tc>
        <w:tc>
          <w:tcPr>
            <w:tcW w:w="9405" w:type="dxa"/>
            <w:gridSpan w:val="6"/>
            <w:tcBorders/>
            <w:shd w:fill="auto" w:val="clear"/>
          </w:tcPr>
          <w:p>
            <w:pPr>
              <w:pStyle w:val="TableContents"/>
              <w:spacing w:before="0" w:after="283"/>
              <w:rPr>
                <w:sz w:val="4"/>
                <w:szCs w:val="4"/>
              </w:rPr>
            </w:pPr>
            <w:r>
              <w:rPr>
                <w:sz w:val="4"/>
                <w:szCs w:val="4"/>
              </w:rPr>
            </w:r>
          </w:p>
        </w:tc>
      </w:tr>
      <w:tr>
        <w:trPr/>
        <w:tc>
          <w:tcPr>
            <w:tcW w:w="800" w:type="dxa"/>
            <w:tcBorders/>
            <w:shd w:fill="auto" w:val="clear"/>
          </w:tcPr>
          <w:p>
            <w:pPr>
              <w:pStyle w:val="TableContents"/>
              <w:spacing w:before="0" w:after="0"/>
              <w:ind w:left="0" w:right="0" w:hanging="0"/>
              <w:rPr/>
            </w:pPr>
            <w:r>
              <w:rPr/>
              <w:t xml:space="preserve">3.1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xml:space="preserve">Amended and Restated Certificate of Incorporation of the Company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 xml:space="preserve">Exhibit 3.1 to the Registration Statement on </w:t>
              <w:br/>
              <w:t>Form S-1 effective August 23, 1991 (File No. 33-41317)</w:t>
            </w:r>
          </w:p>
        </w:tc>
      </w:tr>
      <w:tr>
        <w:trPr/>
        <w:tc>
          <w:tcPr>
            <w:tcW w:w="800"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 </w:t>
            </w:r>
          </w:p>
        </w:tc>
      </w:tr>
      <w:tr>
        <w:trPr/>
        <w:tc>
          <w:tcPr>
            <w:tcW w:w="800" w:type="dxa"/>
            <w:tcBorders/>
            <w:shd w:fill="auto" w:val="clear"/>
          </w:tcPr>
          <w:p>
            <w:pPr>
              <w:pStyle w:val="TableContents"/>
              <w:spacing w:before="0" w:after="0"/>
              <w:ind w:left="0" w:right="0" w:hanging="0"/>
              <w:rPr/>
            </w:pPr>
            <w:r>
              <w:rPr/>
              <w:t xml:space="preserve">3.1A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xml:space="preserve">Certificate of Amendment to Certificate of Incorporation of the Company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Exhibit 3.1A to the Registration Statement on Form S-1 effective July 15, 1996 (File No. 33-41317)</w:t>
            </w:r>
          </w:p>
        </w:tc>
      </w:tr>
      <w:tr>
        <w:trPr/>
        <w:tc>
          <w:tcPr>
            <w:tcW w:w="800"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 </w:t>
            </w:r>
          </w:p>
        </w:tc>
      </w:tr>
      <w:tr>
        <w:trPr/>
        <w:tc>
          <w:tcPr>
            <w:tcW w:w="800" w:type="dxa"/>
            <w:tcBorders/>
            <w:shd w:fill="auto" w:val="clear"/>
          </w:tcPr>
          <w:p>
            <w:pPr>
              <w:pStyle w:val="TableContents"/>
              <w:spacing w:before="0" w:after="0"/>
              <w:ind w:left="0" w:right="0" w:hanging="0"/>
              <w:rPr/>
            </w:pPr>
            <w:r>
              <w:rPr/>
              <w:t xml:space="preserve">3.1B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xml:space="preserve">Amended Certificate of Incorporation of the Company *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Exhibit 3.1B to Registrants Annual Report on Form 10-K for the year ended September 30, 2006 (File No. 0-19424)</w:t>
            </w:r>
          </w:p>
        </w:tc>
      </w:tr>
      <w:tr>
        <w:trPr/>
        <w:tc>
          <w:tcPr>
            <w:tcW w:w="800"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 </w:t>
            </w:r>
          </w:p>
        </w:tc>
      </w:tr>
      <w:tr>
        <w:trPr/>
        <w:tc>
          <w:tcPr>
            <w:tcW w:w="800" w:type="dxa"/>
            <w:tcBorders/>
            <w:shd w:fill="auto" w:val="clear"/>
          </w:tcPr>
          <w:p>
            <w:pPr>
              <w:pStyle w:val="TableContents"/>
              <w:spacing w:before="0" w:after="0"/>
              <w:ind w:left="0" w:right="0" w:hanging="0"/>
              <w:rPr/>
            </w:pPr>
            <w:r>
              <w:rPr/>
              <w:t xml:space="preserve">3.2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xml:space="preserve">Bylaws of the Company.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Exhibit 3.2 to the Registration Statement on Form S-1 effective August 23, 1991 (File No. 33-41317)</w:t>
            </w:r>
          </w:p>
        </w:tc>
      </w:tr>
      <w:tr>
        <w:trPr/>
        <w:tc>
          <w:tcPr>
            <w:tcW w:w="800"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 </w:t>
            </w:r>
          </w:p>
        </w:tc>
      </w:tr>
      <w:tr>
        <w:trPr/>
        <w:tc>
          <w:tcPr>
            <w:tcW w:w="800" w:type="dxa"/>
            <w:tcBorders/>
            <w:shd w:fill="auto" w:val="clear"/>
          </w:tcPr>
          <w:p>
            <w:pPr>
              <w:pStyle w:val="TableContents"/>
              <w:spacing w:before="0" w:after="0"/>
              <w:ind w:left="0" w:right="0" w:hanging="0"/>
              <w:rPr/>
            </w:pPr>
            <w:r>
              <w:rPr/>
              <w:t xml:space="preserve">3.3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xml:space="preserve">Amendment to the Bylaws.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Exhibit 3.3 to Registrants Quarterly Report on Form 10-Q for the quarter ended June 30, 1994 (File No. 0-19424)</w:t>
            </w:r>
          </w:p>
        </w:tc>
      </w:tr>
      <w:tr>
        <w:trPr/>
        <w:tc>
          <w:tcPr>
            <w:tcW w:w="800"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 </w:t>
            </w:r>
          </w:p>
        </w:tc>
      </w:tr>
      <w:tr>
        <w:trPr/>
        <w:tc>
          <w:tcPr>
            <w:tcW w:w="800" w:type="dxa"/>
            <w:tcBorders/>
            <w:shd w:fill="auto" w:val="clear"/>
          </w:tcPr>
          <w:p>
            <w:pPr>
              <w:pStyle w:val="TableContents"/>
              <w:spacing w:before="0" w:after="0"/>
              <w:ind w:left="0" w:right="0" w:hanging="0"/>
              <w:rPr/>
            </w:pPr>
            <w:r>
              <w:rPr/>
              <w:t xml:space="preserve">3.4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xml:space="preserve">Amendment to the Certificate of Incorporation of the Company.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Exhibit 3.4 to Registrants Annual Report on Form 10-K for the year ended September 30, 1994 (File No. 0-19424)</w:t>
            </w:r>
          </w:p>
        </w:tc>
      </w:tr>
      <w:tr>
        <w:trPr/>
        <w:tc>
          <w:tcPr>
            <w:tcW w:w="800"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 </w:t>
            </w:r>
          </w:p>
        </w:tc>
      </w:tr>
      <w:tr>
        <w:trPr/>
        <w:tc>
          <w:tcPr>
            <w:tcW w:w="800" w:type="dxa"/>
            <w:tcBorders/>
            <w:shd w:fill="auto" w:val="clear"/>
          </w:tcPr>
          <w:p>
            <w:pPr>
              <w:pStyle w:val="TableContents"/>
              <w:spacing w:before="0" w:after="0"/>
              <w:ind w:left="0" w:right="0" w:hanging="0"/>
              <w:rPr/>
            </w:pPr>
            <w:r>
              <w:rPr/>
              <w:t xml:space="preserve">3.5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xml:space="preserve">Amendment to the Certificate of Incorporation of the Company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Exhibit 3.5 to Registrants Annual Report on Form 10-K for the year ended September 30, 1997 (File No. 0-19424)</w:t>
            </w:r>
          </w:p>
        </w:tc>
      </w:tr>
      <w:tr>
        <w:trPr/>
        <w:tc>
          <w:tcPr>
            <w:tcW w:w="800"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 </w:t>
            </w:r>
          </w:p>
        </w:tc>
      </w:tr>
      <w:tr>
        <w:trPr/>
        <w:tc>
          <w:tcPr>
            <w:tcW w:w="800" w:type="dxa"/>
            <w:tcBorders/>
            <w:shd w:fill="auto" w:val="clear"/>
          </w:tcPr>
          <w:p>
            <w:pPr>
              <w:pStyle w:val="TableContents"/>
              <w:spacing w:before="0" w:after="0"/>
              <w:ind w:left="0" w:right="0" w:hanging="0"/>
              <w:rPr/>
            </w:pPr>
            <w:r>
              <w:rPr/>
              <w:t xml:space="preserve">3.6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xml:space="preserve">Amendment to the Certificate of Incorporation of the Company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Exhibit 3.6 to Registrants Quarterly Report on Form 10-Q for the quarter ended March 31, 1998 (File No. 0-19424)</w:t>
            </w:r>
          </w:p>
        </w:tc>
      </w:tr>
      <w:tr>
        <w:trPr/>
        <w:tc>
          <w:tcPr>
            <w:tcW w:w="800"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 </w:t>
            </w:r>
          </w:p>
        </w:tc>
      </w:tr>
      <w:tr>
        <w:trPr/>
        <w:tc>
          <w:tcPr>
            <w:tcW w:w="800" w:type="dxa"/>
            <w:tcBorders/>
            <w:shd w:fill="auto" w:val="clear"/>
          </w:tcPr>
          <w:p>
            <w:pPr>
              <w:pStyle w:val="TableContents"/>
              <w:spacing w:before="0" w:after="0"/>
              <w:ind w:left="0" w:right="0" w:hanging="0"/>
              <w:rPr/>
            </w:pPr>
            <w:r>
              <w:rPr/>
              <w:t xml:space="preserve">4.1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xml:space="preserve">Specimen of Class A Non-voting Common Stock certificate of the Company.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Exhibit 4.1 to the Registration Statement on Form S-1 effective August 23, 1991 (File No. 33-41317)</w:t>
            </w:r>
          </w:p>
        </w:tc>
      </w:tr>
      <w:tr>
        <w:trPr/>
        <w:tc>
          <w:tcPr>
            <w:tcW w:w="800"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 </w:t>
            </w:r>
          </w:p>
        </w:tc>
      </w:tr>
      <w:tr>
        <w:trPr/>
        <w:tc>
          <w:tcPr>
            <w:tcW w:w="800" w:type="dxa"/>
            <w:tcBorders/>
            <w:shd w:fill="auto" w:val="clear"/>
          </w:tcPr>
          <w:p>
            <w:pPr>
              <w:pStyle w:val="TableContents"/>
              <w:spacing w:before="0" w:after="0"/>
              <w:ind w:left="0" w:right="0" w:hanging="0"/>
              <w:rPr/>
            </w:pPr>
            <w:r>
              <w:rPr/>
              <w:t xml:space="preserve">10.1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xml:space="preserve">401(k) Plan.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Exhibit 10.38 to the Registration Statement on Form S-1 effective August 23, 1991 (File No. 33-41317)</w:t>
            </w:r>
          </w:p>
        </w:tc>
      </w:tr>
      <w:tr>
        <w:trPr/>
        <w:tc>
          <w:tcPr>
            <w:tcW w:w="800" w:type="dxa"/>
            <w:tcBorders/>
            <w:shd w:fill="auto" w:val="clear"/>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 </w:t>
            </w:r>
          </w:p>
        </w:tc>
      </w:tr>
      <w:tr>
        <w:trPr/>
        <w:tc>
          <w:tcPr>
            <w:tcW w:w="800" w:type="dxa"/>
            <w:tcBorders/>
            <w:shd w:fill="auto" w:val="clear"/>
          </w:tcPr>
          <w:p>
            <w:pPr>
              <w:pStyle w:val="TableContents"/>
              <w:spacing w:before="0" w:after="0"/>
              <w:ind w:left="0" w:right="0" w:hanging="0"/>
              <w:rPr/>
            </w:pPr>
            <w:r>
              <w:rPr/>
              <w:t xml:space="preserve">10.2 </w:t>
            </w:r>
          </w:p>
        </w:tc>
        <w:tc>
          <w:tcPr>
            <w:tcW w:w="231" w:type="dxa"/>
            <w:tcBorders/>
            <w:shd w:fill="auto" w:val="clear"/>
            <w:vAlign w:val="bottom"/>
          </w:tcPr>
          <w:p>
            <w:pPr>
              <w:pStyle w:val="TableContents"/>
              <w:spacing w:before="0" w:after="283"/>
              <w:rPr/>
            </w:pPr>
            <w:r>
              <w:rPr/>
              <w:t> </w:t>
            </w:r>
          </w:p>
        </w:tc>
        <w:tc>
          <w:tcPr>
            <w:tcW w:w="2810" w:type="dxa"/>
            <w:tcBorders/>
            <w:shd w:fill="auto" w:val="clear"/>
          </w:tcPr>
          <w:p>
            <w:pPr>
              <w:pStyle w:val="TableContents"/>
              <w:spacing w:before="0" w:after="283"/>
              <w:jc w:val="left"/>
              <w:rPr/>
            </w:pPr>
            <w:r>
              <w:rPr/>
              <w:t xml:space="preserve">Section 125 Cafeteria Plan. </w:t>
            </w:r>
          </w:p>
        </w:tc>
        <w:tc>
          <w:tcPr>
            <w:tcW w:w="231" w:type="dxa"/>
            <w:tcBorders/>
            <w:shd w:fill="auto" w:val="clear"/>
            <w:vAlign w:val="bottom"/>
          </w:tcPr>
          <w:p>
            <w:pPr>
              <w:pStyle w:val="TableContents"/>
              <w:spacing w:before="0" w:after="283"/>
              <w:rPr/>
            </w:pPr>
            <w:r>
              <w:rPr/>
              <w:t> </w:t>
            </w:r>
          </w:p>
        </w:tc>
        <w:tc>
          <w:tcPr>
            <w:tcW w:w="89" w:type="dxa"/>
            <w:tcBorders/>
            <w:shd w:fill="auto" w:val="clear"/>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5955" w:type="dxa"/>
            <w:tcBorders/>
            <w:shd w:fill="auto" w:val="clear"/>
          </w:tcPr>
          <w:p>
            <w:pPr>
              <w:pStyle w:val="TableContents"/>
              <w:spacing w:before="0" w:after="283"/>
              <w:jc w:val="left"/>
              <w:rPr/>
            </w:pPr>
            <w:r>
              <w:rPr/>
              <w:t>Exhibit 10.39 to the Registration Statement on Form S-1 effective August 23, 1991 (File No. 33-41317)</w:t>
            </w:r>
          </w:p>
        </w:tc>
      </w:tr>
    </w:tbl>
    <w:p>
      <w:pPr>
        <w:pStyle w:val="TextBody"/>
        <w:jc w:val="center"/>
        <w:rPr>
          <w:rFonts w:ascii="Helvetica;Arial;sans-serif" w:hAnsi="Helvetica;Arial;sans-serif"/>
          <w:sz w:val="17"/>
        </w:rPr>
      </w:pPr>
      <w:r>
        <w:rPr>
          <w:rFonts w:ascii="Helvetica;Arial;sans-serif" w:hAnsi="Helvetica;Arial;sans-serif"/>
          <w:sz w:val="17"/>
        </w:rPr>
        <w:t xml:space="preserve">101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801"/>
        <w:gridCol w:w="212"/>
        <w:gridCol w:w="5784"/>
        <w:gridCol w:w="212"/>
        <w:gridCol w:w="86"/>
        <w:gridCol w:w="86"/>
        <w:gridCol w:w="3024"/>
      </w:tblGrid>
      <w:tr>
        <w:trPr/>
        <w:tc>
          <w:tcPr>
            <w:tcW w:w="80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vAlign w:val="bottom"/>
          </w:tcPr>
          <w:p>
            <w:pPr>
              <w:pStyle w:val="TableContents"/>
              <w:spacing w:before="0" w:after="283"/>
              <w:rPr/>
            </w:pPr>
            <w:r>
              <w:rPr/>
              <w:t> </w:t>
            </w:r>
          </w:p>
        </w:tc>
      </w:tr>
      <w:tr>
        <w:trPr/>
        <w:tc>
          <w:tcPr>
            <w:tcW w:w="80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vAlign w:val="bottom"/>
          </w:tcPr>
          <w:p>
            <w:pPr>
              <w:pStyle w:val="TableContents"/>
              <w:spacing w:before="0" w:after="283"/>
              <w:jc w:val="center"/>
              <w:rPr/>
            </w:pPr>
            <w:r>
              <w:rPr/>
              <w:t>Incorporated by</w:t>
            </w:r>
          </w:p>
        </w:tc>
      </w:tr>
      <w:tr>
        <w:trPr/>
        <w:tc>
          <w:tcPr>
            <w:tcW w:w="801"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212" w:type="dxa"/>
            <w:tcBorders/>
            <w:shd w:fill="auto" w:val="clear"/>
            <w:vAlign w:val="bottom"/>
          </w:tcPr>
          <w:p>
            <w:pPr>
              <w:pStyle w:val="TableContents"/>
              <w:spacing w:before="0" w:after="283"/>
              <w:rPr/>
            </w:pPr>
            <w:r>
              <w:rPr/>
              <w:t> </w:t>
            </w:r>
          </w:p>
        </w:tc>
        <w:tc>
          <w:tcPr>
            <w:tcW w:w="5784"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c>
          <w:tcPr>
            <w:tcW w:w="21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024" w:type="dxa"/>
            <w:tcBorders>
              <w:bottom w:val="single" w:sz="2" w:space="0" w:color="000000"/>
            </w:tcBorders>
            <w:shd w:fill="auto" w:val="clear"/>
            <w:tcMar>
              <w:bottom w:w="28" w:type="dxa"/>
            </w:tcMar>
            <w:vAlign w:val="bottom"/>
          </w:tcPr>
          <w:p>
            <w:pPr>
              <w:pStyle w:val="TableContents"/>
              <w:spacing w:before="0" w:after="283"/>
              <w:jc w:val="center"/>
              <w:rPr/>
            </w:pPr>
            <w:r>
              <w:rPr/>
              <w:t>Reference to</w:t>
            </w:r>
          </w:p>
        </w:tc>
      </w:tr>
      <w:tr>
        <w:trPr/>
        <w:tc>
          <w:tcPr>
            <w:tcW w:w="801" w:type="dxa"/>
            <w:tcBorders/>
            <w:shd w:fill="auto" w:val="clear"/>
            <w:vAlign w:val="center"/>
          </w:tcPr>
          <w:p>
            <w:pPr>
              <w:pStyle w:val="TableContents"/>
              <w:spacing w:before="0" w:after="283"/>
              <w:rPr/>
            </w:pPr>
            <w:r>
              <w:rPr/>
              <w:t> </w:t>
            </w:r>
          </w:p>
        </w:tc>
        <w:tc>
          <w:tcPr>
            <w:tcW w:w="9404" w:type="dxa"/>
            <w:gridSpan w:val="6"/>
            <w:tcBorders/>
            <w:shd w:fill="auto" w:val="clear"/>
          </w:tcPr>
          <w:p>
            <w:pPr>
              <w:pStyle w:val="TableContents"/>
              <w:spacing w:before="0" w:after="283"/>
              <w:rPr>
                <w:sz w:val="4"/>
                <w:szCs w:val="4"/>
              </w:rPr>
            </w:pPr>
            <w:r>
              <w:rPr>
                <w:sz w:val="4"/>
                <w:szCs w:val="4"/>
              </w:rPr>
            </w:r>
          </w:p>
        </w:tc>
      </w:tr>
      <w:tr>
        <w:trPr/>
        <w:tc>
          <w:tcPr>
            <w:tcW w:w="801" w:type="dxa"/>
            <w:tcBorders/>
            <w:shd w:fill="auto" w:val="clear"/>
          </w:tcPr>
          <w:p>
            <w:pPr>
              <w:pStyle w:val="TableContents"/>
              <w:spacing w:before="0" w:after="0"/>
              <w:ind w:left="0" w:right="0" w:hanging="0"/>
              <w:rPr/>
            </w:pPr>
            <w:r>
              <w:rPr/>
              <w:t xml:space="preserve">10.3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xml:space="preserve">Agreement Regarding Reservation of Shares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xml:space="preserve">Exhibit 10.51 to Registrants Quarterly Report on Form 10-Q for the quarter ended June 30, 1993 </w:t>
              <w:br/>
              <w:t>(File No. 0-19424)</w:t>
            </w:r>
          </w:p>
        </w:tc>
      </w:tr>
      <w:tr>
        <w:trPr/>
        <w:tc>
          <w:tcPr>
            <w:tcW w:w="801"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w:t>
            </w:r>
          </w:p>
        </w:tc>
      </w:tr>
      <w:tr>
        <w:trPr/>
        <w:tc>
          <w:tcPr>
            <w:tcW w:w="801" w:type="dxa"/>
            <w:tcBorders/>
            <w:shd w:fill="auto" w:val="clear"/>
          </w:tcPr>
          <w:p>
            <w:pPr>
              <w:pStyle w:val="TableContents"/>
              <w:spacing w:before="0" w:after="0"/>
              <w:ind w:left="0" w:right="0" w:hanging="0"/>
              <w:rPr/>
            </w:pPr>
            <w:r>
              <w:rPr/>
              <w:t xml:space="preserve">10.4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xml:space="preserve">EZCORP Supplemental Executive Retirement Plan effective December 1, 2005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Exhibit 10.94 to Registrants Current Report on Form 8-K dated November 28, 2005 (File No. 0-19424)</w:t>
            </w:r>
          </w:p>
        </w:tc>
      </w:tr>
      <w:tr>
        <w:trPr/>
        <w:tc>
          <w:tcPr>
            <w:tcW w:w="801"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w:t>
            </w:r>
          </w:p>
        </w:tc>
      </w:tr>
      <w:tr>
        <w:trPr/>
        <w:tc>
          <w:tcPr>
            <w:tcW w:w="801" w:type="dxa"/>
            <w:tcBorders/>
            <w:shd w:fill="auto" w:val="clear"/>
          </w:tcPr>
          <w:p>
            <w:pPr>
              <w:pStyle w:val="TableContents"/>
              <w:spacing w:before="0" w:after="0"/>
              <w:ind w:left="0" w:right="0" w:hanging="0"/>
              <w:rPr/>
            </w:pPr>
            <w:r>
              <w:rPr/>
              <w:t xml:space="preserve">10.5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xml:space="preserve">EZCORP Fiscal Year 2006 Incentive Compensation Plan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Exhibit 10.96 to Registrants Annual Report on Form </w:t>
              <w:br/>
              <w:t xml:space="preserve">10-K for the year ended September 30, 2005 </w:t>
              <w:br/>
              <w:t>(File No. 0-19424)</w:t>
            </w:r>
          </w:p>
        </w:tc>
      </w:tr>
      <w:tr>
        <w:trPr/>
        <w:tc>
          <w:tcPr>
            <w:tcW w:w="801"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w:t>
            </w:r>
          </w:p>
        </w:tc>
      </w:tr>
      <w:tr>
        <w:trPr/>
        <w:tc>
          <w:tcPr>
            <w:tcW w:w="801" w:type="dxa"/>
            <w:tcBorders/>
            <w:shd w:fill="auto" w:val="clear"/>
          </w:tcPr>
          <w:p>
            <w:pPr>
              <w:pStyle w:val="TableContents"/>
              <w:spacing w:before="0" w:after="0"/>
              <w:ind w:left="0" w:right="0" w:hanging="0"/>
              <w:rPr/>
            </w:pPr>
            <w:r>
              <w:rPr/>
              <w:t xml:space="preserve">10.6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xml:space="preserve">Credit Services and Loan Administration Agreement dated April 11, 2006 between Texas EZPAWN, L.P. and NCP Finance Limited Partnership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xml:space="preserve">Exhibit 10.97 to Registrants Quarterly Report on Form 10-Q for the quarter ended March 31, 2006 </w:t>
              <w:br/>
              <w:t>(File No. 0-19424)</w:t>
            </w:r>
          </w:p>
        </w:tc>
      </w:tr>
      <w:tr>
        <w:trPr/>
        <w:tc>
          <w:tcPr>
            <w:tcW w:w="801"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w:t>
            </w:r>
          </w:p>
        </w:tc>
      </w:tr>
      <w:tr>
        <w:trPr/>
        <w:tc>
          <w:tcPr>
            <w:tcW w:w="801" w:type="dxa"/>
            <w:tcBorders/>
            <w:shd w:fill="auto" w:val="clear"/>
          </w:tcPr>
          <w:p>
            <w:pPr>
              <w:pStyle w:val="TableContents"/>
              <w:spacing w:before="0" w:after="0"/>
              <w:ind w:left="0" w:right="0" w:hanging="0"/>
              <w:rPr/>
            </w:pPr>
            <w:r>
              <w:rPr/>
              <w:t xml:space="preserve">10.7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xml:space="preserve">Guaranty dated April 11, 2006 from EZCORP, Inc to NCP Finance Limited Partnership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Exhibit 10.98 to Registrants Quarterly Report on Form 10-Q for the quarter ended March 31, 2006</w:t>
              <w:br/>
              <w:t>(File No. 0-19424)</w:t>
            </w:r>
          </w:p>
        </w:tc>
      </w:tr>
      <w:tr>
        <w:trPr/>
        <w:tc>
          <w:tcPr>
            <w:tcW w:w="801"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w:t>
            </w:r>
          </w:p>
        </w:tc>
      </w:tr>
      <w:tr>
        <w:trPr/>
        <w:tc>
          <w:tcPr>
            <w:tcW w:w="801" w:type="dxa"/>
            <w:tcBorders/>
            <w:shd w:fill="auto" w:val="clear"/>
          </w:tcPr>
          <w:p>
            <w:pPr>
              <w:pStyle w:val="TableContents"/>
              <w:spacing w:before="0" w:after="0"/>
              <w:ind w:left="0" w:right="0" w:hanging="0"/>
              <w:rPr/>
            </w:pPr>
            <w:r>
              <w:rPr/>
              <w:t xml:space="preserve">10.8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xml:space="preserve">Credit Services Organization and Lender Agreement dated April 12, 2006 between Texas EZMONEY, L.P. and Integrity Texas Funding, L.P.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Exhibit 10.99 to Registrants Quarterly Report on Form 10-Q for the quarter ended March 31, 2006</w:t>
              <w:br/>
              <w:t>(File No. 0-19424)</w:t>
            </w:r>
          </w:p>
        </w:tc>
      </w:tr>
      <w:tr>
        <w:trPr/>
        <w:tc>
          <w:tcPr>
            <w:tcW w:w="801"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w:t>
            </w:r>
          </w:p>
        </w:tc>
      </w:tr>
      <w:tr>
        <w:trPr/>
        <w:tc>
          <w:tcPr>
            <w:tcW w:w="801" w:type="dxa"/>
            <w:tcBorders/>
            <w:shd w:fill="auto" w:val="clear"/>
          </w:tcPr>
          <w:p>
            <w:pPr>
              <w:pStyle w:val="TableContents"/>
              <w:spacing w:before="0" w:after="0"/>
              <w:ind w:left="0" w:right="0" w:hanging="0"/>
              <w:rPr/>
            </w:pPr>
            <w:r>
              <w:rPr/>
              <w:t xml:space="preserve">10.9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xml:space="preserve">Credit Services Organization and Lender Agreement dated November 9, 2005 between Texas EZPAWN, L.P. and Integrity Texas Funding, L.P.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xml:space="preserve">Exhibit 10.100 to Registrants Quarterly Report on Form 10-Q for the quarter ended March 31, 2006 </w:t>
              <w:br/>
              <w:t>(File No. 0-19424)</w:t>
            </w:r>
          </w:p>
        </w:tc>
      </w:tr>
      <w:tr>
        <w:trPr/>
        <w:tc>
          <w:tcPr>
            <w:tcW w:w="801"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w:t>
            </w:r>
          </w:p>
        </w:tc>
      </w:tr>
      <w:tr>
        <w:trPr/>
        <w:tc>
          <w:tcPr>
            <w:tcW w:w="801" w:type="dxa"/>
            <w:tcBorders/>
            <w:shd w:fill="auto" w:val="clear"/>
          </w:tcPr>
          <w:p>
            <w:pPr>
              <w:pStyle w:val="TableContents"/>
              <w:spacing w:before="0" w:after="0"/>
              <w:ind w:left="0" w:right="0" w:hanging="0"/>
              <w:rPr/>
            </w:pPr>
            <w:r>
              <w:rPr/>
              <w:t xml:space="preserve">10.10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xml:space="preserve">Credit Services Organization and Lender Agreement dated November 30, 2005 between Texas EZPAWN Florida, L.P. and Integrity Florida Funding, L.P.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Exhibit 10.101 to Registrants Quarterly Report on Form 10-Q for the quarter ended March 31, 2006</w:t>
              <w:br/>
              <w:t>(File No. 0-19424)</w:t>
            </w:r>
          </w:p>
        </w:tc>
      </w:tr>
      <w:tr>
        <w:trPr/>
        <w:tc>
          <w:tcPr>
            <w:tcW w:w="801"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w:t>
            </w:r>
          </w:p>
        </w:tc>
      </w:tr>
      <w:tr>
        <w:trPr/>
        <w:tc>
          <w:tcPr>
            <w:tcW w:w="801" w:type="dxa"/>
            <w:tcBorders/>
            <w:shd w:fill="auto" w:val="clear"/>
          </w:tcPr>
          <w:p>
            <w:pPr>
              <w:pStyle w:val="TableContents"/>
              <w:spacing w:before="0" w:after="0"/>
              <w:ind w:left="0" w:right="0" w:hanging="0"/>
              <w:rPr/>
            </w:pPr>
            <w:r>
              <w:rPr/>
              <w:t xml:space="preserve">10.11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xml:space="preserve">Fourth Amended and Restated Credit Agreement between the Company and Wells Fargo Bank Texas, N.A., as the Agent and Issuing Bank, re: $40 million credit facility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Exhibit 10.102 to Registrants Current Report on Form </w:t>
              <w:br/>
              <w:t>8-K dated October 13, 2006 (File No. 0-19424)</w:t>
            </w:r>
          </w:p>
        </w:tc>
      </w:tr>
      <w:tr>
        <w:trPr/>
        <w:tc>
          <w:tcPr>
            <w:tcW w:w="801"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w:t>
            </w:r>
          </w:p>
        </w:tc>
      </w:tr>
      <w:tr>
        <w:trPr/>
        <w:tc>
          <w:tcPr>
            <w:tcW w:w="801" w:type="dxa"/>
            <w:tcBorders/>
            <w:shd w:fill="auto" w:val="clear"/>
          </w:tcPr>
          <w:p>
            <w:pPr>
              <w:pStyle w:val="TableContents"/>
              <w:spacing w:before="0" w:after="0"/>
              <w:ind w:left="0" w:right="0" w:hanging="0"/>
              <w:rPr/>
            </w:pPr>
            <w:r>
              <w:rPr/>
              <w:t xml:space="preserve">10.12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xml:space="preserve">EZCORP Fiscal Year 2007 Incentive Compensation Plan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Exhibit 10.103 to Registrants Annual Report on Form </w:t>
              <w:br/>
              <w:t>10-K for the year ended September 30, 2006</w:t>
              <w:br/>
              <w:t>(File No. 0-19424)</w:t>
            </w:r>
          </w:p>
        </w:tc>
      </w:tr>
      <w:tr>
        <w:trPr/>
        <w:tc>
          <w:tcPr>
            <w:tcW w:w="801"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 </w:t>
            </w:r>
          </w:p>
        </w:tc>
      </w:tr>
      <w:tr>
        <w:trPr/>
        <w:tc>
          <w:tcPr>
            <w:tcW w:w="801" w:type="dxa"/>
            <w:tcBorders/>
            <w:shd w:fill="auto" w:val="clear"/>
          </w:tcPr>
          <w:p>
            <w:pPr>
              <w:pStyle w:val="TableContents"/>
              <w:spacing w:before="0" w:after="0"/>
              <w:ind w:left="0" w:right="0" w:hanging="0"/>
              <w:rPr/>
            </w:pPr>
            <w:r>
              <w:rPr/>
              <w:t xml:space="preserve">10.13 </w:t>
            </w:r>
          </w:p>
        </w:tc>
        <w:tc>
          <w:tcPr>
            <w:tcW w:w="212" w:type="dxa"/>
            <w:tcBorders/>
            <w:shd w:fill="auto" w:val="clear"/>
            <w:vAlign w:val="bottom"/>
          </w:tcPr>
          <w:p>
            <w:pPr>
              <w:pStyle w:val="TableContents"/>
              <w:spacing w:before="0" w:after="283"/>
              <w:rPr/>
            </w:pPr>
            <w:r>
              <w:rPr/>
              <w:t> </w:t>
            </w:r>
          </w:p>
        </w:tc>
        <w:tc>
          <w:tcPr>
            <w:tcW w:w="5784" w:type="dxa"/>
            <w:tcBorders/>
            <w:shd w:fill="auto" w:val="clear"/>
          </w:tcPr>
          <w:p>
            <w:pPr>
              <w:pStyle w:val="TableContents"/>
              <w:spacing w:before="0" w:after="283"/>
              <w:jc w:val="left"/>
              <w:rPr/>
            </w:pPr>
            <w:r>
              <w:rPr/>
              <w:t xml:space="preserve">EZCORP, Inc. 2006 Incentive Plan. </w:t>
            </w:r>
          </w:p>
        </w:tc>
        <w:tc>
          <w:tcPr>
            <w:tcW w:w="212"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3024" w:type="dxa"/>
            <w:tcBorders/>
            <w:shd w:fill="auto" w:val="clear"/>
          </w:tcPr>
          <w:p>
            <w:pPr>
              <w:pStyle w:val="TableContents"/>
              <w:spacing w:before="0" w:after="283"/>
              <w:jc w:val="left"/>
              <w:rPr/>
            </w:pPr>
            <w:r>
              <w:rPr/>
              <w:t>Exhibit 10.104 to Registrants Annual Report on Form </w:t>
              <w:br/>
              <w:t>10-K for the year ended September 30, 2006</w:t>
              <w:br/>
              <w:t>(File No. 0-19424)</w:t>
            </w:r>
          </w:p>
        </w:tc>
      </w:tr>
    </w:tbl>
    <w:p>
      <w:pPr>
        <w:pStyle w:val="TextBody"/>
        <w:jc w:val="center"/>
        <w:rPr>
          <w:rFonts w:ascii="Helvetica;Arial;sans-serif" w:hAnsi="Helvetica;Arial;sans-serif"/>
          <w:sz w:val="17"/>
        </w:rPr>
      </w:pPr>
      <w:r>
        <w:rPr>
          <w:rFonts w:ascii="Helvetica;Arial;sans-serif" w:hAnsi="Helvetica;Arial;sans-serif"/>
          <w:sz w:val="17"/>
        </w:rPr>
        <w:t xml:space="preserve">102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799"/>
        <w:gridCol w:w="200"/>
        <w:gridCol w:w="5933"/>
        <w:gridCol w:w="200"/>
        <w:gridCol w:w="162"/>
        <w:gridCol w:w="200"/>
        <w:gridCol w:w="2711"/>
      </w:tblGrid>
      <w:tr>
        <w:trPr/>
        <w:tc>
          <w:tcPr>
            <w:tcW w:w="799"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593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vAlign w:val="bottom"/>
          </w:tcPr>
          <w:p>
            <w:pPr>
              <w:pStyle w:val="TableContents"/>
              <w:spacing w:before="0" w:after="283"/>
              <w:rPr/>
            </w:pPr>
            <w:r>
              <w:rPr/>
              <w:t> </w:t>
            </w:r>
          </w:p>
        </w:tc>
      </w:tr>
      <w:tr>
        <w:trPr/>
        <w:tc>
          <w:tcPr>
            <w:tcW w:w="799"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593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vAlign w:val="bottom"/>
          </w:tcPr>
          <w:p>
            <w:pPr>
              <w:pStyle w:val="TableContents"/>
              <w:spacing w:before="0" w:after="283"/>
              <w:jc w:val="center"/>
              <w:rPr/>
            </w:pPr>
            <w:r>
              <w:rPr/>
              <w:t>Incorporated by</w:t>
            </w:r>
          </w:p>
        </w:tc>
      </w:tr>
      <w:tr>
        <w:trPr/>
        <w:tc>
          <w:tcPr>
            <w:tcW w:w="799"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200" w:type="dxa"/>
            <w:tcBorders/>
            <w:shd w:fill="auto" w:val="clear"/>
            <w:vAlign w:val="bottom"/>
          </w:tcPr>
          <w:p>
            <w:pPr>
              <w:pStyle w:val="TableContents"/>
              <w:spacing w:before="0" w:after="283"/>
              <w:rPr/>
            </w:pPr>
            <w:r>
              <w:rPr/>
              <w:t> </w:t>
            </w:r>
          </w:p>
        </w:tc>
        <w:tc>
          <w:tcPr>
            <w:tcW w:w="5933"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c>
          <w:tcPr>
            <w:tcW w:w="20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711" w:type="dxa"/>
            <w:tcBorders>
              <w:bottom w:val="single" w:sz="2" w:space="0" w:color="000000"/>
            </w:tcBorders>
            <w:shd w:fill="auto" w:val="clear"/>
            <w:tcMar>
              <w:bottom w:w="28" w:type="dxa"/>
            </w:tcMar>
            <w:vAlign w:val="bottom"/>
          </w:tcPr>
          <w:p>
            <w:pPr>
              <w:pStyle w:val="TableContents"/>
              <w:spacing w:before="0" w:after="283"/>
              <w:jc w:val="center"/>
              <w:rPr/>
            </w:pPr>
            <w:r>
              <w:rPr/>
              <w:t>Reference to</w:t>
            </w:r>
          </w:p>
        </w:tc>
      </w:tr>
      <w:tr>
        <w:trPr/>
        <w:tc>
          <w:tcPr>
            <w:tcW w:w="799" w:type="dxa"/>
            <w:tcBorders/>
            <w:shd w:fill="auto" w:val="clear"/>
            <w:vAlign w:val="center"/>
          </w:tcPr>
          <w:p>
            <w:pPr>
              <w:pStyle w:val="TableContents"/>
              <w:spacing w:before="0" w:after="283"/>
              <w:rPr/>
            </w:pPr>
            <w:r>
              <w:rPr/>
              <w:t> </w:t>
            </w:r>
          </w:p>
        </w:tc>
        <w:tc>
          <w:tcPr>
            <w:tcW w:w="9406" w:type="dxa"/>
            <w:gridSpan w:val="6"/>
            <w:tcBorders/>
            <w:shd w:fill="auto" w:val="clear"/>
          </w:tcPr>
          <w:p>
            <w:pPr>
              <w:pStyle w:val="TableContents"/>
              <w:spacing w:before="0" w:after="283"/>
              <w:rPr>
                <w:sz w:val="4"/>
                <w:szCs w:val="4"/>
              </w:rPr>
            </w:pPr>
            <w:r>
              <w:rPr>
                <w:sz w:val="4"/>
                <w:szCs w:val="4"/>
              </w:rPr>
            </w:r>
          </w:p>
        </w:tc>
      </w:tr>
      <w:tr>
        <w:trPr/>
        <w:tc>
          <w:tcPr>
            <w:tcW w:w="799" w:type="dxa"/>
            <w:tcBorders/>
            <w:shd w:fill="auto" w:val="clear"/>
          </w:tcPr>
          <w:p>
            <w:pPr>
              <w:pStyle w:val="TableContents"/>
              <w:spacing w:before="0" w:after="0"/>
              <w:ind w:left="0" w:right="0" w:hanging="0"/>
              <w:rPr/>
            </w:pPr>
            <w:r>
              <w:rPr/>
              <w:t xml:space="preserve">10.14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xml:space="preserve">EZCORP Fiscal Year 2008 Incentive Compensation Plan. *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N/A</w:t>
            </w:r>
          </w:p>
        </w:tc>
      </w:tr>
      <w:tr>
        <w:trPr/>
        <w:tc>
          <w:tcPr>
            <w:tcW w:w="79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 </w:t>
            </w:r>
          </w:p>
        </w:tc>
      </w:tr>
      <w:tr>
        <w:trPr/>
        <w:tc>
          <w:tcPr>
            <w:tcW w:w="799" w:type="dxa"/>
            <w:tcBorders/>
            <w:shd w:fill="auto" w:val="clear"/>
          </w:tcPr>
          <w:p>
            <w:pPr>
              <w:pStyle w:val="TableContents"/>
              <w:spacing w:before="0" w:after="0"/>
              <w:ind w:left="0" w:right="0" w:hanging="0"/>
              <w:rPr/>
            </w:pPr>
            <w:r>
              <w:rPr/>
              <w:t xml:space="preserve">21.1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xml:space="preserve">Subsidiaries of Registrant.*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N/A</w:t>
            </w:r>
          </w:p>
        </w:tc>
      </w:tr>
      <w:tr>
        <w:trPr/>
        <w:tc>
          <w:tcPr>
            <w:tcW w:w="79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 </w:t>
            </w:r>
          </w:p>
        </w:tc>
      </w:tr>
      <w:tr>
        <w:trPr/>
        <w:tc>
          <w:tcPr>
            <w:tcW w:w="799" w:type="dxa"/>
            <w:tcBorders/>
            <w:shd w:fill="auto" w:val="clear"/>
          </w:tcPr>
          <w:p>
            <w:pPr>
              <w:pStyle w:val="TableContents"/>
              <w:spacing w:before="0" w:after="0"/>
              <w:ind w:left="0" w:right="0" w:hanging="0"/>
              <w:rPr/>
            </w:pPr>
            <w:r>
              <w:rPr/>
              <w:t xml:space="preserve">23.1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xml:space="preserve">Consent of Independent Registered Public Accounting Firm.*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N/A</w:t>
            </w:r>
          </w:p>
        </w:tc>
      </w:tr>
      <w:tr>
        <w:trPr/>
        <w:tc>
          <w:tcPr>
            <w:tcW w:w="79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 </w:t>
            </w:r>
          </w:p>
        </w:tc>
      </w:tr>
      <w:tr>
        <w:trPr/>
        <w:tc>
          <w:tcPr>
            <w:tcW w:w="799" w:type="dxa"/>
            <w:tcBorders/>
            <w:shd w:fill="auto" w:val="clear"/>
          </w:tcPr>
          <w:p>
            <w:pPr>
              <w:pStyle w:val="TableContents"/>
              <w:spacing w:before="0" w:after="0"/>
              <w:ind w:left="0" w:right="0" w:hanging="0"/>
              <w:rPr/>
            </w:pPr>
            <w:r>
              <w:rPr/>
              <w:t xml:space="preserve">31.1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xml:space="preserve">Certification of Chief Executive Officer Pursuant to Section 302 of the Sarbanes-Oxley Act of 2002. *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N/A</w:t>
            </w:r>
          </w:p>
        </w:tc>
      </w:tr>
      <w:tr>
        <w:trPr/>
        <w:tc>
          <w:tcPr>
            <w:tcW w:w="79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 </w:t>
            </w:r>
          </w:p>
        </w:tc>
      </w:tr>
      <w:tr>
        <w:trPr/>
        <w:tc>
          <w:tcPr>
            <w:tcW w:w="799" w:type="dxa"/>
            <w:tcBorders/>
            <w:shd w:fill="auto" w:val="clear"/>
          </w:tcPr>
          <w:p>
            <w:pPr>
              <w:pStyle w:val="TableContents"/>
              <w:spacing w:before="0" w:after="0"/>
              <w:ind w:left="0" w:right="0" w:hanging="0"/>
              <w:rPr/>
            </w:pPr>
            <w:r>
              <w:rPr/>
              <w:t xml:space="preserve">31.2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xml:space="preserve">Certification of Chief Financial Officer Pursuant to Section 302 of the Sarbanes-Oxley Act of 2002. *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N/A</w:t>
            </w:r>
          </w:p>
        </w:tc>
      </w:tr>
      <w:tr>
        <w:trPr/>
        <w:tc>
          <w:tcPr>
            <w:tcW w:w="79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 </w:t>
            </w:r>
          </w:p>
        </w:tc>
      </w:tr>
      <w:tr>
        <w:trPr/>
        <w:tc>
          <w:tcPr>
            <w:tcW w:w="799" w:type="dxa"/>
            <w:tcBorders/>
            <w:shd w:fill="auto" w:val="clear"/>
          </w:tcPr>
          <w:p>
            <w:pPr>
              <w:pStyle w:val="TableContents"/>
              <w:spacing w:before="0" w:after="0"/>
              <w:ind w:left="0" w:right="0" w:hanging="0"/>
              <w:rPr/>
            </w:pPr>
            <w:r>
              <w:rPr/>
              <w:t xml:space="preserve">32.1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xml:space="preserve">Certification of Chief Executive Officer Pursuant to Section 906 of the Sarbanes-Oxley Act of 2002. *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N/A</w:t>
            </w:r>
          </w:p>
        </w:tc>
      </w:tr>
      <w:tr>
        <w:trPr/>
        <w:tc>
          <w:tcPr>
            <w:tcW w:w="79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 </w:t>
            </w:r>
          </w:p>
        </w:tc>
      </w:tr>
      <w:tr>
        <w:trPr/>
        <w:tc>
          <w:tcPr>
            <w:tcW w:w="799" w:type="dxa"/>
            <w:tcBorders/>
            <w:shd w:fill="auto" w:val="clear"/>
          </w:tcPr>
          <w:p>
            <w:pPr>
              <w:pStyle w:val="TableContents"/>
              <w:spacing w:before="0" w:after="0"/>
              <w:ind w:left="0" w:right="0" w:hanging="0"/>
              <w:rPr/>
            </w:pPr>
            <w:r>
              <w:rPr/>
              <w:t xml:space="preserve">32.2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xml:space="preserve">Certification of Chief Financial Officer Pursuant to Section 906 of the Sarbanes-Oxley Act of 2002. *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N/A</w:t>
            </w:r>
          </w:p>
        </w:tc>
      </w:tr>
      <w:tr>
        <w:trPr/>
        <w:tc>
          <w:tcPr>
            <w:tcW w:w="79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 </w:t>
            </w:r>
          </w:p>
        </w:tc>
      </w:tr>
      <w:tr>
        <w:trPr/>
        <w:tc>
          <w:tcPr>
            <w:tcW w:w="799" w:type="dxa"/>
            <w:tcBorders/>
            <w:shd w:fill="auto" w:val="clear"/>
          </w:tcPr>
          <w:p>
            <w:pPr>
              <w:pStyle w:val="TableContents"/>
              <w:spacing w:before="0" w:after="0"/>
              <w:ind w:left="0" w:right="0" w:hanging="0"/>
              <w:rPr/>
            </w:pPr>
            <w:r>
              <w:rPr/>
              <w:t xml:space="preserve">99.1 </w:t>
            </w:r>
          </w:p>
        </w:tc>
        <w:tc>
          <w:tcPr>
            <w:tcW w:w="200" w:type="dxa"/>
            <w:tcBorders/>
            <w:shd w:fill="auto" w:val="clear"/>
            <w:vAlign w:val="bottom"/>
          </w:tcPr>
          <w:p>
            <w:pPr>
              <w:pStyle w:val="TableContents"/>
              <w:spacing w:before="0" w:after="283"/>
              <w:rPr/>
            </w:pPr>
            <w:r>
              <w:rPr/>
              <w:t> </w:t>
            </w:r>
          </w:p>
        </w:tc>
        <w:tc>
          <w:tcPr>
            <w:tcW w:w="5933" w:type="dxa"/>
            <w:tcBorders/>
            <w:shd w:fill="auto" w:val="clear"/>
          </w:tcPr>
          <w:p>
            <w:pPr>
              <w:pStyle w:val="TableContents"/>
              <w:spacing w:before="0" w:after="283"/>
              <w:jc w:val="left"/>
              <w:rPr/>
            </w:pPr>
            <w:r>
              <w:rPr/>
              <w:t xml:space="preserve">Charter of the Audit Committee of the Board of Directors of EZCORP, Inc. dated November 8, 2005 </w:t>
            </w:r>
          </w:p>
        </w:tc>
        <w:tc>
          <w:tcPr>
            <w:tcW w:w="200" w:type="dxa"/>
            <w:tcBorders/>
            <w:shd w:fill="auto" w:val="clear"/>
            <w:vAlign w:val="bottom"/>
          </w:tcPr>
          <w:p>
            <w:pPr>
              <w:pStyle w:val="TableContents"/>
              <w:spacing w:before="0" w:after="283"/>
              <w:rPr/>
            </w:pPr>
            <w:r>
              <w:rPr/>
              <w:t> </w:t>
            </w:r>
          </w:p>
        </w:tc>
        <w:tc>
          <w:tcPr>
            <w:tcW w:w="162" w:type="dxa"/>
            <w:tcBorders/>
            <w:shd w:fill="auto" w:val="clear"/>
          </w:tcPr>
          <w:p>
            <w:pPr>
              <w:pStyle w:val="TableContents"/>
              <w:spacing w:before="0" w:after="283"/>
              <w:jc w:val="left"/>
              <w:rPr/>
            </w:pPr>
            <w:r>
              <w:rPr/>
              <w:t> </w:t>
            </w:r>
          </w:p>
        </w:tc>
        <w:tc>
          <w:tcPr>
            <w:tcW w:w="200" w:type="dxa"/>
            <w:tcBorders/>
            <w:shd w:fill="auto" w:val="clear"/>
            <w:vAlign w:val="bottom"/>
          </w:tcPr>
          <w:p>
            <w:pPr>
              <w:pStyle w:val="TableContents"/>
              <w:spacing w:before="0" w:after="283"/>
              <w:rPr/>
            </w:pPr>
            <w:r>
              <w:rPr/>
              <w:t> </w:t>
            </w:r>
          </w:p>
        </w:tc>
        <w:tc>
          <w:tcPr>
            <w:tcW w:w="2711" w:type="dxa"/>
            <w:tcBorders/>
            <w:shd w:fill="auto" w:val="clear"/>
          </w:tcPr>
          <w:p>
            <w:pPr>
              <w:pStyle w:val="TableContents"/>
              <w:spacing w:before="0" w:after="283"/>
              <w:jc w:val="left"/>
              <w:rPr/>
            </w:pPr>
            <w:r>
              <w:rPr/>
              <w:t>Exhibit 10.95 to Registrants Annual Report on Form 10-K for the year ended September 30, 2005 (File No. 0-19424)</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06"/>
        <w:gridCol w:w="2268"/>
        <w:gridCol w:w="1131"/>
      </w:tblGrid>
      <w:tr>
        <w:trPr/>
        <w:tc>
          <w:tcPr>
            <w:tcW w:w="6806" w:type="dxa"/>
            <w:tcBorders/>
            <w:shd w:fill="auto" w:val="clear"/>
            <w:vAlign w:val="center"/>
          </w:tcPr>
          <w:p>
            <w:pPr>
              <w:pStyle w:val="TableContents"/>
              <w:spacing w:before="0" w:after="283"/>
              <w:rPr>
                <w:sz w:val="4"/>
                <w:szCs w:val="4"/>
              </w:rPr>
            </w:pPr>
            <w:r>
              <w:rPr>
                <w:sz w:val="4"/>
                <w:szCs w:val="4"/>
              </w:rPr>
            </w:r>
          </w:p>
        </w:tc>
        <w:tc>
          <w:tcPr>
            <w:tcW w:w="2268"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jc w:val="left"/>
              <w:rPr/>
            </w:pPr>
            <w:r>
              <w:rPr/>
              <w:t>*</w:t>
            </w:r>
          </w:p>
        </w:tc>
        <w:tc>
          <w:tcPr>
            <w:tcW w:w="2268" w:type="dxa"/>
            <w:tcBorders/>
            <w:shd w:fill="auto" w:val="clear"/>
          </w:tcPr>
          <w:p>
            <w:pPr>
              <w:pStyle w:val="TableContents"/>
              <w:spacing w:before="0" w:after="283"/>
              <w:rPr/>
            </w:pPr>
            <w:r>
              <w:rPr/>
              <w:t> </w:t>
            </w:r>
          </w:p>
        </w:tc>
        <w:tc>
          <w:tcPr>
            <w:tcW w:w="1131" w:type="dxa"/>
            <w:tcBorders/>
            <w:shd w:fill="auto" w:val="clear"/>
          </w:tcPr>
          <w:p>
            <w:pPr>
              <w:pStyle w:val="TableContents"/>
              <w:spacing w:before="0" w:after="283"/>
              <w:rPr/>
            </w:pPr>
            <w:r>
              <w:rPr/>
              <w:t>Filed herewith.</w:t>
            </w:r>
          </w:p>
        </w:tc>
      </w:tr>
      <w:tr>
        <w:trPr/>
        <w:tc>
          <w:tcPr>
            <w:tcW w:w="6806" w:type="dxa"/>
            <w:tcBorders/>
            <w:shd w:fill="auto" w:val="clear"/>
            <w:vAlign w:val="center"/>
          </w:tcPr>
          <w:p>
            <w:pPr>
              <w:pStyle w:val="TableContents"/>
              <w:spacing w:before="0" w:after="283"/>
              <w:rPr/>
            </w:pPr>
            <w:r>
              <w:rPr/>
              <w:t> </w:t>
            </w:r>
          </w:p>
        </w:tc>
        <w:tc>
          <w:tcPr>
            <w:tcW w:w="3399" w:type="dxa"/>
            <w:gridSpan w:val="2"/>
            <w:tcBorders/>
            <w:shd w:fill="auto" w:val="clea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jc w:val="left"/>
              <w:rPr/>
            </w:pPr>
            <w:r>
              <w:rPr/>
              <w:t>+</w:t>
            </w:r>
          </w:p>
        </w:tc>
        <w:tc>
          <w:tcPr>
            <w:tcW w:w="2268" w:type="dxa"/>
            <w:tcBorders/>
            <w:shd w:fill="auto" w:val="clear"/>
          </w:tcPr>
          <w:p>
            <w:pPr>
              <w:pStyle w:val="TableContents"/>
              <w:spacing w:before="0" w:after="283"/>
              <w:rPr/>
            </w:pPr>
            <w:r>
              <w:rPr/>
              <w:t> </w:t>
            </w:r>
          </w:p>
        </w:tc>
        <w:tc>
          <w:tcPr>
            <w:tcW w:w="1131" w:type="dxa"/>
            <w:tcBorders/>
            <w:shd w:fill="auto" w:val="clear"/>
          </w:tcPr>
          <w:p>
            <w:pPr>
              <w:pStyle w:val="TableContents"/>
              <w:spacing w:before="0" w:after="283"/>
              <w:rPr/>
            </w:pPr>
            <w:r>
              <w:rPr/>
              <w:t>Portions of this exhibit have been omitted pursuant to a request for confidential treatment</w:t>
            </w:r>
            <w:r>
              <w:rPr>
                <w:b/>
              </w:rPr>
              <w:t>.</w:t>
            </w:r>
          </w:p>
        </w:tc>
      </w:tr>
    </w:tbl>
    <w:p>
      <w:pPr>
        <w:pStyle w:val="TextBody"/>
        <w:jc w:val="center"/>
        <w:rPr>
          <w:rFonts w:ascii="Helvetica;Arial;sans-serif" w:hAnsi="Helvetica;Arial;sans-serif"/>
          <w:sz w:val="17"/>
        </w:rPr>
      </w:pPr>
      <w:r>
        <w:rPr>
          <w:rFonts w:ascii="Helvetica;Arial;sans-serif" w:hAnsi="Helvetica;Arial;sans-serif"/>
          <w:sz w:val="17"/>
        </w:rPr>
        <w:t xml:space="preserve">103 </w:t>
      </w:r>
      <w:r>
        <w:br w:type="page"/>
      </w:r>
    </w:p>
    <w:p>
      <w:pPr>
        <w:pStyle w:val="Heading5"/>
        <w:jc w:val="left"/>
        <w:rPr/>
      </w:pPr>
      <w:bookmarkStart w:id="34" w:name="d52356exv10w14.htm"/>
      <w:bookmarkStart w:id="35" w:name="ksd52356exv10w14"/>
      <w:bookmarkEnd w:id="34"/>
      <w:bookmarkEnd w:id="35"/>
      <w:r>
        <w:rPr/>
        <w:t> </w:t>
      </w:r>
    </w:p>
    <w:p>
      <w:pPr>
        <w:pStyle w:val="TextBody"/>
        <w:spacing w:before="360" w:after="283"/>
        <w:jc w:val="center"/>
        <w:rPr>
          <w:rFonts w:ascii="Helvetica;Arial;sans-serif" w:hAnsi="Helvetica;Arial;sans-serif"/>
          <w:sz w:val="17"/>
        </w:rPr>
      </w:pPr>
      <w:r>
        <w:rPr>
          <w:rFonts w:ascii="Helvetica;Arial;sans-serif" w:hAnsi="Helvetica;Arial;sans-serif"/>
          <w:b/>
          <w:sz w:val="17"/>
        </w:rPr>
        <w:t>Exhibit 10.14</w:t>
      </w:r>
      <w:r>
        <w:rPr>
          <w:rFonts w:ascii="Helvetica;Arial;sans-serif" w:hAnsi="Helvetica;Arial;sans-serif"/>
          <w:sz w:val="17"/>
        </w:rPr>
        <w:t xml:space="preserve"> </w:t>
      </w:r>
    </w:p>
    <w:p>
      <w:pPr>
        <w:pStyle w:val="TextBody"/>
        <w:spacing w:before="120" w:after="283"/>
        <w:jc w:val="center"/>
        <w:rPr>
          <w:rFonts w:ascii="Helvetica;Arial;sans-serif" w:hAnsi="Helvetica;Arial;sans-serif"/>
          <w:sz w:val="17"/>
        </w:rPr>
      </w:pPr>
      <w:r>
        <w:rPr>
          <w:rFonts w:ascii="Helvetica;Arial;sans-serif" w:hAnsi="Helvetica;Arial;sans-serif"/>
          <w:b/>
          <w:sz w:val="17"/>
        </w:rPr>
        <w:t>EZCORP, Inc. 2008 Incentive Compensation Plan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sz w:val="17"/>
        </w:rPr>
        <w:t>PORTIONS OF THIS EXHIBIT HAVE BEEN OMITTED AND ARE BEING FILED SEPARATELY WITH THE SECURITIES AND EXCHANGE COMMISSION IN A CONFIDENTIAL TREATMENT REQUEST UNDER RULE 24B-2 OF THE SECURITIES EXCHANGE ACT OF 1934, AS AMENDED. THE SYMBOL [***] IN THIS EXHIBIT INDICATES THAT INFORMATION HAS BEEN OMITTED</w:t>
      </w:r>
      <w:r>
        <w:rPr>
          <w:rFonts w:ascii="Helvetica;Arial;sans-serif" w:hAnsi="Helvetica;Arial;sans-serif"/>
          <w:sz w:val="17"/>
        </w:rPr>
        <w:t xml:space="preserve">. </w:t>
      </w:r>
    </w:p>
    <w:p>
      <w:pPr>
        <w:pStyle w:val="TextBody"/>
        <w:spacing w:before="360" w:after="283"/>
        <w:jc w:val="center"/>
        <w:rPr/>
      </w:pPr>
      <w:r>
        <w:rPr/>
        <w:drawing>
          <wp:inline distT="0" distB="0" distL="0" distR="0">
            <wp:extent cx="3295650"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95650" cy="809625"/>
                    </a:xfrm>
                    <a:prstGeom prst="rect">
                      <a:avLst/>
                    </a:prstGeom>
                  </pic:spPr>
                </pic:pic>
              </a:graphicData>
            </a:graphic>
          </wp:inline>
        </w:drawing>
      </w:r>
      <w:r>
        <w:rPr/>
        <w:t xml:space="preserve"> </w:t>
      </w:r>
    </w:p>
    <w:p>
      <w:pPr>
        <w:pStyle w:val="TextBody"/>
        <w:spacing w:before="120" w:after="283"/>
        <w:jc w:val="center"/>
        <w:rPr>
          <w:rFonts w:ascii="Helvetica;Arial;sans-serif" w:hAnsi="Helvetica;Arial;sans-serif"/>
          <w:sz w:val="17"/>
        </w:rPr>
      </w:pPr>
      <w:r>
        <w:rPr>
          <w:rFonts w:ascii="Helvetica;Arial;sans-serif" w:hAnsi="Helvetica;Arial;sans-serif"/>
          <w:sz w:val="17"/>
        </w:rPr>
        <w:t xml:space="preserve">FY 2008 Incentive Compensation Program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Helvetica;Arial;sans-serif" w:hAnsi="Helvetica;Arial;sans-serif"/>
          <w:sz w:val="17"/>
        </w:rPr>
      </w:pPr>
      <w:r>
        <w:rPr>
          <w:rFonts w:ascii="Helvetica;Arial;sans-serif" w:hAnsi="Helvetica;Arial;sans-serif"/>
          <w:b/>
          <w:sz w:val="17"/>
        </w:rPr>
        <w:t>FY 2008 Incentive Compensation Program</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Policy</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It is a policy of EZCORP, Inc. and its wholly owned affiliates (also referred to as the Company) to offer a total compensation package which is commensurate with the job assigned, competitive within the affiliated industry, and reflective of the value of each individuals performance and overall contribution towards the short and long term success of the Company.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a supplement to the base compensation paid and stock awards granted by EZCORP, the Company offers the FY2008 Incentive Compensation Program (the Program) to reward the accomplishment of corporate, business unit, and personal objectives for select key associates. This Program is designed to motivate selected associates to strive for excellence in both Company and specific personal objectives and provides incentive compensation awards for their achievement. </w:t>
      </w:r>
    </w:p>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Objectives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primary objectives of the EZCORP Incentive Compensation Program are: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To provide an incentive for individuals to drive their performance to achieve strategic Company and personal objectives.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To attract, retain and motivate top-quality associates who are able to add significant value to the Companys performance.</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To provide incentive compensation opportunities which are competitive for the associate levels and the affiliated industry.</w:t>
            </w:r>
          </w:p>
        </w:tc>
      </w:tr>
    </w:tbl>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Eligibility for Participation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Compensation Advisory Group (President/CEO, SVP Administration and the SVP &amp; CFO) will recommend to the Board Compensation Committee, who will approve the positions that will participate in the Program. Participants are generally selected from positions that typically have incentive-based compensation components in the industry and from individuals who make meaningful and substantial contributions to the business. Participation in the Program will be determined prior to the beginning of the fiscal year. Eligible associates will usually be drawn from: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Officers and Executives of the Company.</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Regional and Corporate Director Level Management</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i/>
              </w:rPr>
            </w:pPr>
            <w:r>
              <w:rPr>
                <w:i/>
              </w:rPr>
              <w:t>3.</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Key Management individuals as determined by the Compensation Advisory Group and approved by the Board Compensation Committee.</w:t>
            </w:r>
          </w:p>
        </w:tc>
      </w:tr>
    </w:tbl>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Setting of Financial Measurements and Individual Objectives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i/>
          <w:sz w:val="17"/>
          <w:u w:val="single"/>
        </w:rPr>
        <w:t>Company Objective:</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President/CEO will recommend, and the Board of Directors will approve specific financial measures and set Company Objectives that will be used to determine the incentive awards for the year. </w:t>
      </w:r>
    </w:p>
    <w:p>
      <w:pPr>
        <w:pStyle w:val="TextBody"/>
        <w:spacing w:before="120" w:after="283"/>
        <w:jc w:val="left"/>
        <w:rPr>
          <w:rFonts w:ascii="Helvetica;Arial;sans-serif" w:hAnsi="Helvetica;Arial;sans-serif"/>
          <w:sz w:val="17"/>
        </w:rPr>
      </w:pPr>
      <w:r>
        <w:rPr>
          <w:rFonts w:ascii="Helvetica;Arial;sans-serif" w:hAnsi="Helvetica;Arial;sans-serif"/>
          <w:b/>
          <w:i/>
          <w:sz w:val="17"/>
          <w:u w:val="single"/>
        </w:rPr>
        <w:t>Individual Objectives: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Executive Committee will determine overall departmental objectives and assign some or all of those objectives as Personal Objectives to specific individual participants.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Awards will be based on the level of attainment of both the Company Objectives and the Personal Objectives of each participant. </w:t>
      </w:r>
      <w:r>
        <w:rPr>
          <w:rFonts w:ascii="Helvetica;Arial;sans-serif" w:hAnsi="Helvetica;Arial;sans-serif"/>
          <w:b/>
          <w:sz w:val="17"/>
          <w:u w:val="single"/>
        </w:rPr>
        <w:t>However, the Board of Directors will set a minimum financial threshold that must be attained for any incentive compensation to be paid.</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Companys Minimum Financial Objective for FY2008 (below which no incentive awards will be made) will be a net income of: </w:t>
      </w:r>
    </w:p>
    <w:p>
      <w:pPr>
        <w:pStyle w:val="TextBody"/>
        <w:spacing w:before="120" w:after="283"/>
        <w:jc w:val="center"/>
        <w:rPr>
          <w:rFonts w:ascii="Helvetica;Arial;sans-serif" w:hAnsi="Helvetica;Arial;sans-serif"/>
          <w:sz w:val="17"/>
        </w:rPr>
      </w:pPr>
      <w:r>
        <w:rPr>
          <w:rFonts w:ascii="Helvetica;Arial;sans-serif" w:hAnsi="Helvetica;Arial;sans-serif"/>
          <w:b/>
          <w:sz w:val="17"/>
          <w:u w:val="single"/>
        </w:rPr>
        <w: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Company management will conduct periodic progress reviews with participants during the year in the monthly Key Performance Review (KPR) meetings to monitor progress and ensure on-going focus and alignment. </w:t>
      </w:r>
    </w:p>
    <w:p>
      <w:pPr>
        <w:pStyle w:val="TextBody"/>
        <w:spacing w:before="120" w:after="283"/>
        <w:jc w:val="left"/>
        <w:rPr>
          <w:rFonts w:ascii="Helvetica;Arial;sans-serif" w:hAnsi="Helvetica;Arial;sans-serif"/>
          <w:b/>
          <w:i/>
          <w:sz w:val="17"/>
          <w:u w:val="single"/>
        </w:rPr>
      </w:pPr>
      <w:r>
        <w:rPr>
          <w:rFonts w:ascii="Helvetica;Arial;sans-serif" w:hAnsi="Helvetica;Arial;sans-serif"/>
          <w:b/>
          <w:i/>
          <w:sz w:val="17"/>
          <w:u w:val="single"/>
        </w:rPr>
        <w:t xml:space="preserve">FY 2008 Company Objectives and Incentive Targets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Net Income will be used to determine actual financial award payouts for FY2008. For purposes of this Program, </w:t>
      </w:r>
      <w:r>
        <w:rPr>
          <w:rFonts w:ascii="Helvetica;Arial;sans-serif" w:hAnsi="Helvetica;Arial;sans-serif"/>
          <w:b/>
          <w:sz w:val="17"/>
        </w:rPr>
        <w:t></w:t>
      </w:r>
      <w:r>
        <w:rPr>
          <w:rFonts w:ascii="Helvetica;Arial;sans-serif" w:hAnsi="Helvetica;Arial;sans-serif"/>
          <w:b/>
          <w:i/>
          <w:sz w:val="17"/>
        </w:rPr>
        <w:t xml:space="preserve">Net Income </w:t>
      </w:r>
      <w:r>
        <w:rPr>
          <w:rFonts w:ascii="Helvetica;Arial;sans-serif" w:hAnsi="Helvetica;Arial;sans-serif"/>
          <w:b/>
          <w:sz w:val="17"/>
        </w:rPr>
        <w:t>is defined as the net income shown on the audited financial statements, adjusted for any special items, charges and credits, which the Board Compensation Committee, in its sole discretion, determines are unusual or infrequently occurring events or situations and that generally do not provide or require cash, and also are not subject to the direct control of management.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However, the Board Compensation Committee may elect to translate the Companys Net Income objectives to </w:t>
      </w:r>
      <w:r>
        <w:rPr>
          <w:rFonts w:ascii="Helvetica;Arial;sans-serif" w:hAnsi="Helvetica;Arial;sans-serif"/>
          <w:i/>
          <w:sz w:val="17"/>
        </w:rPr>
        <w:t>Earnings Per Share</w:t>
      </w:r>
      <w:r>
        <w:rPr>
          <w:rFonts w:ascii="Helvetica;Arial;sans-serif" w:hAnsi="Helvetica;Arial;sans-serif"/>
          <w:sz w:val="17"/>
        </w:rPr>
        <w:t xml:space="preserve"> objective and utilize that Company Objective for specific participants. </w:t>
      </w:r>
      <w:r>
        <w:rPr>
          <w:rFonts w:ascii="Helvetica;Arial;sans-serif" w:hAnsi="Helvetica;Arial;sans-serif"/>
          <w:b/>
          <w:sz w:val="17"/>
        </w:rPr>
        <w:t>For purposes of this Program, </w:t>
      </w:r>
      <w:r>
        <w:rPr>
          <w:rFonts w:ascii="Helvetica;Arial;sans-serif" w:hAnsi="Helvetica;Arial;sans-serif"/>
          <w:b/>
          <w:i/>
          <w:sz w:val="17"/>
        </w:rPr>
        <w:t>Earnings Per Shares is defined as the </w:t>
      </w:r>
      <w:r>
        <w:rPr>
          <w:rFonts w:ascii="Helvetica;Arial;sans-serif" w:hAnsi="Helvetica;Arial;sans-serif"/>
          <w:b/>
          <w:sz w:val="17"/>
        </w:rPr>
        <w:t>Net Income as defined above divided by the diluted weighted average number of shares outstanding for the year. The Board Compensation Committee, in its sole discretion, may adjust number of shares used in this calculation to take into account any unusual special occurrences that may have unfairly impacted this calculation.</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sz w:val="17"/>
        </w:rPr>
        <w:t xml:space="preserve">The Companys net income goal for Incentive Compensation is </w:t>
      </w:r>
      <w:r>
        <w:rPr>
          <w:rFonts w:ascii="Helvetica;Arial;sans-serif" w:hAnsi="Helvetica;Arial;sans-serif"/>
          <w:b/>
          <w:sz w:val="17"/>
          <w:u w:val="single"/>
        </w:rPr>
        <w:t>[***].</w:t>
      </w:r>
      <w:r>
        <w:rPr>
          <w:rFonts w:ascii="Helvetica;Arial;sans-serif" w:hAnsi="Helvetica;Arial;sans-serif"/>
          <w:sz w:val="17"/>
        </w:rPr>
        <w:t xml:space="preserve"> The minimum threshold for any payout is reached at </w:t>
      </w:r>
      <w:r>
        <w:rPr>
          <w:rFonts w:ascii="Helvetica;Arial;sans-serif" w:hAnsi="Helvetica;Arial;sans-serif"/>
          <w:b/>
          <w:sz w:val="17"/>
          <w:u w:val="single"/>
        </w:rPr>
        <w:t>[***]</w:t>
      </w:r>
      <w:r>
        <w:rPr>
          <w:rFonts w:ascii="Helvetica;Arial;sans-serif" w:hAnsi="Helvetica;Arial;sans-serif"/>
          <w:sz w:val="17"/>
        </w:rPr>
        <w:t xml:space="preserve"> and the maximum payout is achieved at </w:t>
      </w:r>
      <w:r>
        <w:rPr>
          <w:rFonts w:ascii="Helvetica;Arial;sans-serif" w:hAnsi="Helvetica;Arial;sans-serif"/>
          <w:b/>
          <w:sz w:val="17"/>
          <w:u w:val="single"/>
        </w:rPr>
        <w:t>[***]</w:t>
      </w:r>
      <w:r>
        <w:rPr>
          <w:rFonts w:ascii="Helvetica;Arial;sans-serif" w:hAnsi="Helvetica;Arial;sans-serif"/>
          <w:b/>
          <w:sz w:val="17"/>
        </w:rPr>
        <w: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Based upon these Net Income goals, the Earnings Per Share goals for FY2008 will be a minimum level of [***] EPS, a target level of [***] EPS, and a maximum level of [***] EPS.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payout for financial participation for a participant can be read from the following matrix based on FY2008 Net Income and Earnings Per Share: </w:t>
      </w:r>
    </w:p>
    <w:tbl>
      <w:tblPr>
        <w:tblW w:w="5000" w:type="pct"/>
        <w:jc w:val="center"/>
        <w:tblInd w:w="0" w:type="dxa"/>
        <w:tblCellMar>
          <w:top w:w="0" w:type="dxa"/>
          <w:left w:w="0" w:type="dxa"/>
          <w:bottom w:w="0" w:type="dxa"/>
          <w:right w:w="0" w:type="dxa"/>
        </w:tblCellMar>
      </w:tblPr>
      <w:tblGrid>
        <w:gridCol w:w="5592"/>
        <w:gridCol w:w="450"/>
        <w:gridCol w:w="289"/>
        <w:gridCol w:w="286"/>
        <w:gridCol w:w="447"/>
        <w:gridCol w:w="450"/>
        <w:gridCol w:w="289"/>
        <w:gridCol w:w="381"/>
        <w:gridCol w:w="446"/>
        <w:gridCol w:w="450"/>
        <w:gridCol w:w="289"/>
        <w:gridCol w:w="381"/>
        <w:gridCol w:w="455"/>
      </w:tblGrid>
      <w:tr>
        <w:trPr/>
        <w:tc>
          <w:tcPr>
            <w:tcW w:w="5592"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r>
      <w:tr>
        <w:trPr/>
        <w:tc>
          <w:tcPr>
            <w:tcW w:w="5592" w:type="dxa"/>
            <w:tcBorders/>
            <w:shd w:fill="CCEEFF" w:val="clear"/>
            <w:vAlign w:val="bottom"/>
          </w:tcPr>
          <w:p>
            <w:pPr>
              <w:pStyle w:val="TableContents"/>
              <w:spacing w:before="0" w:after="0"/>
              <w:ind w:left="225" w:right="0" w:hanging="225"/>
              <w:rPr/>
            </w:pPr>
            <w:r>
              <w:rPr/>
              <w:t>Net Income</w:t>
            </w:r>
          </w:p>
        </w:tc>
        <w:tc>
          <w:tcPr>
            <w:tcW w:w="45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right"/>
              <w:rPr>
                <w:b/>
              </w:rPr>
            </w:pPr>
            <w:r>
              <w:rPr>
                <w:b/>
              </w:rPr>
              <w:t>[***]</w:t>
            </w:r>
          </w:p>
        </w:tc>
        <w:tc>
          <w:tcPr>
            <w:tcW w:w="447"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b/>
              </w:rPr>
            </w:pPr>
            <w:r>
              <w:rPr>
                <w:b/>
              </w:rPr>
              <w:t>[***]</w:t>
            </w:r>
          </w:p>
        </w:tc>
        <w:tc>
          <w:tcPr>
            <w:tcW w:w="446"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b/>
              </w:rPr>
            </w:pPr>
            <w:r>
              <w:rPr>
                <w:b/>
              </w:rPr>
              <w:t>[***]</w:t>
            </w:r>
          </w:p>
        </w:tc>
        <w:tc>
          <w:tcPr>
            <w:tcW w:w="455" w:type="dxa"/>
            <w:tcBorders/>
            <w:shd w:fill="CCEEFF" w:val="clear"/>
            <w:vAlign w:val="bottom"/>
          </w:tcPr>
          <w:p>
            <w:pPr>
              <w:pStyle w:val="TableContents"/>
              <w:spacing w:before="0" w:after="283"/>
              <w:rPr/>
            </w:pPr>
            <w:r>
              <w:rPr/>
              <w:t> </w:t>
            </w:r>
          </w:p>
        </w:tc>
      </w:tr>
      <w:tr>
        <w:trPr/>
        <w:tc>
          <w:tcPr>
            <w:tcW w:w="5592"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28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447"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381"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446"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r>
      <w:tr>
        <w:trPr/>
        <w:tc>
          <w:tcPr>
            <w:tcW w:w="5592" w:type="dxa"/>
            <w:tcBorders/>
            <w:shd w:fill="auto" w:val="clear"/>
            <w:vAlign w:val="bottom"/>
          </w:tcPr>
          <w:p>
            <w:pPr>
              <w:pStyle w:val="TableContents"/>
              <w:spacing w:before="0" w:after="0"/>
              <w:ind w:left="225" w:right="0" w:hanging="225"/>
              <w:rPr/>
            </w:pPr>
            <w:r>
              <w:rPr/>
              <w:t> </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r>
      <w:tr>
        <w:trPr/>
        <w:tc>
          <w:tcPr>
            <w:tcW w:w="5592" w:type="dxa"/>
            <w:tcBorders/>
            <w:shd w:fill="auto" w:val="clear"/>
            <w:vAlign w:val="bottom"/>
          </w:tcPr>
          <w:p>
            <w:pPr>
              <w:pStyle w:val="TableContents"/>
              <w:spacing w:before="0" w:after="0"/>
              <w:ind w:left="225" w:right="0" w:hanging="225"/>
              <w:rPr/>
            </w:pPr>
            <w:r>
              <w:rPr/>
              <w:t>Bonus Payout</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pPr>
            <w:r>
              <w:rPr/>
              <w:t> </w:t>
            </w:r>
          </w:p>
        </w:tc>
        <w:tc>
          <w:tcPr>
            <w:tcW w:w="286" w:type="dxa"/>
            <w:tcBorders/>
            <w:shd w:fill="auto" w:val="clear"/>
            <w:vAlign w:val="bottom"/>
          </w:tcPr>
          <w:p>
            <w:pPr>
              <w:pStyle w:val="TableContents"/>
              <w:spacing w:before="0" w:after="283"/>
              <w:jc w:val="right"/>
              <w:rPr>
                <w:b/>
              </w:rPr>
            </w:pPr>
            <w:r>
              <w:rPr>
                <w:b/>
              </w:rPr>
              <w:t>50</w:t>
            </w:r>
          </w:p>
        </w:tc>
        <w:tc>
          <w:tcPr>
            <w:tcW w:w="447" w:type="dxa"/>
            <w:tcBorders/>
            <w:shd w:fill="auto" w:val="clear"/>
            <w:vAlign w:val="bottom"/>
          </w:tcPr>
          <w:p>
            <w:pPr>
              <w:pStyle w:val="TableContents"/>
              <w:spacing w:before="0" w:after="283"/>
              <w:rPr>
                <w:b/>
              </w:rPr>
            </w:pPr>
            <w:r>
              <w:rPr>
                <w:b/>
              </w:rPr>
              <w:t>%</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pPr>
            <w:r>
              <w:rPr/>
              <w:t> </w:t>
            </w:r>
          </w:p>
        </w:tc>
        <w:tc>
          <w:tcPr>
            <w:tcW w:w="381" w:type="dxa"/>
            <w:tcBorders/>
            <w:shd w:fill="auto" w:val="clear"/>
            <w:vAlign w:val="bottom"/>
          </w:tcPr>
          <w:p>
            <w:pPr>
              <w:pStyle w:val="TableContents"/>
              <w:spacing w:before="0" w:after="283"/>
              <w:jc w:val="right"/>
              <w:rPr>
                <w:b/>
              </w:rPr>
            </w:pPr>
            <w:r>
              <w:rPr>
                <w:b/>
              </w:rPr>
              <w:t>100</w:t>
            </w:r>
          </w:p>
        </w:tc>
        <w:tc>
          <w:tcPr>
            <w:tcW w:w="446" w:type="dxa"/>
            <w:tcBorders/>
            <w:shd w:fill="auto" w:val="clear"/>
            <w:vAlign w:val="bottom"/>
          </w:tcPr>
          <w:p>
            <w:pPr>
              <w:pStyle w:val="TableContents"/>
              <w:spacing w:before="0" w:after="283"/>
              <w:rPr>
                <w:b/>
              </w:rPr>
            </w:pPr>
            <w:r>
              <w:rPr>
                <w:b/>
              </w:rPr>
              <w:t>%</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pPr>
            <w:r>
              <w:rPr/>
              <w:t> </w:t>
            </w:r>
          </w:p>
        </w:tc>
        <w:tc>
          <w:tcPr>
            <w:tcW w:w="381" w:type="dxa"/>
            <w:tcBorders/>
            <w:shd w:fill="auto" w:val="clear"/>
            <w:vAlign w:val="bottom"/>
          </w:tcPr>
          <w:p>
            <w:pPr>
              <w:pStyle w:val="TableContents"/>
              <w:spacing w:before="0" w:after="283"/>
              <w:jc w:val="right"/>
              <w:rPr>
                <w:b/>
              </w:rPr>
            </w:pPr>
            <w:r>
              <w:rPr>
                <w:b/>
              </w:rPr>
              <w:t>150</w:t>
            </w:r>
          </w:p>
        </w:tc>
        <w:tc>
          <w:tcPr>
            <w:tcW w:w="455" w:type="dxa"/>
            <w:tcBorders/>
            <w:shd w:fill="auto" w:val="clear"/>
            <w:vAlign w:val="bottom"/>
          </w:tcPr>
          <w:p>
            <w:pPr>
              <w:pStyle w:val="TableContents"/>
              <w:spacing w:before="0" w:after="283"/>
              <w:rPr>
                <w:b/>
              </w:rPr>
            </w:pPr>
            <w:r>
              <w:rPr>
                <w:b/>
              </w:rPr>
              <w:t>%</w:t>
            </w:r>
          </w:p>
        </w:tc>
      </w:tr>
      <w:tr>
        <w:trPr/>
        <w:tc>
          <w:tcPr>
            <w:tcW w:w="5592" w:type="dxa"/>
            <w:tcBorders/>
            <w:shd w:fill="auto" w:val="clear"/>
            <w:vAlign w:val="bottom"/>
          </w:tcPr>
          <w:p>
            <w:pPr>
              <w:pStyle w:val="TableContents"/>
              <w:spacing w:before="0" w:after="0"/>
              <w:ind w:left="225" w:right="0" w:hanging="225"/>
              <w:rPr/>
            </w:pPr>
            <w:r>
              <w:rPr/>
              <w:t> </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r>
      <w:tr>
        <w:trPr/>
        <w:tc>
          <w:tcPr>
            <w:tcW w:w="5592" w:type="dxa"/>
            <w:tcBorders/>
            <w:shd w:fill="CCEEFF" w:val="clear"/>
            <w:vAlign w:val="bottom"/>
          </w:tcPr>
          <w:p>
            <w:pPr>
              <w:pStyle w:val="TableContents"/>
              <w:spacing w:before="0" w:after="0"/>
              <w:ind w:left="225" w:right="0" w:hanging="225"/>
              <w:rPr/>
            </w:pPr>
            <w:r>
              <w:rPr/>
              <w:t>Earning Per Share</w:t>
            </w:r>
          </w:p>
        </w:tc>
        <w:tc>
          <w:tcPr>
            <w:tcW w:w="45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right"/>
              <w:rPr>
                <w:b/>
              </w:rPr>
            </w:pPr>
            <w:r>
              <w:rPr>
                <w:b/>
              </w:rPr>
              <w:t>[***]</w:t>
            </w:r>
          </w:p>
        </w:tc>
        <w:tc>
          <w:tcPr>
            <w:tcW w:w="447"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b/>
              </w:rPr>
            </w:pPr>
            <w:r>
              <w:rPr>
                <w:b/>
              </w:rPr>
              <w:t>[***]</w:t>
            </w:r>
          </w:p>
        </w:tc>
        <w:tc>
          <w:tcPr>
            <w:tcW w:w="446"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b/>
              </w:rPr>
            </w:pPr>
            <w:r>
              <w:rPr>
                <w:b/>
              </w:rPr>
              <w:t>[***]</w:t>
            </w:r>
          </w:p>
        </w:tc>
        <w:tc>
          <w:tcPr>
            <w:tcW w:w="455" w:type="dxa"/>
            <w:tcBorders/>
            <w:shd w:fill="CCEEFF" w:val="clear"/>
            <w:vAlign w:val="bottom"/>
          </w:tcPr>
          <w:p>
            <w:pPr>
              <w:pStyle w:val="TableContents"/>
              <w:spacing w:before="0" w:after="283"/>
              <w:rPr/>
            </w:pPr>
            <w:r>
              <w:rPr/>
              <w:t> </w:t>
            </w:r>
          </w:p>
        </w:tc>
      </w:tr>
    </w:tbl>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FY 2008 Personal Objectives and Incentive Targets</w:t>
      </w:r>
      <w:r>
        <w:rPr>
          <w:rFonts w:ascii="Helvetica;Arial;sans-serif" w:hAnsi="Helvetica;Arial;sans-serif"/>
          <w:sz w:val="17"/>
        </w:rPr>
        <w:t xml:space="preserve">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Board Compensation Committee establishes all of the Incentive Compensation Plan objectives for the Chairman of the Board and the President/CEO. The Chairman of the Board and the President/CEO do not have Personal Objectives as defined by this Plan and will have their incentive award determined solely by the achievement of the overall Companys Financial Objectives as approved by the Board Compensation Committee.</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Executive Committee has established Departmental Objectives for FY2008 for all other participants. Based upon those Departmental Objectives, participants have been assigned Personal Objectives for the FY2008 Incentive Compensation Program. Except for the Company Objectives of the Chairman of the Board and the President/CEO, these Personal Objectives are subject to revisions based upon changing circumstances as deemed appropriate by the President/CEO throughout the year.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quality of the output of specific Personal Objectives will be a substantial portion of the payout rating. To ensure consistency in the scoring of the performance in achieving Personal Objectives by individual participants, the following definitions and payout structure are provided:</w:t>
            </w:r>
          </w:p>
        </w:tc>
      </w:tr>
    </w:tbl>
    <w:tbl>
      <w:tblPr>
        <w:tblW w:w="5000" w:type="pct"/>
        <w:jc w:val="center"/>
        <w:tblInd w:w="0" w:type="dxa"/>
        <w:tblCellMar>
          <w:top w:w="0" w:type="dxa"/>
          <w:left w:w="0" w:type="dxa"/>
          <w:bottom w:w="0" w:type="dxa"/>
          <w:right w:w="0" w:type="dxa"/>
        </w:tblCellMar>
      </w:tblPr>
      <w:tblGrid>
        <w:gridCol w:w="1223"/>
        <w:gridCol w:w="203"/>
        <w:gridCol w:w="3573"/>
        <w:gridCol w:w="203"/>
        <w:gridCol w:w="510"/>
        <w:gridCol w:w="203"/>
        <w:gridCol w:w="4290"/>
      </w:tblGrid>
      <w:tr>
        <w:trPr/>
        <w:tc>
          <w:tcPr>
            <w:tcW w:w="122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57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4290" w:type="dxa"/>
            <w:tcBorders/>
            <w:shd w:fill="auto" w:val="clear"/>
            <w:vAlign w:val="bottom"/>
          </w:tcPr>
          <w:p>
            <w:pPr>
              <w:pStyle w:val="TableContents"/>
              <w:spacing w:before="0" w:after="283"/>
              <w:rPr/>
            </w:pPr>
            <w:r>
              <w:rPr/>
              <w:t> </w:t>
            </w:r>
          </w:p>
        </w:tc>
      </w:tr>
      <w:tr>
        <w:trPr/>
        <w:tc>
          <w:tcPr>
            <w:tcW w:w="1223" w:type="dxa"/>
            <w:tcBorders/>
            <w:shd w:fill="auto" w:val="clear"/>
          </w:tcPr>
          <w:p>
            <w:pPr>
              <w:pStyle w:val="TableContents"/>
              <w:spacing w:before="0" w:after="0"/>
              <w:ind w:left="0" w:right="0" w:hanging="0"/>
              <w:jc w:val="right"/>
              <w:rPr/>
            </w:pPr>
            <w:r>
              <w:rPr/>
              <w:t xml:space="preserve">* </w:t>
            </w:r>
          </w:p>
        </w:tc>
        <w:tc>
          <w:tcPr>
            <w:tcW w:w="203"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 xml:space="preserve">Achieved or exceeds the target goal </w:t>
            </w:r>
          </w:p>
        </w:tc>
        <w:tc>
          <w:tcPr>
            <w:tcW w:w="203"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4290" w:type="dxa"/>
            <w:tcBorders/>
            <w:shd w:fill="auto" w:val="clear"/>
          </w:tcPr>
          <w:p>
            <w:pPr>
              <w:pStyle w:val="TableContents"/>
              <w:spacing w:before="0" w:after="283"/>
              <w:jc w:val="left"/>
              <w:rPr/>
            </w:pPr>
            <w:r>
              <w:rPr/>
              <w:t>Payout 100%</w:t>
            </w:r>
          </w:p>
        </w:tc>
      </w:tr>
      <w:tr>
        <w:trPr/>
        <w:tc>
          <w:tcPr>
            <w:tcW w:w="1223" w:type="dxa"/>
            <w:tcBorders/>
            <w:shd w:fill="auto" w:val="clear"/>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4290" w:type="dxa"/>
            <w:tcBorders/>
            <w:shd w:fill="auto" w:val="clear"/>
          </w:tcPr>
          <w:p>
            <w:pPr>
              <w:pStyle w:val="TableContents"/>
              <w:spacing w:before="0" w:after="283"/>
              <w:jc w:val="left"/>
              <w:rPr/>
            </w:pPr>
            <w:r>
              <w:rPr/>
              <w:t> </w:t>
            </w:r>
          </w:p>
        </w:tc>
      </w:tr>
      <w:tr>
        <w:trPr/>
        <w:tc>
          <w:tcPr>
            <w:tcW w:w="1223" w:type="dxa"/>
            <w:tcBorders/>
            <w:shd w:fill="auto" w:val="clear"/>
          </w:tcPr>
          <w:p>
            <w:pPr>
              <w:pStyle w:val="TableContents"/>
              <w:spacing w:before="0" w:after="0"/>
              <w:ind w:left="0" w:right="0" w:hanging="0"/>
              <w:jc w:val="right"/>
              <w:rPr/>
            </w:pPr>
            <w:r>
              <w:rPr/>
              <w:t xml:space="preserve">* </w:t>
            </w:r>
          </w:p>
        </w:tc>
        <w:tc>
          <w:tcPr>
            <w:tcW w:w="203"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 xml:space="preserve">Slight miss of the target goal </w:t>
            </w:r>
          </w:p>
        </w:tc>
        <w:tc>
          <w:tcPr>
            <w:tcW w:w="203"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4290" w:type="dxa"/>
            <w:tcBorders/>
            <w:shd w:fill="auto" w:val="clear"/>
          </w:tcPr>
          <w:p>
            <w:pPr>
              <w:pStyle w:val="TableContents"/>
              <w:spacing w:before="0" w:after="283"/>
              <w:jc w:val="left"/>
              <w:rPr/>
            </w:pPr>
            <w:r>
              <w:rPr/>
              <w:t>Payout 50% to 75%</w:t>
            </w:r>
          </w:p>
        </w:tc>
      </w:tr>
      <w:tr>
        <w:trPr/>
        <w:tc>
          <w:tcPr>
            <w:tcW w:w="1223" w:type="dxa"/>
            <w:tcBorders/>
            <w:shd w:fill="auto" w:val="clear"/>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4290" w:type="dxa"/>
            <w:tcBorders/>
            <w:shd w:fill="auto" w:val="clear"/>
          </w:tcPr>
          <w:p>
            <w:pPr>
              <w:pStyle w:val="TableContents"/>
              <w:spacing w:before="0" w:after="283"/>
              <w:jc w:val="left"/>
              <w:rPr/>
            </w:pPr>
            <w:r>
              <w:rPr/>
              <w:t> </w:t>
            </w:r>
          </w:p>
        </w:tc>
      </w:tr>
      <w:tr>
        <w:trPr/>
        <w:tc>
          <w:tcPr>
            <w:tcW w:w="1223" w:type="dxa"/>
            <w:tcBorders/>
            <w:shd w:fill="auto" w:val="clear"/>
          </w:tcPr>
          <w:p>
            <w:pPr>
              <w:pStyle w:val="TableContents"/>
              <w:spacing w:before="0" w:after="0"/>
              <w:ind w:left="0" w:right="0" w:hanging="0"/>
              <w:jc w:val="right"/>
              <w:rPr/>
            </w:pPr>
            <w:r>
              <w:rPr/>
              <w:t xml:space="preserve">* </w:t>
            </w:r>
          </w:p>
        </w:tc>
        <w:tc>
          <w:tcPr>
            <w:tcW w:w="203"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jc w:val="left"/>
              <w:rPr/>
            </w:pPr>
            <w:r>
              <w:rPr/>
              <w:t xml:space="preserve">Miss minimum target goal </w:t>
            </w:r>
          </w:p>
        </w:tc>
        <w:tc>
          <w:tcPr>
            <w:tcW w:w="203" w:type="dxa"/>
            <w:tcBorders/>
            <w:shd w:fill="auto" w:val="clear"/>
            <w:vAlign w:val="bottom"/>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4290" w:type="dxa"/>
            <w:tcBorders/>
            <w:shd w:fill="auto" w:val="clear"/>
          </w:tcPr>
          <w:p>
            <w:pPr>
              <w:pStyle w:val="TableContents"/>
              <w:spacing w:before="0" w:after="283"/>
              <w:jc w:val="left"/>
              <w:rPr/>
            </w:pPr>
            <w:r>
              <w:rPr/>
              <w:t>Payout zero</w:t>
            </w:r>
          </w:p>
        </w:tc>
      </w:tr>
    </w:tbl>
    <w:tbl>
      <w:tblPr>
        <w:tblW w:w="5000" w:type="pct"/>
        <w:jc w:val="left"/>
        <w:tblInd w:w="0" w:type="dxa"/>
        <w:tblCellMar>
          <w:top w:w="0" w:type="dxa"/>
          <w:left w:w="0" w:type="dxa"/>
          <w:bottom w:w="0" w:type="dxa"/>
          <w:right w:w="0" w:type="dxa"/>
        </w:tblCellMar>
      </w:tblPr>
      <w:tblGrid>
        <w:gridCol w:w="203"/>
        <w:gridCol w:w="304"/>
        <w:gridCol w:w="102"/>
        <w:gridCol w:w="9596"/>
      </w:tblGrid>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Personal Objectives portion of the incentive award is maximized at [***] of the allocated percentage. For participants, other than the Chairman of the Board and the President/CEO, the Executive Committee will determine scores to be given.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 xml:space="preserve">The relative weighting of Company and Personal Objectives will be determined based upon the individual position and the amount of control they have on the achievement of the Objectives. Therefore, individual participants will have different weighting between Company and Personal Objectives, as shown in </w:t>
            </w:r>
            <w:r>
              <w:rPr>
                <w:b/>
              </w:rPr>
              <w:t>Schedule A.</w:t>
            </w:r>
          </w:p>
        </w:tc>
      </w:tr>
    </w:tbl>
    <w:p>
      <w:pPr>
        <w:pStyle w:val="TextBody"/>
        <w:spacing w:before="360" w:after="283"/>
        <w:jc w:val="center"/>
        <w:rPr>
          <w:rFonts w:ascii="Helvetica;Arial;sans-serif" w:hAnsi="Helvetica;Arial;sans-serif"/>
          <w:sz w:val="17"/>
        </w:rPr>
      </w:pPr>
      <w:r>
        <w:rPr>
          <w:rFonts w:ascii="Helvetica;Arial;sans-serif" w:hAnsi="Helvetica;Arial;sans-serif"/>
          <w:b/>
          <w:i/>
          <w:sz w:val="17"/>
          <w:u w:val="single"/>
        </w:rPr>
        <w:t>Calculation of Incentive Compensation Payout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sz w:val="17"/>
        </w:rPr>
        <w:t>The Company Objectives and the Personal Objectives will be scored based upon the actual results achieved for the Program year. Each participants actual payout will be determined using the formula below:</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356"/>
        <w:gridCol w:w="103"/>
        <w:gridCol w:w="3982"/>
        <w:gridCol w:w="361"/>
        <w:gridCol w:w="499"/>
        <w:gridCol w:w="174"/>
        <w:gridCol w:w="574"/>
        <w:gridCol w:w="174"/>
        <w:gridCol w:w="3982"/>
      </w:tblGrid>
      <w:tr>
        <w:trPr/>
        <w:tc>
          <w:tcPr>
            <w:tcW w:w="35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rPr/>
            </w:pPr>
            <w:r>
              <w:rPr/>
              <w:t> </w:t>
            </w:r>
          </w:p>
        </w:tc>
      </w:tr>
      <w:tr>
        <w:trPr/>
        <w:tc>
          <w:tcPr>
            <w:tcW w:w="356" w:type="dxa"/>
            <w:tcBorders/>
            <w:shd w:fill="auto" w:val="clear"/>
          </w:tcPr>
          <w:p>
            <w:pPr>
              <w:pStyle w:val="TableContents"/>
              <w:spacing w:before="0" w:after="283"/>
              <w:jc w:val="left"/>
              <w:rPr/>
            </w:pPr>
            <w:r>
              <w:rPr/>
              <w:t xml:space="preserve">A.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xml:space="preserve">% Company Objective Participation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t xml:space="preserve">___%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t xml:space="preserve">(A1)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b/>
              </w:rPr>
              <w:t>(</w:t>
            </w:r>
            <w:r>
              <w:rPr/>
              <w:t>assigned, see personal documentation)</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t>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t> </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xml:space="preserve">Matrix Rating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t xml:space="preserve">___%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t xml:space="preserve">(A2)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t>(Company financial goal; percent achievement)</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t>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t> </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b/>
              </w:rPr>
              <w:t>(A1 x A2) =</w:t>
            </w:r>
            <w:r>
              <w:rPr/>
              <w:t xml:space="preserve">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b/>
              </w:rPr>
              <w:t>___%</w:t>
            </w:r>
            <w:r>
              <w:rPr/>
              <w:t xml:space="preserve">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b/>
              </w:rPr>
              <w:t>(A3)</w:t>
            </w:r>
            <w:r>
              <w:rPr/>
              <w:t xml:space="preserve">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b/>
              </w:rPr>
            </w:pPr>
            <w:r>
              <w:rPr>
                <w:b/>
              </w:rPr>
              <w:t>(Company Objective Factor)</w:t>
            </w:r>
          </w:p>
        </w:tc>
      </w:tr>
      <w:tr>
        <w:trPr/>
        <w:tc>
          <w:tcPr>
            <w:tcW w:w="356" w:type="dxa"/>
            <w:tcBorders/>
            <w:shd w:fill="auto" w:val="clear"/>
          </w:tcPr>
          <w:p>
            <w:pPr>
              <w:pStyle w:val="TableContents"/>
              <w:spacing w:before="0" w:after="283"/>
              <w:jc w:val="left"/>
              <w:rPr/>
            </w:pPr>
            <w:r>
              <w:rPr/>
              <w:t xml:space="preserve">B.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xml:space="preserve">% Personal Objectives Participation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t xml:space="preserve">___%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t xml:space="preserve">(B1)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t>(assigned, see personal documentation)</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t>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t> </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xml:space="preserve">Weighted Rating for Personal Objectives </w:t>
            </w:r>
          </w:p>
        </w:tc>
        <w:tc>
          <w:tcPr>
            <w:tcW w:w="36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xml:space="preserve">___% </w:t>
            </w:r>
          </w:p>
        </w:tc>
        <w:tc>
          <w:tcPr>
            <w:tcW w:w="174" w:type="dxa"/>
            <w:tcBorders/>
            <w:shd w:fill="auto" w:val="clear"/>
            <w:vAlign w:val="bottom"/>
          </w:tcPr>
          <w:p>
            <w:pPr>
              <w:pStyle w:val="TableContents"/>
              <w:spacing w:before="0" w:after="283"/>
              <w:rPr/>
            </w:pPr>
            <w:r>
              <w:rPr/>
              <w:t> </w:t>
            </w:r>
          </w:p>
        </w:tc>
        <w:tc>
          <w:tcPr>
            <w:tcW w:w="574" w:type="dxa"/>
            <w:tcBorders/>
            <w:shd w:fill="auto" w:val="clear"/>
          </w:tcPr>
          <w:p>
            <w:pPr>
              <w:pStyle w:val="TableContents"/>
              <w:spacing w:before="0" w:after="283"/>
              <w:jc w:val="center"/>
              <w:rPr/>
            </w:pPr>
            <w:r>
              <w:rPr/>
              <w:t xml:space="preserve">(B2)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t>(sum of all personal objective ratings divided by the number of assigned objectives)</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t>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t> </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b/>
              </w:rPr>
              <w:t>(B1 x B2) =</w:t>
            </w:r>
            <w:r>
              <w:rPr/>
              <w:t xml:space="preserve">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b/>
              </w:rPr>
              <w:t>___%</w:t>
            </w:r>
            <w:r>
              <w:rPr/>
              <w:t xml:space="preserve">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b/>
              </w:rPr>
              <w:t>(B3)</w:t>
            </w:r>
            <w:r>
              <w:rPr/>
              <w:t xml:space="preserve">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b/>
              </w:rPr>
            </w:pPr>
            <w:r>
              <w:rPr>
                <w:b/>
              </w:rPr>
              <w:t>(Personal Objective Factor)</w:t>
            </w:r>
          </w:p>
        </w:tc>
      </w:tr>
      <w:tr>
        <w:trPr/>
        <w:tc>
          <w:tcPr>
            <w:tcW w:w="356" w:type="dxa"/>
            <w:tcBorders/>
            <w:shd w:fill="auto" w:val="clear"/>
          </w:tcPr>
          <w:p>
            <w:pPr>
              <w:pStyle w:val="TableContents"/>
              <w:spacing w:before="0" w:after="283"/>
              <w:jc w:val="left"/>
              <w:rPr/>
            </w:pPr>
            <w:r>
              <w:rPr/>
              <w:t xml:space="preserve">C.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xml:space="preserve">Base Salary as of October 1, 2007 </w:t>
            </w:r>
          </w:p>
        </w:tc>
        <w:tc>
          <w:tcPr>
            <w:tcW w:w="361" w:type="dxa"/>
            <w:tcBorders/>
            <w:shd w:fill="auto" w:val="clear"/>
            <w:vAlign w:val="bottom"/>
          </w:tcPr>
          <w:p>
            <w:pPr>
              <w:pStyle w:val="TableContents"/>
              <w:spacing w:before="0" w:after="283"/>
              <w:jc w:val="right"/>
              <w:rPr/>
            </w:pPr>
            <w:r>
              <w:rPr/>
              <w:t>$</w:t>
            </w:r>
          </w:p>
        </w:tc>
        <w:tc>
          <w:tcPr>
            <w:tcW w:w="499" w:type="dxa"/>
            <w:tcBorders/>
            <w:shd w:fill="auto" w:val="clear"/>
            <w:vAlign w:val="bottom"/>
          </w:tcPr>
          <w:p>
            <w:pPr>
              <w:pStyle w:val="TableContents"/>
              <w:spacing w:before="0" w:after="283"/>
              <w:jc w:val="left"/>
              <w:rPr/>
            </w:pPr>
            <w:r>
              <w:rPr/>
              <w:t xml:space="preserve">___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t>(C1)</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t> </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t>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t> </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xml:space="preserve">Participation Factor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t xml:space="preserve">___%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t xml:space="preserve">(C2)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t>(Sum of A3 + B3)</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t> </w:t>
            </w:r>
          </w:p>
        </w:tc>
        <w:tc>
          <w:tcPr>
            <w:tcW w:w="36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t>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pPr>
            <w:r>
              <w:rPr/>
              <w:t> </w:t>
            </w:r>
          </w:p>
        </w:tc>
      </w:tr>
      <w:tr>
        <w:trPr/>
        <w:tc>
          <w:tcPr>
            <w:tcW w:w="356"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3982" w:type="dxa"/>
            <w:tcBorders/>
            <w:shd w:fill="auto" w:val="clear"/>
          </w:tcPr>
          <w:p>
            <w:pPr>
              <w:pStyle w:val="TableContents"/>
              <w:spacing w:before="0" w:after="0"/>
              <w:ind w:left="0" w:right="0" w:hanging="0"/>
              <w:jc w:val="right"/>
              <w:rPr/>
            </w:pPr>
            <w:r>
              <w:rPr>
                <w:b/>
              </w:rPr>
              <w:t>(C1 x C2) =</w:t>
            </w:r>
            <w:r>
              <w:rPr/>
              <w:t xml:space="preserve"> </w:t>
            </w:r>
          </w:p>
        </w:tc>
        <w:tc>
          <w:tcPr>
            <w:tcW w:w="361" w:type="dxa"/>
            <w:tcBorders/>
            <w:shd w:fill="auto" w:val="clear"/>
            <w:vAlign w:val="bottom"/>
          </w:tcPr>
          <w:p>
            <w:pPr>
              <w:pStyle w:val="TableContents"/>
              <w:spacing w:before="0" w:after="283"/>
              <w:jc w:val="right"/>
              <w:rPr/>
            </w:pPr>
            <w:r>
              <w:rPr/>
              <w:t>$</w:t>
            </w:r>
          </w:p>
        </w:tc>
        <w:tc>
          <w:tcPr>
            <w:tcW w:w="499" w:type="dxa"/>
            <w:tcBorders/>
            <w:shd w:fill="auto" w:val="clear"/>
            <w:vAlign w:val="bottom"/>
          </w:tcPr>
          <w:p>
            <w:pPr>
              <w:pStyle w:val="TableContents"/>
              <w:spacing w:before="0" w:after="283"/>
              <w:jc w:val="left"/>
              <w:rPr/>
            </w:pPr>
            <w:r>
              <w:rPr>
                <w:b/>
              </w:rPr>
              <w:t>___</w:t>
            </w:r>
            <w:r>
              <w:rPr/>
              <w:t xml:space="preserve"> </w:t>
            </w:r>
          </w:p>
        </w:tc>
        <w:tc>
          <w:tcPr>
            <w:tcW w:w="174"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center"/>
              <w:rPr/>
            </w:pPr>
            <w:r>
              <w:rPr>
                <w:b/>
              </w:rPr>
              <w:t>(C3)</w:t>
            </w:r>
            <w:r>
              <w:rPr/>
              <w:t xml:space="preserve"> </w:t>
            </w:r>
          </w:p>
        </w:tc>
        <w:tc>
          <w:tcPr>
            <w:tcW w:w="174" w:type="dxa"/>
            <w:tcBorders/>
            <w:shd w:fill="auto" w:val="clear"/>
            <w:vAlign w:val="bottom"/>
          </w:tcPr>
          <w:p>
            <w:pPr>
              <w:pStyle w:val="TableContents"/>
              <w:spacing w:before="0" w:after="283"/>
              <w:rPr/>
            </w:pPr>
            <w:r>
              <w:rPr/>
              <w:t> </w:t>
            </w:r>
          </w:p>
        </w:tc>
        <w:tc>
          <w:tcPr>
            <w:tcW w:w="3982" w:type="dxa"/>
            <w:tcBorders/>
            <w:shd w:fill="auto" w:val="clear"/>
            <w:vAlign w:val="bottom"/>
          </w:tcPr>
          <w:p>
            <w:pPr>
              <w:pStyle w:val="TableContents"/>
              <w:spacing w:before="0" w:after="283"/>
              <w:jc w:val="left"/>
              <w:rPr>
                <w:b/>
              </w:rPr>
            </w:pPr>
            <w:r>
              <w:rPr>
                <w:b/>
              </w:rPr>
              <w:t>Incentive Payout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Helvetica;Arial;sans-serif" w:hAnsi="Helvetica;Arial;sans-serif"/>
          <w:sz w:val="17"/>
        </w:rPr>
      </w:pPr>
      <w:r>
        <w:rPr>
          <w:rFonts w:ascii="Helvetica;Arial;sans-serif" w:hAnsi="Helvetica;Arial;sans-serif"/>
          <w:b/>
          <w:sz w:val="17"/>
          <w:u w:val="single"/>
        </w:rPr>
        <w:t>Calculation Example:</w:t>
      </w:r>
      <w:r>
        <w:rPr>
          <w:rFonts w:ascii="Helvetica;Arial;sans-serif" w:hAnsi="Helvetica;Arial;sans-serif"/>
          <w:sz w:val="17"/>
        </w:rPr>
        <w:t xml:space="preserve">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Participant has a base salary = $60,000</w:t>
            </w:r>
          </w:p>
        </w:tc>
      </w:tr>
      <w:tr>
        <w:trPr/>
        <w:tc>
          <w:tcPr>
            <w:tcW w:w="304" w:type="dxa"/>
            <w:tcBorders/>
            <w:shd w:fill="auto" w:val="clear"/>
            <w:vAlign w:val="center"/>
          </w:tcPr>
          <w:p>
            <w:pPr>
              <w:pStyle w:val="TableContents"/>
              <w:spacing w:before="0" w:after="283"/>
              <w:rPr/>
            </w:pPr>
            <w:r>
              <w:rPr/>
              <w:t> </w:t>
            </w:r>
          </w:p>
        </w:tc>
        <w:tc>
          <w:tcPr>
            <w:tcW w:w="9901" w:type="dxa"/>
            <w:gridSpan w:val="2"/>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Participant has a Company Objective incentive potential of 5% of Base Salary</w:t>
            </w:r>
          </w:p>
        </w:tc>
      </w:tr>
      <w:tr>
        <w:trPr/>
        <w:tc>
          <w:tcPr>
            <w:tcW w:w="304" w:type="dxa"/>
            <w:tcBorders/>
            <w:shd w:fill="auto" w:val="clear"/>
            <w:vAlign w:val="center"/>
          </w:tcPr>
          <w:p>
            <w:pPr>
              <w:pStyle w:val="TableContents"/>
              <w:spacing w:before="0" w:after="283"/>
              <w:rPr/>
            </w:pPr>
            <w:r>
              <w:rPr/>
              <w:t> </w:t>
            </w:r>
          </w:p>
        </w:tc>
        <w:tc>
          <w:tcPr>
            <w:tcW w:w="9901" w:type="dxa"/>
            <w:gridSpan w:val="2"/>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Participant has a Personal Objective incentive potential of 10% of Base Salary</w:t>
            </w:r>
          </w:p>
        </w:tc>
      </w:tr>
      <w:tr>
        <w:trPr/>
        <w:tc>
          <w:tcPr>
            <w:tcW w:w="304" w:type="dxa"/>
            <w:tcBorders/>
            <w:shd w:fill="auto" w:val="clear"/>
            <w:vAlign w:val="center"/>
          </w:tcPr>
          <w:p>
            <w:pPr>
              <w:pStyle w:val="TableContents"/>
              <w:spacing w:before="0" w:after="283"/>
              <w:rPr/>
            </w:pPr>
            <w:r>
              <w:rPr/>
              <w:t> </w:t>
            </w:r>
          </w:p>
        </w:tc>
        <w:tc>
          <w:tcPr>
            <w:tcW w:w="9901" w:type="dxa"/>
            <w:gridSpan w:val="2"/>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The Company achieves Net Income resulting in a 150% financial payout</w:t>
            </w:r>
          </w:p>
        </w:tc>
      </w:tr>
      <w:tr>
        <w:trPr/>
        <w:tc>
          <w:tcPr>
            <w:tcW w:w="304" w:type="dxa"/>
            <w:tcBorders/>
            <w:shd w:fill="auto" w:val="clear"/>
            <w:vAlign w:val="center"/>
          </w:tcPr>
          <w:p>
            <w:pPr>
              <w:pStyle w:val="TableContents"/>
              <w:spacing w:before="0" w:after="283"/>
              <w:rPr/>
            </w:pPr>
            <w:r>
              <w:rPr/>
              <w:t> </w:t>
            </w:r>
          </w:p>
        </w:tc>
        <w:tc>
          <w:tcPr>
            <w:tcW w:w="9901" w:type="dxa"/>
            <w:gridSpan w:val="2"/>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Participant achieved 75% of overall weighting for Personal Objectives</w:t>
            </w:r>
          </w:p>
        </w:tc>
      </w:tr>
    </w:tbl>
    <w:tbl>
      <w:tblPr>
        <w:tblW w:w="5000" w:type="pct"/>
        <w:jc w:val="center"/>
        <w:tblInd w:w="0" w:type="dxa"/>
        <w:tblCellMar>
          <w:top w:w="0" w:type="dxa"/>
          <w:left w:w="0" w:type="dxa"/>
          <w:bottom w:w="0" w:type="dxa"/>
          <w:right w:w="0" w:type="dxa"/>
        </w:tblCellMar>
      </w:tblPr>
      <w:tblGrid>
        <w:gridCol w:w="430"/>
        <w:gridCol w:w="183"/>
        <w:gridCol w:w="2715"/>
        <w:gridCol w:w="183"/>
        <w:gridCol w:w="321"/>
        <w:gridCol w:w="687"/>
        <w:gridCol w:w="431"/>
        <w:gridCol w:w="183"/>
        <w:gridCol w:w="684"/>
        <w:gridCol w:w="183"/>
        <w:gridCol w:w="4205"/>
      </w:tblGrid>
      <w:tr>
        <w:trPr/>
        <w:tc>
          <w:tcPr>
            <w:tcW w:w="43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71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4205" w:type="dxa"/>
            <w:tcBorders/>
            <w:shd w:fill="auto" w:val="clear"/>
            <w:vAlign w:val="bottom"/>
          </w:tcPr>
          <w:p>
            <w:pPr>
              <w:pStyle w:val="TableContents"/>
              <w:spacing w:before="0" w:after="283"/>
              <w:rPr/>
            </w:pPr>
            <w:r>
              <w:rPr/>
              <w:t> </w:t>
            </w:r>
          </w:p>
        </w:tc>
      </w:tr>
      <w:tr>
        <w:trPr/>
        <w:tc>
          <w:tcPr>
            <w:tcW w:w="430" w:type="dxa"/>
            <w:tcBorders/>
            <w:shd w:fill="auto" w:val="clear"/>
          </w:tcPr>
          <w:p>
            <w:pPr>
              <w:pStyle w:val="TableContents"/>
              <w:spacing w:before="0" w:after="283"/>
              <w:jc w:val="left"/>
              <w:rPr/>
            </w:pPr>
            <w:r>
              <w:rPr/>
              <w:t xml:space="preserve">A.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xml:space="preserve">Company Obj. Potential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pPr>
            <w:r>
              <w:rPr/>
              <w:t> </w:t>
            </w:r>
          </w:p>
        </w:tc>
        <w:tc>
          <w:tcPr>
            <w:tcW w:w="687" w:type="dxa"/>
            <w:tcBorders/>
            <w:shd w:fill="auto" w:val="clear"/>
            <w:vAlign w:val="bottom"/>
          </w:tcPr>
          <w:p>
            <w:pPr>
              <w:pStyle w:val="TableContents"/>
              <w:spacing w:before="0" w:after="283"/>
              <w:jc w:val="right"/>
              <w:rPr>
                <w:b/>
              </w:rPr>
            </w:pPr>
            <w:r>
              <w:rPr>
                <w:b/>
              </w:rPr>
              <w:t>5</w:t>
            </w:r>
          </w:p>
        </w:tc>
        <w:tc>
          <w:tcPr>
            <w:tcW w:w="431" w:type="dxa"/>
            <w:tcBorders/>
            <w:shd w:fill="auto" w:val="clear"/>
            <w:vAlign w:val="bottom"/>
          </w:tcPr>
          <w:p>
            <w:pPr>
              <w:pStyle w:val="TableContents"/>
              <w:spacing w:before="0" w:after="283"/>
              <w:rPr>
                <w:b/>
              </w:rPr>
            </w:pPr>
            <w:r>
              <w:rPr>
                <w:b/>
              </w:rPr>
              <w:t>%</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 xml:space="preserve">(A1) </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pPr>
            <w:r>
              <w:rPr>
                <w:b/>
              </w:rPr>
              <w:t>(</w:t>
            </w:r>
            <w:r>
              <w:rPr/>
              <w:t>assigned, see personal documentation)</w:t>
            </w:r>
          </w:p>
        </w:tc>
      </w:tr>
      <w:tr>
        <w:trPr/>
        <w:tc>
          <w:tcPr>
            <w:tcW w:w="430" w:type="dxa"/>
            <w:tcBorders/>
            <w:shd w:fill="auto" w:val="clear"/>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pPr>
            <w:r>
              <w:rPr/>
              <w:t> </w:t>
            </w:r>
          </w:p>
        </w:tc>
        <w:tc>
          <w:tcPr>
            <w:tcW w:w="687" w:type="dxa"/>
            <w:tcBorders/>
            <w:shd w:fill="auto" w:val="clear"/>
            <w:vAlign w:val="bottom"/>
          </w:tcPr>
          <w:p>
            <w:pPr>
              <w:pStyle w:val="TableContents"/>
              <w:spacing w:before="0" w:after="283"/>
              <w:jc w:val="right"/>
              <w:rPr/>
            </w:pPr>
            <w:r>
              <w:rPr/>
              <w:t> </w:t>
            </w:r>
          </w:p>
        </w:tc>
        <w:tc>
          <w:tcPr>
            <w:tcW w:w="43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 </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pPr>
            <w:r>
              <w:rPr/>
              <w:t> </w:t>
            </w:r>
          </w:p>
        </w:tc>
      </w:tr>
      <w:tr>
        <w:trPr/>
        <w:tc>
          <w:tcPr>
            <w:tcW w:w="430" w:type="dxa"/>
            <w:tcBorders/>
            <w:shd w:fill="auto" w:val="clear"/>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xml:space="preserve">Company Matrix Rating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pPr>
            <w:r>
              <w:rPr/>
              <w:t> </w:t>
            </w:r>
          </w:p>
        </w:tc>
        <w:tc>
          <w:tcPr>
            <w:tcW w:w="687" w:type="dxa"/>
            <w:tcBorders/>
            <w:shd w:fill="auto" w:val="clear"/>
            <w:vAlign w:val="bottom"/>
          </w:tcPr>
          <w:p>
            <w:pPr>
              <w:pStyle w:val="TableContents"/>
              <w:spacing w:before="0" w:after="283"/>
              <w:jc w:val="right"/>
              <w:rPr>
                <w:b/>
              </w:rPr>
            </w:pPr>
            <w:r>
              <w:rPr>
                <w:b/>
              </w:rPr>
              <w:t>150</w:t>
            </w:r>
          </w:p>
        </w:tc>
        <w:tc>
          <w:tcPr>
            <w:tcW w:w="431" w:type="dxa"/>
            <w:tcBorders/>
            <w:shd w:fill="auto" w:val="clear"/>
            <w:vAlign w:val="bottom"/>
          </w:tcPr>
          <w:p>
            <w:pPr>
              <w:pStyle w:val="TableContents"/>
              <w:spacing w:before="0" w:after="283"/>
              <w:rPr>
                <w:b/>
              </w:rPr>
            </w:pPr>
            <w:r>
              <w:rPr>
                <w:b/>
              </w:rPr>
              <w:t>%</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(A2)</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pPr>
            <w:r>
              <w:rPr/>
              <w:t> </w:t>
            </w:r>
          </w:p>
        </w:tc>
      </w:tr>
      <w:tr>
        <w:trPr/>
        <w:tc>
          <w:tcPr>
            <w:tcW w:w="430" w:type="dxa"/>
            <w:tcBorders/>
            <w:shd w:fill="auto" w:val="clear"/>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pPr>
            <w:r>
              <w:rPr/>
              <w:t> </w:t>
            </w:r>
          </w:p>
        </w:tc>
        <w:tc>
          <w:tcPr>
            <w:tcW w:w="687" w:type="dxa"/>
            <w:tcBorders/>
            <w:shd w:fill="auto" w:val="clear"/>
            <w:vAlign w:val="bottom"/>
          </w:tcPr>
          <w:p>
            <w:pPr>
              <w:pStyle w:val="TableContents"/>
              <w:spacing w:before="0" w:after="283"/>
              <w:jc w:val="right"/>
              <w:rPr/>
            </w:pPr>
            <w:r>
              <w:rPr/>
              <w:t> </w:t>
            </w:r>
          </w:p>
        </w:tc>
        <w:tc>
          <w:tcPr>
            <w:tcW w:w="43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 </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pPr>
            <w:r>
              <w:rPr/>
              <w:t> </w:t>
            </w:r>
          </w:p>
        </w:tc>
      </w:tr>
      <w:tr>
        <w:trPr/>
        <w:tc>
          <w:tcPr>
            <w:tcW w:w="430" w:type="dxa"/>
            <w:tcBorders/>
            <w:shd w:fill="auto" w:val="clear"/>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xml:space="preserve">(A1 x A2) =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pPr>
            <w:r>
              <w:rPr/>
              <w:t> </w:t>
            </w:r>
          </w:p>
        </w:tc>
        <w:tc>
          <w:tcPr>
            <w:tcW w:w="687" w:type="dxa"/>
            <w:tcBorders/>
            <w:shd w:fill="auto" w:val="clear"/>
            <w:vAlign w:val="bottom"/>
          </w:tcPr>
          <w:p>
            <w:pPr>
              <w:pStyle w:val="TableContents"/>
              <w:spacing w:before="0" w:after="283"/>
              <w:jc w:val="right"/>
              <w:rPr>
                <w:b/>
              </w:rPr>
            </w:pPr>
            <w:r>
              <w:rPr>
                <w:b/>
              </w:rPr>
              <w:t>7.5</w:t>
            </w:r>
          </w:p>
        </w:tc>
        <w:tc>
          <w:tcPr>
            <w:tcW w:w="431" w:type="dxa"/>
            <w:tcBorders/>
            <w:shd w:fill="auto" w:val="clear"/>
            <w:vAlign w:val="bottom"/>
          </w:tcPr>
          <w:p>
            <w:pPr>
              <w:pStyle w:val="TableContents"/>
              <w:spacing w:before="0" w:after="283"/>
              <w:rPr>
                <w:b/>
              </w:rPr>
            </w:pPr>
            <w:r>
              <w:rPr>
                <w:b/>
              </w:rPr>
              <w:t>%</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 xml:space="preserve">(A3) </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b/>
              </w:rPr>
            </w:pPr>
            <w:r>
              <w:rPr>
                <w:b/>
              </w:rPr>
              <w:t>(Company Factor)</w:t>
            </w:r>
          </w:p>
        </w:tc>
      </w:tr>
      <w:tr>
        <w:trPr/>
        <w:tc>
          <w:tcPr>
            <w:tcW w:w="430" w:type="dxa"/>
            <w:tcBorders/>
            <w:shd w:fill="auto" w:val="clear"/>
          </w:tcPr>
          <w:p>
            <w:pPr>
              <w:pStyle w:val="TableContents"/>
              <w:spacing w:before="0" w:after="283"/>
              <w:jc w:val="left"/>
              <w:rPr/>
            </w:pPr>
            <w:r>
              <w:rPr/>
              <w:t xml:space="preserve">B.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xml:space="preserve">Personal Obj. Potential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pPr>
            <w:r>
              <w:rPr/>
              <w:t> </w:t>
            </w:r>
          </w:p>
        </w:tc>
        <w:tc>
          <w:tcPr>
            <w:tcW w:w="687" w:type="dxa"/>
            <w:tcBorders/>
            <w:shd w:fill="auto" w:val="clear"/>
            <w:vAlign w:val="bottom"/>
          </w:tcPr>
          <w:p>
            <w:pPr>
              <w:pStyle w:val="TableContents"/>
              <w:spacing w:before="0" w:after="283"/>
              <w:jc w:val="right"/>
              <w:rPr>
                <w:b/>
              </w:rPr>
            </w:pPr>
            <w:r>
              <w:rPr>
                <w:b/>
              </w:rPr>
              <w:t>10</w:t>
            </w:r>
          </w:p>
        </w:tc>
        <w:tc>
          <w:tcPr>
            <w:tcW w:w="431" w:type="dxa"/>
            <w:tcBorders/>
            <w:shd w:fill="auto" w:val="clear"/>
            <w:vAlign w:val="bottom"/>
          </w:tcPr>
          <w:p>
            <w:pPr>
              <w:pStyle w:val="TableContents"/>
              <w:spacing w:before="0" w:after="283"/>
              <w:rPr>
                <w:b/>
              </w:rPr>
            </w:pPr>
            <w:r>
              <w:rPr>
                <w:b/>
              </w:rPr>
              <w:t>%</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 xml:space="preserve">(B1) </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pPr>
            <w:r>
              <w:rPr/>
              <w:t>(assigned, see personal documentation)</w:t>
            </w:r>
          </w:p>
        </w:tc>
      </w:tr>
      <w:tr>
        <w:trPr/>
        <w:tc>
          <w:tcPr>
            <w:tcW w:w="430" w:type="dxa"/>
            <w:tcBorders/>
            <w:shd w:fill="auto" w:val="clear"/>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pPr>
            <w:r>
              <w:rPr/>
              <w:t> </w:t>
            </w:r>
          </w:p>
        </w:tc>
        <w:tc>
          <w:tcPr>
            <w:tcW w:w="687" w:type="dxa"/>
            <w:tcBorders/>
            <w:shd w:fill="auto" w:val="clear"/>
            <w:vAlign w:val="bottom"/>
          </w:tcPr>
          <w:p>
            <w:pPr>
              <w:pStyle w:val="TableContents"/>
              <w:spacing w:before="0" w:after="283"/>
              <w:jc w:val="right"/>
              <w:rPr/>
            </w:pPr>
            <w:r>
              <w:rPr/>
              <w:t> </w:t>
            </w:r>
          </w:p>
        </w:tc>
        <w:tc>
          <w:tcPr>
            <w:tcW w:w="43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 </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pPr>
            <w:r>
              <w:rPr/>
              <w:t> </w:t>
            </w:r>
          </w:p>
        </w:tc>
      </w:tr>
      <w:tr>
        <w:trPr/>
        <w:tc>
          <w:tcPr>
            <w:tcW w:w="430" w:type="dxa"/>
            <w:tcBorders/>
            <w:shd w:fill="auto" w:val="clear"/>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xml:space="preserve">Weighted Rating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pPr>
            <w:r>
              <w:rPr/>
              <w:t> </w:t>
            </w:r>
          </w:p>
        </w:tc>
        <w:tc>
          <w:tcPr>
            <w:tcW w:w="687" w:type="dxa"/>
            <w:tcBorders/>
            <w:shd w:fill="auto" w:val="clear"/>
          </w:tcPr>
          <w:p>
            <w:pPr>
              <w:pStyle w:val="TableContents"/>
              <w:spacing w:before="0" w:after="283"/>
              <w:jc w:val="right"/>
              <w:rPr>
                <w:b/>
              </w:rPr>
            </w:pPr>
            <w:r>
              <w:rPr>
                <w:b/>
              </w:rPr>
              <w:t>75</w:t>
            </w:r>
          </w:p>
        </w:tc>
        <w:tc>
          <w:tcPr>
            <w:tcW w:w="431" w:type="dxa"/>
            <w:tcBorders/>
            <w:shd w:fill="auto" w:val="clear"/>
          </w:tcPr>
          <w:p>
            <w:pPr>
              <w:pStyle w:val="TableContents"/>
              <w:spacing w:before="0" w:after="283"/>
              <w:rPr>
                <w:b/>
              </w:rPr>
            </w:pPr>
            <w:r>
              <w:rPr>
                <w:b/>
              </w:rPr>
              <w:t>%</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 xml:space="preserve">(B2) </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pPr>
            <w:r>
              <w:rPr/>
              <w:t>(sum of all personal objective ratings divided by the number of assigned objectives)</w:t>
            </w:r>
          </w:p>
        </w:tc>
      </w:tr>
      <w:tr>
        <w:trPr/>
        <w:tc>
          <w:tcPr>
            <w:tcW w:w="430" w:type="dxa"/>
            <w:tcBorders/>
            <w:shd w:fill="auto" w:val="clear"/>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pPr>
            <w:r>
              <w:rPr/>
              <w:t> </w:t>
            </w:r>
          </w:p>
        </w:tc>
        <w:tc>
          <w:tcPr>
            <w:tcW w:w="687" w:type="dxa"/>
            <w:tcBorders/>
            <w:shd w:fill="auto" w:val="clear"/>
            <w:vAlign w:val="bottom"/>
          </w:tcPr>
          <w:p>
            <w:pPr>
              <w:pStyle w:val="TableContents"/>
              <w:spacing w:before="0" w:after="283"/>
              <w:jc w:val="right"/>
              <w:rPr/>
            </w:pPr>
            <w:r>
              <w:rPr/>
              <w:t> </w:t>
            </w:r>
          </w:p>
        </w:tc>
        <w:tc>
          <w:tcPr>
            <w:tcW w:w="43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 </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pPr>
            <w:r>
              <w:rPr/>
              <w:t> </w:t>
            </w:r>
          </w:p>
        </w:tc>
      </w:tr>
      <w:tr>
        <w:trPr/>
        <w:tc>
          <w:tcPr>
            <w:tcW w:w="430" w:type="dxa"/>
            <w:tcBorders/>
            <w:shd w:fill="auto" w:val="clear"/>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xml:space="preserve">(B1 x B2) =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pPr>
            <w:r>
              <w:rPr/>
              <w:t> </w:t>
            </w:r>
          </w:p>
        </w:tc>
        <w:tc>
          <w:tcPr>
            <w:tcW w:w="687" w:type="dxa"/>
            <w:tcBorders/>
            <w:shd w:fill="auto" w:val="clear"/>
            <w:vAlign w:val="bottom"/>
          </w:tcPr>
          <w:p>
            <w:pPr>
              <w:pStyle w:val="TableContents"/>
              <w:spacing w:before="0" w:after="283"/>
              <w:jc w:val="right"/>
              <w:rPr>
                <w:b/>
              </w:rPr>
            </w:pPr>
            <w:r>
              <w:rPr>
                <w:b/>
              </w:rPr>
              <w:t>7.5</w:t>
            </w:r>
          </w:p>
        </w:tc>
        <w:tc>
          <w:tcPr>
            <w:tcW w:w="431" w:type="dxa"/>
            <w:tcBorders/>
            <w:shd w:fill="auto" w:val="clear"/>
            <w:vAlign w:val="bottom"/>
          </w:tcPr>
          <w:p>
            <w:pPr>
              <w:pStyle w:val="TableContents"/>
              <w:spacing w:before="0" w:after="283"/>
              <w:rPr>
                <w:b/>
              </w:rPr>
            </w:pPr>
            <w:r>
              <w:rPr>
                <w:b/>
              </w:rPr>
              <w:t>%</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 xml:space="preserve">(B3) </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b/>
              </w:rPr>
            </w:pPr>
            <w:r>
              <w:rPr>
                <w:b/>
              </w:rPr>
              <w:t>(Objective Factor)</w:t>
            </w:r>
          </w:p>
        </w:tc>
      </w:tr>
      <w:tr>
        <w:trPr/>
        <w:tc>
          <w:tcPr>
            <w:tcW w:w="430" w:type="dxa"/>
            <w:tcBorders/>
            <w:shd w:fill="auto" w:val="clear"/>
            <w:vAlign w:val="center"/>
          </w:tcPr>
          <w:p>
            <w:pPr>
              <w:pStyle w:val="TableContents"/>
              <w:spacing w:before="0" w:after="283"/>
              <w:rPr/>
            </w:pPr>
            <w:r>
              <w:rPr/>
              <w:t> </w:t>
            </w:r>
          </w:p>
        </w:tc>
        <w:tc>
          <w:tcPr>
            <w:tcW w:w="9775" w:type="dxa"/>
            <w:gridSpan w:val="10"/>
            <w:tcBorders/>
            <w:shd w:fill="auto" w:val="clear"/>
          </w:tcPr>
          <w:p>
            <w:pPr>
              <w:pStyle w:val="TableContents"/>
              <w:spacing w:before="0" w:after="283"/>
              <w:rPr>
                <w:sz w:val="4"/>
                <w:szCs w:val="4"/>
              </w:rPr>
            </w:pPr>
            <w:r>
              <w:rPr>
                <w:sz w:val="4"/>
                <w:szCs w:val="4"/>
              </w:rPr>
            </w:r>
          </w:p>
        </w:tc>
      </w:tr>
      <w:tr>
        <w:trPr/>
        <w:tc>
          <w:tcPr>
            <w:tcW w:w="430" w:type="dxa"/>
            <w:tcBorders/>
            <w:shd w:fill="auto" w:val="clear"/>
          </w:tcPr>
          <w:p>
            <w:pPr>
              <w:pStyle w:val="TableContents"/>
              <w:spacing w:before="0" w:after="283"/>
              <w:jc w:val="left"/>
              <w:rPr/>
            </w:pPr>
            <w:r>
              <w:rPr/>
              <w:t xml:space="preserve">C.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xml:space="preserve">Base Salary as of 10/1/07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b/>
              </w:rPr>
            </w:pPr>
            <w:r>
              <w:rPr>
                <w:b/>
              </w:rPr>
              <w:t>$</w:t>
            </w:r>
          </w:p>
        </w:tc>
        <w:tc>
          <w:tcPr>
            <w:tcW w:w="687" w:type="dxa"/>
            <w:tcBorders/>
            <w:shd w:fill="auto" w:val="clear"/>
            <w:vAlign w:val="bottom"/>
          </w:tcPr>
          <w:p>
            <w:pPr>
              <w:pStyle w:val="TableContents"/>
              <w:spacing w:before="0" w:after="283"/>
              <w:jc w:val="right"/>
              <w:rPr>
                <w:b/>
              </w:rPr>
            </w:pPr>
            <w:r>
              <w:rPr>
                <w:b/>
              </w:rPr>
              <w:t>60,000</w:t>
            </w:r>
          </w:p>
        </w:tc>
        <w:tc>
          <w:tcPr>
            <w:tcW w:w="43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(C1)</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pPr>
            <w:r>
              <w:rPr/>
              <w:t> </w:t>
            </w:r>
          </w:p>
        </w:tc>
      </w:tr>
      <w:tr>
        <w:trPr/>
        <w:tc>
          <w:tcPr>
            <w:tcW w:w="430" w:type="dxa"/>
            <w:tcBorders/>
            <w:shd w:fill="auto" w:val="clear"/>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Participation Factor</w:t>
              <w:br/>
              <w:t xml:space="preserve">(A3 + B3)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pPr>
            <w:r>
              <w:rPr/>
              <w:t> </w:t>
            </w:r>
          </w:p>
        </w:tc>
        <w:tc>
          <w:tcPr>
            <w:tcW w:w="687" w:type="dxa"/>
            <w:tcBorders/>
            <w:shd w:fill="auto" w:val="clear"/>
            <w:vAlign w:val="bottom"/>
          </w:tcPr>
          <w:p>
            <w:pPr>
              <w:pStyle w:val="TableContents"/>
              <w:spacing w:before="0" w:after="283"/>
              <w:jc w:val="right"/>
              <w:rPr>
                <w:b/>
              </w:rPr>
            </w:pPr>
            <w:r>
              <w:rPr>
                <w:b/>
              </w:rPr>
              <w:t>15.0</w:t>
            </w:r>
          </w:p>
        </w:tc>
        <w:tc>
          <w:tcPr>
            <w:tcW w:w="431" w:type="dxa"/>
            <w:tcBorders/>
            <w:shd w:fill="auto" w:val="clear"/>
            <w:vAlign w:val="bottom"/>
          </w:tcPr>
          <w:p>
            <w:pPr>
              <w:pStyle w:val="TableContents"/>
              <w:spacing w:before="0" w:after="283"/>
              <w:rPr>
                <w:b/>
              </w:rPr>
            </w:pPr>
            <w:r>
              <w:rPr>
                <w:b/>
              </w:rPr>
              <w:t>%</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 xml:space="preserve">(C2) </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pPr>
            <w:r>
              <w:rPr/>
              <w:t>(Sum of Company Factor and Personal Factor)</w:t>
            </w:r>
          </w:p>
        </w:tc>
      </w:tr>
      <w:tr>
        <w:trPr/>
        <w:tc>
          <w:tcPr>
            <w:tcW w:w="430" w:type="dxa"/>
            <w:tcBorders/>
            <w:shd w:fill="auto" w:val="clear"/>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xml:space="preserve">(C1 x C2) = </w:t>
            </w:r>
          </w:p>
        </w:tc>
        <w:tc>
          <w:tcPr>
            <w:tcW w:w="18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b/>
              </w:rPr>
            </w:pPr>
            <w:r>
              <w:rPr>
                <w:b/>
              </w:rPr>
              <w:t>$</w:t>
            </w:r>
          </w:p>
        </w:tc>
        <w:tc>
          <w:tcPr>
            <w:tcW w:w="687" w:type="dxa"/>
            <w:tcBorders/>
            <w:shd w:fill="auto" w:val="clear"/>
            <w:vAlign w:val="bottom"/>
          </w:tcPr>
          <w:p>
            <w:pPr>
              <w:pStyle w:val="TableContents"/>
              <w:spacing w:before="0" w:after="283"/>
              <w:jc w:val="right"/>
              <w:rPr>
                <w:b/>
              </w:rPr>
            </w:pPr>
            <w:r>
              <w:rPr>
                <w:b/>
              </w:rPr>
              <w:t>9,000</w:t>
            </w:r>
          </w:p>
        </w:tc>
        <w:tc>
          <w:tcPr>
            <w:tcW w:w="43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center"/>
              <w:rPr/>
            </w:pPr>
            <w:r>
              <w:rPr/>
              <w:t xml:space="preserve">(C3) </w:t>
            </w:r>
          </w:p>
        </w:tc>
        <w:tc>
          <w:tcPr>
            <w:tcW w:w="183" w:type="dxa"/>
            <w:tcBorders/>
            <w:shd w:fill="auto" w:val="clear"/>
            <w:vAlign w:val="bottom"/>
          </w:tcPr>
          <w:p>
            <w:pPr>
              <w:pStyle w:val="TableContents"/>
              <w:spacing w:before="0" w:after="283"/>
              <w:rPr/>
            </w:pPr>
            <w:r>
              <w:rPr/>
              <w:t> </w:t>
            </w:r>
          </w:p>
        </w:tc>
        <w:tc>
          <w:tcPr>
            <w:tcW w:w="4205" w:type="dxa"/>
            <w:tcBorders/>
            <w:shd w:fill="auto" w:val="clear"/>
          </w:tcPr>
          <w:p>
            <w:pPr>
              <w:pStyle w:val="TableContents"/>
              <w:spacing w:before="0" w:after="283"/>
              <w:jc w:val="left"/>
              <w:rPr>
                <w:b/>
              </w:rPr>
            </w:pPr>
            <w:r>
              <w:rPr>
                <w:b/>
              </w:rPr>
              <w:t>Incentive Payout</w:t>
            </w:r>
          </w:p>
        </w:tc>
      </w:tr>
      <w:tr>
        <w:trPr/>
        <w:tc>
          <w:tcPr>
            <w:tcW w:w="430" w:type="dxa"/>
            <w:tcBorders/>
            <w:shd w:fill="auto" w:val="clear"/>
          </w:tcPr>
          <w:p>
            <w:pPr>
              <w:pStyle w:val="TableContents"/>
              <w:spacing w:before="0" w:after="283"/>
              <w:jc w:val="left"/>
              <w:rPr/>
            </w:pPr>
            <w:r>
              <w:rPr/>
              <w:t> </w:t>
            </w:r>
          </w:p>
        </w:tc>
        <w:tc>
          <w:tcPr>
            <w:tcW w:w="183" w:type="dxa"/>
            <w:tcBorders/>
            <w:shd w:fill="auto" w:val="clear"/>
            <w:vAlign w:val="center"/>
          </w:tcPr>
          <w:p>
            <w:pPr>
              <w:pStyle w:val="TableContents"/>
              <w:spacing w:before="0" w:after="283"/>
              <w:rPr/>
            </w:pPr>
            <w:r>
              <w:rPr/>
              <w:t> </w:t>
            </w:r>
          </w:p>
        </w:tc>
        <w:tc>
          <w:tcPr>
            <w:tcW w:w="2715" w:type="dxa"/>
            <w:tcBorders/>
            <w:shd w:fill="auto" w:val="clear"/>
          </w:tcPr>
          <w:p>
            <w:pPr>
              <w:pStyle w:val="TableContents"/>
              <w:spacing w:before="0" w:after="0"/>
              <w:ind w:left="0" w:right="0" w:hanging="0"/>
              <w:jc w:val="right"/>
              <w:rPr/>
            </w:pPr>
            <w:r>
              <w:rPr/>
              <w:t xml:space="preserve">  </w:t>
            </w:r>
          </w:p>
        </w:tc>
        <w:tc>
          <w:tcPr>
            <w:tcW w:w="183" w:type="dxa"/>
            <w:tcBorders/>
            <w:shd w:fill="auto" w:val="clear"/>
            <w:vAlign w:val="center"/>
          </w:tcPr>
          <w:p>
            <w:pPr>
              <w:pStyle w:val="TableContents"/>
              <w:spacing w:before="0" w:after="283"/>
              <w:rPr/>
            </w:pPr>
            <w:r>
              <w:rPr/>
              <w:t> </w:t>
            </w:r>
          </w:p>
        </w:tc>
        <w:tc>
          <w:tcPr>
            <w:tcW w:w="321" w:type="dxa"/>
            <w:tcBorders>
              <w:top w:val="single" w:sz="2" w:space="0" w:color="000000"/>
            </w:tcBorders>
            <w:shd w:fill="auto" w:val="clear"/>
            <w:tcMar>
              <w:top w:w="28" w:type="dxa"/>
            </w:tcMar>
            <w:vAlign w:val="bottom"/>
          </w:tcPr>
          <w:p>
            <w:pPr>
              <w:pStyle w:val="TableContents"/>
              <w:spacing w:before="0" w:after="283"/>
              <w:jc w:val="right"/>
              <w:rPr/>
            </w:pPr>
            <w:r>
              <w:rPr/>
              <w:t> </w:t>
            </w:r>
          </w:p>
        </w:tc>
        <w:tc>
          <w:tcPr>
            <w:tcW w:w="687" w:type="dxa"/>
            <w:tcBorders>
              <w:top w:val="single" w:sz="2" w:space="0" w:color="000000"/>
            </w:tcBorders>
            <w:shd w:fill="auto" w:val="clear"/>
            <w:tcMar>
              <w:top w:w="28" w:type="dxa"/>
            </w:tcMar>
            <w:vAlign w:val="bottom"/>
          </w:tcPr>
          <w:p>
            <w:pPr>
              <w:pStyle w:val="TableContents"/>
              <w:spacing w:before="0" w:after="283"/>
              <w:jc w:val="right"/>
              <w:rPr/>
            </w:pPr>
            <w:r>
              <w:rPr/>
              <w:t> </w:t>
            </w:r>
          </w:p>
        </w:tc>
        <w:tc>
          <w:tcPr>
            <w:tcW w:w="431" w:type="dxa"/>
            <w:tcBorders/>
            <w:shd w:fill="auto" w:val="clear"/>
            <w:vAlign w:val="bottom"/>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center"/>
              <w:rPr/>
            </w:pPr>
            <w:r>
              <w:rPr/>
              <w:t> </w:t>
            </w:r>
          </w:p>
        </w:tc>
        <w:tc>
          <w:tcPr>
            <w:tcW w:w="183" w:type="dxa"/>
            <w:tcBorders/>
            <w:shd w:fill="auto" w:val="clear"/>
            <w:vAlign w:val="center"/>
          </w:tcPr>
          <w:p>
            <w:pPr>
              <w:pStyle w:val="TableContents"/>
              <w:spacing w:before="0" w:after="283"/>
              <w:rPr/>
            </w:pPr>
            <w:r>
              <w:rPr/>
              <w:t> </w:t>
            </w:r>
          </w:p>
        </w:tc>
        <w:tc>
          <w:tcPr>
            <w:tcW w:w="4205" w:type="dxa"/>
            <w:tcBorders/>
            <w:shd w:fill="auto" w:val="clear"/>
          </w:tcPr>
          <w:p>
            <w:pPr>
              <w:pStyle w:val="TableContents"/>
              <w:spacing w:before="0" w:after="283"/>
              <w:jc w:val="left"/>
              <w:rPr/>
            </w:pPr>
            <w:r>
              <w:rPr/>
              <w:t> </w:t>
            </w:r>
          </w:p>
        </w:tc>
      </w:tr>
    </w:tbl>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Incentive Program Funding</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Funding for the Incentive Compensation Program will be based on the number of participants selected for the individual Program year and their individual level of participation. At the beginning of each fiscal year, a budget will be established based on participant information and on economic, operational and financial profitability. The full amount of the Program payouts will be included in the administrative expense of the Company prior to the determination of the Companys final results for ICP purposes. Therefore, the funding of the ICP payouts is a part of the financial results of the Company for incentive calculations. </w:t>
      </w:r>
    </w:p>
    <w:p>
      <w:pPr>
        <w:pStyle w:val="TextBody"/>
        <w:spacing w:before="360" w:after="283"/>
        <w:jc w:val="center"/>
        <w:rPr>
          <w:rFonts w:ascii="Helvetica;Arial;sans-serif" w:hAnsi="Helvetica;Arial;sans-serif"/>
          <w:sz w:val="17"/>
        </w:rPr>
      </w:pPr>
      <w:r>
        <w:rPr>
          <w:rFonts w:ascii="Helvetica;Arial;sans-serif" w:hAnsi="Helvetica;Arial;sans-serif"/>
          <w:b/>
          <w:i/>
          <w:sz w:val="17"/>
          <w:u w:val="single"/>
        </w:rPr>
        <w:t>Administration of the Program</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Amendments to or termination of the Program</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While it is the intention of the Company to provide an incentive compensation plan annually, the company, with the approval of the Compensation Committee, reserves the right to: </w:t>
      </w:r>
    </w:p>
    <w:tbl>
      <w:tblPr>
        <w:tblW w:w="5000" w:type="pct"/>
        <w:jc w:val="left"/>
        <w:tblInd w:w="0" w:type="dxa"/>
        <w:tblCellMar>
          <w:top w:w="0" w:type="dxa"/>
          <w:left w:w="0" w:type="dxa"/>
          <w:bottom w:w="0" w:type="dxa"/>
          <w:right w:w="0" w:type="dxa"/>
        </w:tblCellMar>
      </w:tblPr>
      <w:tblGrid>
        <w:gridCol w:w="611"/>
        <w:gridCol w:w="306"/>
        <w:gridCol w:w="101"/>
        <w:gridCol w:w="9187"/>
      </w:tblGrid>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ü</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Amend or modify the incentive plan in its entirety;</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ü</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Suspend or terminate the Program at any time.</w:t>
            </w:r>
          </w:p>
        </w:tc>
      </w:tr>
    </w:tbl>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Performance Measurement</w:t>
      </w:r>
      <w:r>
        <w:rPr>
          <w:rFonts w:ascii="Helvetica;Arial;sans-serif" w:hAnsi="Helvetica;Arial;sans-serif"/>
          <w:sz w:val="17"/>
        </w:rPr>
        <w:t xml:space="preserve">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Except for the Chairman of the Board and the President/CEO (whose awards are determined by the Board Compensation Committee based upon their specific criteria), the Executive Committee, at its sole discretion, will score each departmental objective and the individual performance of each ICP participant as it relates to that specific Objective. Participants who share a common Personal</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Objective may be rated differently based upon their contribution to the achievement or lack of achievement of that specific objective.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fact that an associate is initially selected as eligible to participate in the ICP does not mean that he or she is entitled to or guaranteed receipt of an incentive compensation award.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Actions taken by a Participant in the Program to enhance his or her incentive pay at the expense of the long-term benefit of the Company will result in the Participant being disqualified as a Program Participant, at the sole discretion of the Company.</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Except for the Chairman of the Board and the President/CEO, if it can be determined by the Company, at its sole discretion, that a Participants actions throughout the ICP year did not support or actually worked against their teams ability to meet its objective, the Participant will not receive any incentive compensation award even if all of the objectives are obtained. For the Chairman of the Board and the President/CEO, the Board Compensation Committee may make this determination and their decision will be final and binding.</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Compensation Advisory Group reserves the right, in its sole discretion, to establish the measurement systems associated with this Program and to approve in advance, departmental and Personal Objectives.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6.</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 xml:space="preserve">Any participant who receives an </w:t>
            </w:r>
            <w:r>
              <w:rPr>
                <w:b/>
              </w:rPr>
              <w:t xml:space="preserve">UNSATISFACTORY </w:t>
            </w:r>
            <w:r>
              <w:rPr/>
              <w:t xml:space="preserve">appraisal rating as determined by the Company or the Board Compensation Committee, in its sole discretion, for the incentive period will </w:t>
            </w:r>
            <w:r>
              <w:rPr>
                <w:b/>
                <w:u w:val="single"/>
              </w:rPr>
              <w:t>not</w:t>
            </w:r>
            <w:r>
              <w:rPr/>
              <w:t xml:space="preserve"> be eligible for an incentive award for that period.</w:t>
            </w:r>
          </w:p>
        </w:tc>
      </w:tr>
    </w:tbl>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No Implied Contract</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information presented in this Program shall not in any way be construed to constitute a binding employment or compensation contract between the Company and its associates, nor shall it in any way affect the employment-at-will relationship between associates and the Company. </w:t>
      </w:r>
    </w:p>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Rules Concerning Awards Payments and Participation</w:t>
      </w:r>
      <w:r>
        <w:rPr>
          <w:rFonts w:ascii="Helvetica;Arial;sans-serif" w:hAnsi="Helvetica;Arial;sans-serif"/>
          <w:sz w:val="17"/>
        </w:rPr>
        <w:t xml:space="preserve">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Participants must be employed with the Company at the time incentive payments are made to be eligible to receive an award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Participants who voluntarily or involuntarily leave the service of the Company shall not be entitled to receive an award at the end of the Program year.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 xml:space="preserve">Except for the Chairman of the Board, the President/CEO and all company officers, recommendations to include a new hire, change a participants incentive level or add a promoted associate into the Program at any time during the Program year must be approved by the President/CEO. </w:t>
            </w:r>
            <w:r>
              <w:rPr>
                <w:b/>
              </w:rPr>
              <w:t>This action is mandatory before informing any associate of their participation in the Program</w:t>
            </w:r>
            <w:r>
              <w:rPr>
                <w:b/>
                <w:i/>
              </w:rPr>
              <w:t xml:space="preserve">. </w:t>
            </w:r>
            <w:r>
              <w:rPr/>
              <w:t>Partial year participant awards, if any, will be prorated based upon full months of the associates inclusion into the Program and their achievement of Program year objectives.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 xml:space="preserve">Associates hired after the second fiscal quarter (March 31, 2008) will not normally be eligible for participation until the following Program year. The President/CEO must approve any exceptions to the above in advance. </w:t>
            </w:r>
            <w:r>
              <w:rPr>
                <w:b/>
              </w:rPr>
              <w:t>Approval of such exception is mandatory</w:t>
            </w:r>
            <w:r>
              <w:rPr/>
              <w:t xml:space="preserve"> </w:t>
            </w:r>
            <w:r>
              <w:rPr>
                <w:b/>
                <w:u w:val="single"/>
              </w:rPr>
              <w:t>before</w:t>
            </w:r>
            <w:r>
              <w:rPr/>
              <w:t xml:space="preserve"> </w:t>
            </w:r>
            <w:r>
              <w:rPr>
                <w:b/>
              </w:rPr>
              <w:t>informing any associate of their participation in the Program.</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Discretionary Awards</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President/CEO will have the authority to award discretionary bonuses at year-end. These awards will be granted to individuals based upon the associates contribution toward either the achievement of the Companys strategic objectives or the FY2008 financial plan. Individual awards will not exceed [***]; aggregate of awards will not exceed [***] annually. </w:t>
      </w:r>
    </w:p>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Effective Date of the Program:</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b/>
          <w:sz w:val="17"/>
        </w:rPr>
        <w:t>This Program shall be in effect for the fiscal year 2008.</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b/>
          <w:i/>
          <w:sz w:val="17"/>
        </w:rPr>
        <w:t>Approvals:</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5669"/>
        <w:gridCol w:w="112"/>
        <w:gridCol w:w="4424"/>
      </w:tblGrid>
      <w:tr>
        <w:trPr/>
        <w:tc>
          <w:tcPr>
            <w:tcW w:w="5669"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424" w:type="dxa"/>
            <w:tcBorders/>
            <w:shd w:fill="auto" w:val="clear"/>
            <w:vAlign w:val="bottom"/>
          </w:tcPr>
          <w:p>
            <w:pPr>
              <w:pStyle w:val="TableContents"/>
              <w:spacing w:before="0" w:after="283"/>
              <w:rPr/>
            </w:pPr>
            <w:r>
              <w:rPr/>
              <w:t> </w:t>
            </w:r>
          </w:p>
        </w:tc>
      </w:tr>
      <w:tr>
        <w:trPr/>
        <w:tc>
          <w:tcPr>
            <w:tcW w:w="5669" w:type="dxa"/>
            <w:tcBorders/>
            <w:shd w:fill="auto" w:val="clear"/>
          </w:tcPr>
          <w:p>
            <w:pPr>
              <w:pStyle w:val="TableContents"/>
              <w:spacing w:before="0" w:after="0"/>
              <w:ind w:left="0" w:right="0" w:hanging="0"/>
              <w:rPr/>
            </w:pPr>
            <w:r>
              <w:rPr/>
              <w:t xml:space="preserve">/s/ Joe Rotunda </w:t>
            </w:r>
          </w:p>
          <w:p>
            <w:pPr>
              <w:pStyle w:val="TableContents"/>
              <w:spacing w:before="0" w:after="0"/>
              <w:rPr>
                <w:bdr w:val="single" w:sz="2" w:space="1" w:color="000000"/>
              </w:rPr>
            </w:pPr>
            <w:r>
              <w:rPr>
                <w:bdr w:val="single" w:sz="2" w:space="1" w:color="000000"/>
              </w:rPr>
              <w:t> </w:t>
            </w:r>
          </w:p>
          <w:p>
            <w:pPr>
              <w:pStyle w:val="TableContents"/>
              <w:spacing w:before="0" w:after="0"/>
              <w:rPr/>
            </w:pPr>
            <w:r>
              <w:rPr>
                <w:b/>
              </w:rPr>
              <w:t>Joe Rotunda</w:t>
            </w:r>
            <w:r>
              <w:rPr/>
              <w:t xml:space="preserve"> </w:t>
            </w:r>
          </w:p>
        </w:tc>
        <w:tc>
          <w:tcPr>
            <w:tcW w:w="112" w:type="dxa"/>
            <w:tcBorders/>
            <w:shd w:fill="auto" w:val="clear"/>
            <w:vAlign w:val="bottom"/>
          </w:tcPr>
          <w:p>
            <w:pPr>
              <w:pStyle w:val="TableContents"/>
              <w:spacing w:before="0" w:after="283"/>
              <w:rPr/>
            </w:pPr>
            <w:r>
              <w:rPr/>
              <w:t> </w:t>
            </w:r>
          </w:p>
        </w:tc>
        <w:tc>
          <w:tcPr>
            <w:tcW w:w="4424" w:type="dxa"/>
            <w:tcBorders/>
            <w:shd w:fill="auto" w:val="clear"/>
          </w:tcPr>
          <w:p>
            <w:pPr>
              <w:pStyle w:val="TableContents"/>
              <w:spacing w:before="0" w:after="283"/>
              <w:jc w:val="left"/>
              <w:rPr/>
            </w:pPr>
            <w:r>
              <w:rPr/>
              <w:t>Date: 10-1-07 </w:t>
            </w:r>
          </w:p>
        </w:tc>
      </w:tr>
      <w:tr>
        <w:trPr/>
        <w:tc>
          <w:tcPr>
            <w:tcW w:w="5669" w:type="dxa"/>
            <w:tcBorders/>
            <w:shd w:fill="auto" w:val="clear"/>
          </w:tcPr>
          <w:p>
            <w:pPr>
              <w:pStyle w:val="TableContents"/>
              <w:spacing w:before="0" w:after="0"/>
              <w:ind w:left="0" w:right="0" w:hanging="0"/>
              <w:rPr/>
            </w:pPr>
            <w:r>
              <w:rPr/>
              <w:t>President &amp; Chief Executive Officer</w:t>
            </w:r>
          </w:p>
        </w:tc>
        <w:tc>
          <w:tcPr>
            <w:tcW w:w="112" w:type="dxa"/>
            <w:tcBorders/>
            <w:shd w:fill="auto" w:val="clear"/>
            <w:vAlign w:val="bottom"/>
          </w:tcPr>
          <w:p>
            <w:pPr>
              <w:pStyle w:val="TableContents"/>
              <w:spacing w:before="0" w:after="283"/>
              <w:rPr/>
            </w:pPr>
            <w:r>
              <w:rPr/>
              <w:t> </w:t>
            </w:r>
          </w:p>
        </w:tc>
        <w:tc>
          <w:tcPr>
            <w:tcW w:w="4424" w:type="dxa"/>
            <w:tcBorders/>
            <w:shd w:fill="auto" w:val="clear"/>
          </w:tcPr>
          <w:p>
            <w:pPr>
              <w:pStyle w:val="TableContents"/>
              <w:spacing w:before="0" w:after="283"/>
              <w:jc w:val="left"/>
              <w:rPr/>
            </w:pPr>
            <w:r>
              <w:rPr/>
              <w:t> </w:t>
            </w:r>
          </w:p>
        </w:tc>
      </w:tr>
      <w:tr>
        <w:trPr/>
        <w:tc>
          <w:tcPr>
            <w:tcW w:w="5669" w:type="dxa"/>
            <w:tcBorders/>
            <w:shd w:fill="auto" w:val="clear"/>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283"/>
              <w:rPr/>
            </w:pPr>
            <w:r>
              <w:rPr/>
              <w:t> </w:t>
            </w:r>
          </w:p>
        </w:tc>
        <w:tc>
          <w:tcPr>
            <w:tcW w:w="4424" w:type="dxa"/>
            <w:tcBorders/>
            <w:shd w:fill="auto" w:val="clear"/>
          </w:tcPr>
          <w:p>
            <w:pPr>
              <w:pStyle w:val="TableContents"/>
              <w:spacing w:before="0" w:after="283"/>
              <w:jc w:val="left"/>
              <w:rPr/>
            </w:pPr>
            <w:r>
              <w:rPr/>
              <w:t> </w:t>
            </w:r>
          </w:p>
        </w:tc>
      </w:tr>
      <w:tr>
        <w:trPr/>
        <w:tc>
          <w:tcPr>
            <w:tcW w:w="5669" w:type="dxa"/>
            <w:tcBorders/>
            <w:shd w:fill="auto" w:val="clear"/>
          </w:tcPr>
          <w:p>
            <w:pPr>
              <w:pStyle w:val="TableContents"/>
              <w:spacing w:before="0" w:after="0"/>
              <w:ind w:left="0" w:right="0" w:hanging="0"/>
              <w:rPr/>
            </w:pPr>
            <w:r>
              <w:rPr/>
              <w:t xml:space="preserve">/s/ Robert Kasenter </w:t>
            </w:r>
          </w:p>
          <w:p>
            <w:pPr>
              <w:pStyle w:val="TableContents"/>
              <w:spacing w:before="0" w:after="0"/>
              <w:rPr>
                <w:bdr w:val="single" w:sz="2" w:space="1" w:color="000000"/>
              </w:rPr>
            </w:pPr>
            <w:r>
              <w:rPr>
                <w:bdr w:val="single" w:sz="2" w:space="1" w:color="000000"/>
              </w:rPr>
              <w:t> </w:t>
            </w:r>
          </w:p>
          <w:p>
            <w:pPr>
              <w:pStyle w:val="TableContents"/>
              <w:spacing w:before="0" w:after="0"/>
              <w:rPr/>
            </w:pPr>
            <w:r>
              <w:rPr>
                <w:b/>
              </w:rPr>
              <w:t>Robert Kasenter</w:t>
            </w:r>
            <w:r>
              <w:rPr/>
              <w:t xml:space="preserve"> </w:t>
            </w:r>
          </w:p>
        </w:tc>
        <w:tc>
          <w:tcPr>
            <w:tcW w:w="112" w:type="dxa"/>
            <w:tcBorders/>
            <w:shd w:fill="auto" w:val="clear"/>
            <w:vAlign w:val="bottom"/>
          </w:tcPr>
          <w:p>
            <w:pPr>
              <w:pStyle w:val="TableContents"/>
              <w:spacing w:before="0" w:after="283"/>
              <w:rPr/>
            </w:pPr>
            <w:r>
              <w:rPr/>
              <w:t> </w:t>
            </w:r>
          </w:p>
        </w:tc>
        <w:tc>
          <w:tcPr>
            <w:tcW w:w="4424" w:type="dxa"/>
            <w:tcBorders/>
            <w:shd w:fill="auto" w:val="clear"/>
          </w:tcPr>
          <w:p>
            <w:pPr>
              <w:pStyle w:val="TableContents"/>
              <w:spacing w:before="0" w:after="283"/>
              <w:jc w:val="left"/>
              <w:rPr/>
            </w:pPr>
            <w:r>
              <w:rPr/>
              <w:t>Date: 10-1-07 </w:t>
            </w:r>
          </w:p>
        </w:tc>
      </w:tr>
      <w:tr>
        <w:trPr/>
        <w:tc>
          <w:tcPr>
            <w:tcW w:w="5669" w:type="dxa"/>
            <w:tcBorders/>
            <w:shd w:fill="auto" w:val="clear"/>
          </w:tcPr>
          <w:p>
            <w:pPr>
              <w:pStyle w:val="TableContents"/>
              <w:spacing w:before="0" w:after="0"/>
              <w:ind w:left="0" w:right="0" w:hanging="0"/>
              <w:rPr/>
            </w:pPr>
            <w:r>
              <w:rPr/>
              <w:t>Sr. Vice President, Administration</w:t>
            </w:r>
          </w:p>
        </w:tc>
        <w:tc>
          <w:tcPr>
            <w:tcW w:w="112" w:type="dxa"/>
            <w:tcBorders/>
            <w:shd w:fill="auto" w:val="clear"/>
            <w:vAlign w:val="bottom"/>
          </w:tcPr>
          <w:p>
            <w:pPr>
              <w:pStyle w:val="TableContents"/>
              <w:spacing w:before="0" w:after="283"/>
              <w:rPr/>
            </w:pPr>
            <w:r>
              <w:rPr/>
              <w:t> </w:t>
            </w:r>
          </w:p>
        </w:tc>
        <w:tc>
          <w:tcPr>
            <w:tcW w:w="4424" w:type="dxa"/>
            <w:tcBorders/>
            <w:shd w:fill="auto" w:val="clear"/>
          </w:tcPr>
          <w:p>
            <w:pPr>
              <w:pStyle w:val="TableContents"/>
              <w:spacing w:before="0" w:after="283"/>
              <w:jc w:val="left"/>
              <w:rPr/>
            </w:pPr>
            <w:r>
              <w:rPr/>
              <w:t> </w:t>
            </w:r>
          </w:p>
        </w:tc>
      </w:tr>
      <w:tr>
        <w:trPr/>
        <w:tc>
          <w:tcPr>
            <w:tcW w:w="5669" w:type="dxa"/>
            <w:tcBorders/>
            <w:shd w:fill="auto" w:val="clear"/>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283"/>
              <w:rPr/>
            </w:pPr>
            <w:r>
              <w:rPr/>
              <w:t> </w:t>
            </w:r>
          </w:p>
        </w:tc>
        <w:tc>
          <w:tcPr>
            <w:tcW w:w="4424" w:type="dxa"/>
            <w:tcBorders/>
            <w:shd w:fill="auto" w:val="clear"/>
          </w:tcPr>
          <w:p>
            <w:pPr>
              <w:pStyle w:val="TableContents"/>
              <w:spacing w:before="0" w:after="283"/>
              <w:jc w:val="left"/>
              <w:rPr/>
            </w:pPr>
            <w:r>
              <w:rPr/>
              <w:t> </w:t>
            </w:r>
          </w:p>
        </w:tc>
      </w:tr>
      <w:tr>
        <w:trPr/>
        <w:tc>
          <w:tcPr>
            <w:tcW w:w="5669" w:type="dxa"/>
            <w:tcBorders/>
            <w:shd w:fill="auto" w:val="clear"/>
          </w:tcPr>
          <w:p>
            <w:pPr>
              <w:pStyle w:val="TableContents"/>
              <w:spacing w:before="0" w:after="0"/>
              <w:ind w:left="0" w:right="0" w:hanging="0"/>
              <w:rPr/>
            </w:pPr>
            <w:r>
              <w:rPr/>
              <w:t xml:space="preserve">/s/ Connie Kondik </w:t>
            </w:r>
          </w:p>
          <w:p>
            <w:pPr>
              <w:pStyle w:val="TableContents"/>
              <w:spacing w:before="0" w:after="0"/>
              <w:rPr>
                <w:bdr w:val="single" w:sz="2" w:space="1" w:color="000000"/>
              </w:rPr>
            </w:pPr>
            <w:r>
              <w:rPr>
                <w:bdr w:val="single" w:sz="2" w:space="1" w:color="000000"/>
              </w:rPr>
              <w:t> </w:t>
            </w:r>
          </w:p>
          <w:p>
            <w:pPr>
              <w:pStyle w:val="TableContents"/>
              <w:spacing w:before="0" w:after="0"/>
              <w:rPr/>
            </w:pPr>
            <w:r>
              <w:rPr>
                <w:b/>
              </w:rPr>
              <w:t>Connie Kondik</w:t>
            </w:r>
            <w:r>
              <w:rPr/>
              <w:t xml:space="preserve"> </w:t>
            </w:r>
          </w:p>
        </w:tc>
        <w:tc>
          <w:tcPr>
            <w:tcW w:w="112" w:type="dxa"/>
            <w:tcBorders/>
            <w:shd w:fill="auto" w:val="clear"/>
            <w:vAlign w:val="bottom"/>
          </w:tcPr>
          <w:p>
            <w:pPr>
              <w:pStyle w:val="TableContents"/>
              <w:spacing w:before="0" w:after="283"/>
              <w:rPr/>
            </w:pPr>
            <w:r>
              <w:rPr/>
              <w:t> </w:t>
            </w:r>
          </w:p>
        </w:tc>
        <w:tc>
          <w:tcPr>
            <w:tcW w:w="4424" w:type="dxa"/>
            <w:tcBorders/>
            <w:shd w:fill="auto" w:val="clear"/>
          </w:tcPr>
          <w:p>
            <w:pPr>
              <w:pStyle w:val="TableContents"/>
              <w:spacing w:before="0" w:after="283"/>
              <w:jc w:val="left"/>
              <w:rPr/>
            </w:pPr>
            <w:r>
              <w:rPr/>
              <w:t>Date: 10-1-07 </w:t>
            </w:r>
          </w:p>
        </w:tc>
      </w:tr>
      <w:tr>
        <w:trPr/>
        <w:tc>
          <w:tcPr>
            <w:tcW w:w="5669" w:type="dxa"/>
            <w:tcBorders/>
            <w:shd w:fill="auto" w:val="clear"/>
          </w:tcPr>
          <w:p>
            <w:pPr>
              <w:pStyle w:val="TableContents"/>
              <w:spacing w:before="0" w:after="0"/>
              <w:ind w:left="0" w:right="0" w:hanging="0"/>
              <w:rPr/>
            </w:pPr>
            <w:r>
              <w:rPr/>
              <w:t xml:space="preserve">VP &amp; General Counsel, Secretary to the Board </w:t>
              <w:br/>
              <w:t>Confirming Compensation Committee Approval</w:t>
            </w:r>
          </w:p>
        </w:tc>
        <w:tc>
          <w:tcPr>
            <w:tcW w:w="112" w:type="dxa"/>
            <w:tcBorders/>
            <w:shd w:fill="auto" w:val="clear"/>
            <w:vAlign w:val="bottom"/>
          </w:tcPr>
          <w:p>
            <w:pPr>
              <w:pStyle w:val="TableContents"/>
              <w:spacing w:before="0" w:after="283"/>
              <w:rPr/>
            </w:pPr>
            <w:r>
              <w:rPr/>
              <w:t> </w:t>
            </w:r>
          </w:p>
        </w:tc>
        <w:tc>
          <w:tcPr>
            <w:tcW w:w="4424"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Helvetica;Arial;sans-serif" w:hAnsi="Helvetica;Arial;sans-serif"/>
          <w:sz w:val="17"/>
        </w:rPr>
      </w:pPr>
      <w:r>
        <w:rPr>
          <w:rFonts w:ascii="Helvetica;Arial;sans-serif" w:hAnsi="Helvetica;Arial;sans-serif"/>
          <w:b/>
          <w:sz w:val="17"/>
        </w:rPr>
        <w:t>Schedule A</w:t>
        <w:br/>
        <w:t>FY 2008 ICP Participants List</w:t>
      </w:r>
      <w:r>
        <w:rPr>
          <w:rFonts w:ascii="Helvetica;Arial;sans-serif" w:hAnsi="Helvetica;Arial;sans-serif"/>
          <w:sz w:val="17"/>
        </w:rPr>
        <w:t xml:space="preserve"> </w:t>
      </w:r>
    </w:p>
    <w:p>
      <w:pPr>
        <w:pStyle w:val="TextBody"/>
        <w:spacing w:before="120" w:after="283"/>
        <w:jc w:val="center"/>
        <w:rPr>
          <w:rFonts w:ascii="Helvetica;Arial;sans-serif" w:hAnsi="Helvetica;Arial;sans-serif"/>
          <w:sz w:val="17"/>
        </w:rPr>
      </w:pPr>
      <w:r>
        <w:rPr>
          <w:rFonts w:ascii="Helvetica;Arial;sans-serif" w:hAnsi="Helvetica;Arial;sans-serif"/>
          <w:sz w:val="17"/>
        </w:rPr>
        <w:t xml:space="preserve">[***] </w:t>
      </w:r>
    </w:p>
    <w:p>
      <w:pPr>
        <w:pStyle w:val="TextBody"/>
        <w:spacing w:before="360" w:after="283"/>
        <w:jc w:val="center"/>
        <w:rPr>
          <w:rFonts w:ascii="Helvetica;Arial;sans-serif" w:hAnsi="Helvetica;Arial;sans-serif"/>
          <w:sz w:val="17"/>
        </w:rPr>
      </w:pPr>
      <w:r>
        <w:rPr>
          <w:rFonts w:ascii="Helvetica;Arial;sans-serif" w:hAnsi="Helvetica;Arial;sans-serif"/>
          <w:b/>
          <w:sz w:val="17"/>
        </w:rPr>
        <w:t>2008 ICP Objectives</w:t>
      </w:r>
      <w:r>
        <w:rPr>
          <w:rFonts w:ascii="Helvetica;Arial;sans-serif" w:hAnsi="Helvetica;Arial;sans-serif"/>
          <w:sz w:val="17"/>
        </w:rPr>
        <w:t xml:space="preserve"> </w:t>
      </w:r>
    </w:p>
    <w:p>
      <w:pPr>
        <w:pStyle w:val="TextBody"/>
        <w:spacing w:before="120" w:after="283"/>
        <w:jc w:val="center"/>
        <w:rPr>
          <w:rFonts w:ascii="Helvetica;Arial;sans-serif" w:hAnsi="Helvetica;Arial;sans-serif"/>
          <w:sz w:val="17"/>
        </w:rPr>
      </w:pPr>
      <w:r>
        <w:rPr>
          <w:rFonts w:ascii="Helvetica;Arial;sans-serif" w:hAnsi="Helvetica;Arial;sans-serif"/>
          <w:sz w:val="17"/>
        </w:rPr>
        <w:t xml:space="preserve">[***] </w:t>
      </w:r>
    </w:p>
    <w:p>
      <w:pPr>
        <w:pStyle w:val="TextBody"/>
        <w:jc w:val="center"/>
        <w:rPr/>
      </w:pPr>
      <w:r>
        <w:rPr/>
        <w:t xml:space="preserve">  </w:t>
      </w:r>
      <w:r>
        <w:br w:type="page"/>
      </w:r>
    </w:p>
    <w:p>
      <w:pPr>
        <w:pStyle w:val="Heading5"/>
        <w:jc w:val="left"/>
        <w:rPr/>
      </w:pPr>
      <w:bookmarkStart w:id="36" w:name="d52356exv21w1.htm"/>
      <w:bookmarkStart w:id="37" w:name="ksd52356exv21w1"/>
      <w:bookmarkEnd w:id="36"/>
      <w:bookmarkEnd w:id="37"/>
      <w:r>
        <w:rPr/>
        <w:t> </w:t>
      </w:r>
    </w:p>
    <w:p>
      <w:pPr>
        <w:pStyle w:val="TextBody"/>
        <w:spacing w:before="360" w:after="283"/>
        <w:jc w:val="center"/>
        <w:rPr>
          <w:rFonts w:ascii="Helvetica;Arial;sans-serif" w:hAnsi="Helvetica;Arial;sans-serif"/>
          <w:sz w:val="17"/>
        </w:rPr>
      </w:pPr>
      <w:r>
        <w:rPr>
          <w:rFonts w:ascii="Helvetica;Arial;sans-serif" w:hAnsi="Helvetica;Arial;sans-serif"/>
          <w:b/>
          <w:sz w:val="17"/>
        </w:rPr>
        <w:t>Exhibit 21.1</w:t>
      </w:r>
      <w:r>
        <w:rPr>
          <w:rFonts w:ascii="Helvetica;Arial;sans-serif" w:hAnsi="Helvetica;Arial;sans-serif"/>
          <w:sz w:val="17"/>
        </w:rPr>
        <w:t xml:space="preserve"> </w:t>
      </w:r>
    </w:p>
    <w:p>
      <w:pPr>
        <w:pStyle w:val="TextBody"/>
        <w:spacing w:before="120" w:after="283"/>
        <w:jc w:val="center"/>
        <w:rPr>
          <w:rFonts w:ascii="Helvetica;Arial;sans-serif" w:hAnsi="Helvetica;Arial;sans-serif"/>
          <w:sz w:val="17"/>
        </w:rPr>
      </w:pPr>
      <w:r>
        <w:rPr>
          <w:rFonts w:ascii="Helvetica;Arial;sans-serif" w:hAnsi="Helvetica;Arial;sans-serif"/>
          <w:b/>
          <w:sz w:val="17"/>
        </w:rPr>
        <w:t>Form 10-K for Fiscal Year Ended September 30, 2007</w:t>
      </w:r>
      <w:r>
        <w:rPr>
          <w:rFonts w:ascii="Helvetica;Arial;sans-serif" w:hAnsi="Helvetica;Arial;sans-serif"/>
          <w:sz w:val="17"/>
        </w:rPr>
        <w:t xml:space="preserve"> </w:t>
      </w:r>
    </w:p>
    <w:p>
      <w:pPr>
        <w:pStyle w:val="TextBody"/>
        <w:spacing w:before="120" w:after="283"/>
        <w:jc w:val="center"/>
        <w:rPr>
          <w:rFonts w:ascii="Helvetica;Arial;sans-serif" w:hAnsi="Helvetica;Arial;sans-serif"/>
          <w:sz w:val="17"/>
        </w:rPr>
      </w:pPr>
      <w:r>
        <w:rPr>
          <w:rFonts w:ascii="Helvetica;Arial;sans-serif" w:hAnsi="Helvetica;Arial;sans-serif"/>
          <w:b/>
          <w:sz w:val="17"/>
        </w:rPr>
        <w:t>Subsidiaries of EZCORP, Inc.</w:t>
      </w:r>
      <w:r>
        <w:rPr>
          <w:rFonts w:ascii="Helvetica;Arial;sans-serif" w:hAnsi="Helvetica;Arial;sans-serif"/>
          <w:sz w:val="17"/>
        </w:rPr>
        <w:t xml:space="preserve"> </w:t>
      </w:r>
    </w:p>
    <w:tbl>
      <w:tblPr>
        <w:tblW w:w="5000" w:type="pct"/>
        <w:jc w:val="center"/>
        <w:tblInd w:w="0" w:type="dxa"/>
        <w:tblCellMar>
          <w:top w:w="0" w:type="dxa"/>
          <w:left w:w="0" w:type="dxa"/>
          <w:bottom w:w="0" w:type="dxa"/>
          <w:right w:w="0" w:type="dxa"/>
        </w:tblCellMar>
      </w:tblPr>
      <w:tblGrid>
        <w:gridCol w:w="524"/>
        <w:gridCol w:w="210"/>
        <w:gridCol w:w="9471"/>
      </w:tblGrid>
      <w:tr>
        <w:trPr/>
        <w:tc>
          <w:tcPr>
            <w:tcW w:w="52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71" w:type="dxa"/>
            <w:tcBorders/>
            <w:shd w:fill="auto" w:val="clear"/>
            <w:vAlign w:val="bottom"/>
          </w:tcPr>
          <w:p>
            <w:pPr>
              <w:pStyle w:val="TableContents"/>
              <w:spacing w:before="0" w:after="283"/>
              <w:rPr/>
            </w:pPr>
            <w:r>
              <w:rPr/>
              <w:t> </w:t>
            </w:r>
          </w:p>
        </w:tc>
      </w:tr>
      <w:tr>
        <w:trPr/>
        <w:tc>
          <w:tcPr>
            <w:tcW w:w="524" w:type="dxa"/>
            <w:tcBorders/>
            <w:shd w:fill="auto" w:val="clear"/>
          </w:tcPr>
          <w:p>
            <w:pPr>
              <w:pStyle w:val="TableContents"/>
              <w:spacing w:before="0" w:after="0"/>
              <w:ind w:left="0" w:right="0" w:hanging="0"/>
              <w:rPr/>
            </w:pPr>
            <w:r>
              <w:rPr/>
              <w:t xml:space="preserve">1.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Alabama, Inc.</w:t>
            </w:r>
          </w:p>
        </w:tc>
      </w:tr>
      <w:tr>
        <w:trPr/>
        <w:tc>
          <w:tcPr>
            <w:tcW w:w="524" w:type="dxa"/>
            <w:tcBorders/>
            <w:shd w:fill="auto" w:val="clear"/>
          </w:tcPr>
          <w:p>
            <w:pPr>
              <w:pStyle w:val="TableContents"/>
              <w:spacing w:before="0" w:after="0"/>
              <w:ind w:left="0" w:right="0" w:hanging="0"/>
              <w:rPr/>
            </w:pPr>
            <w:r>
              <w:rPr/>
              <w:t xml:space="preserve">2.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Arkansas, Inc.</w:t>
            </w:r>
          </w:p>
        </w:tc>
      </w:tr>
      <w:tr>
        <w:trPr/>
        <w:tc>
          <w:tcPr>
            <w:tcW w:w="524" w:type="dxa"/>
            <w:tcBorders/>
            <w:shd w:fill="auto" w:val="clear"/>
          </w:tcPr>
          <w:p>
            <w:pPr>
              <w:pStyle w:val="TableContents"/>
              <w:spacing w:before="0" w:after="0"/>
              <w:ind w:left="0" w:right="0" w:hanging="0"/>
              <w:rPr/>
            </w:pPr>
            <w:r>
              <w:rPr/>
              <w:t xml:space="preserve">3.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Colorado, Inc.</w:t>
            </w:r>
          </w:p>
        </w:tc>
      </w:tr>
      <w:tr>
        <w:trPr/>
        <w:tc>
          <w:tcPr>
            <w:tcW w:w="524" w:type="dxa"/>
            <w:tcBorders/>
            <w:shd w:fill="auto" w:val="clear"/>
          </w:tcPr>
          <w:p>
            <w:pPr>
              <w:pStyle w:val="TableContents"/>
              <w:spacing w:before="0" w:after="0"/>
              <w:ind w:left="0" w:right="0" w:hanging="0"/>
              <w:rPr/>
            </w:pPr>
            <w:r>
              <w:rPr/>
              <w:t xml:space="preserve">4.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Florida, Inc.</w:t>
            </w:r>
          </w:p>
        </w:tc>
      </w:tr>
      <w:tr>
        <w:trPr/>
        <w:tc>
          <w:tcPr>
            <w:tcW w:w="524" w:type="dxa"/>
            <w:tcBorders/>
            <w:shd w:fill="auto" w:val="clear"/>
          </w:tcPr>
          <w:p>
            <w:pPr>
              <w:pStyle w:val="TableContents"/>
              <w:spacing w:before="0" w:after="0"/>
              <w:ind w:left="0" w:right="0" w:hanging="0"/>
              <w:rPr/>
            </w:pPr>
            <w:r>
              <w:rPr/>
              <w:t xml:space="preserve">5.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Indiana, Inc.</w:t>
            </w:r>
          </w:p>
        </w:tc>
      </w:tr>
      <w:tr>
        <w:trPr/>
        <w:tc>
          <w:tcPr>
            <w:tcW w:w="524" w:type="dxa"/>
            <w:tcBorders/>
            <w:shd w:fill="auto" w:val="clear"/>
          </w:tcPr>
          <w:p>
            <w:pPr>
              <w:pStyle w:val="TableContents"/>
              <w:spacing w:before="0" w:after="0"/>
              <w:ind w:left="0" w:right="0" w:hanging="0"/>
              <w:rPr/>
            </w:pPr>
            <w:r>
              <w:rPr/>
              <w:t xml:space="preserve">6.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Louisiana, Inc.</w:t>
            </w:r>
          </w:p>
        </w:tc>
      </w:tr>
      <w:tr>
        <w:trPr/>
        <w:tc>
          <w:tcPr>
            <w:tcW w:w="524" w:type="dxa"/>
            <w:tcBorders/>
            <w:shd w:fill="auto" w:val="clear"/>
          </w:tcPr>
          <w:p>
            <w:pPr>
              <w:pStyle w:val="TableContents"/>
              <w:spacing w:before="0" w:after="0"/>
              <w:ind w:left="0" w:right="0" w:hanging="0"/>
              <w:rPr/>
            </w:pPr>
            <w:r>
              <w:rPr/>
              <w:t xml:space="preserve">7.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Nevada, Inc.</w:t>
            </w:r>
          </w:p>
        </w:tc>
      </w:tr>
      <w:tr>
        <w:trPr/>
        <w:tc>
          <w:tcPr>
            <w:tcW w:w="524" w:type="dxa"/>
            <w:tcBorders/>
            <w:shd w:fill="auto" w:val="clear"/>
          </w:tcPr>
          <w:p>
            <w:pPr>
              <w:pStyle w:val="TableContents"/>
              <w:spacing w:before="0" w:after="0"/>
              <w:ind w:left="0" w:right="0" w:hanging="0"/>
              <w:rPr/>
            </w:pPr>
            <w:r>
              <w:rPr/>
              <w:t xml:space="preserve">8.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Oklahoma, Inc.</w:t>
            </w:r>
          </w:p>
        </w:tc>
      </w:tr>
      <w:tr>
        <w:trPr/>
        <w:tc>
          <w:tcPr>
            <w:tcW w:w="524" w:type="dxa"/>
            <w:tcBorders/>
            <w:shd w:fill="auto" w:val="clear"/>
          </w:tcPr>
          <w:p>
            <w:pPr>
              <w:pStyle w:val="TableContents"/>
              <w:spacing w:before="0" w:after="0"/>
              <w:ind w:left="0" w:right="0" w:hanging="0"/>
              <w:rPr/>
            </w:pPr>
            <w:r>
              <w:rPr/>
              <w:t xml:space="preserve">9.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Tennessee, Inc.</w:t>
            </w:r>
          </w:p>
        </w:tc>
      </w:tr>
      <w:tr>
        <w:trPr/>
        <w:tc>
          <w:tcPr>
            <w:tcW w:w="524" w:type="dxa"/>
            <w:tcBorders/>
            <w:shd w:fill="auto" w:val="clear"/>
          </w:tcPr>
          <w:p>
            <w:pPr>
              <w:pStyle w:val="TableContents"/>
              <w:spacing w:before="0" w:after="0"/>
              <w:ind w:left="0" w:right="0" w:hanging="0"/>
              <w:rPr/>
            </w:pPr>
            <w:r>
              <w:rPr/>
              <w:t xml:space="preserve">10.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Holdings, Inc. (1)</w:t>
            </w:r>
          </w:p>
        </w:tc>
      </w:tr>
      <w:tr>
        <w:trPr/>
        <w:tc>
          <w:tcPr>
            <w:tcW w:w="524" w:type="dxa"/>
            <w:tcBorders/>
            <w:shd w:fill="auto" w:val="clear"/>
          </w:tcPr>
          <w:p>
            <w:pPr>
              <w:pStyle w:val="TableContents"/>
              <w:spacing w:before="0" w:after="0"/>
              <w:ind w:left="0" w:right="0" w:hanging="0"/>
              <w:rPr/>
            </w:pPr>
            <w:r>
              <w:rPr/>
              <w:t xml:space="preserve">11.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Texas EZPAWN Management, Inc. (1)</w:t>
            </w:r>
          </w:p>
        </w:tc>
      </w:tr>
      <w:tr>
        <w:trPr/>
        <w:tc>
          <w:tcPr>
            <w:tcW w:w="524" w:type="dxa"/>
            <w:tcBorders/>
            <w:shd w:fill="auto" w:val="clear"/>
          </w:tcPr>
          <w:p>
            <w:pPr>
              <w:pStyle w:val="TableContents"/>
              <w:spacing w:before="0" w:after="0"/>
              <w:ind w:left="0" w:right="0" w:hanging="0"/>
              <w:rPr/>
            </w:pPr>
            <w:r>
              <w:rPr/>
              <w:t xml:space="preserve">12.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Management, Inc. (2) (4)</w:t>
            </w:r>
          </w:p>
        </w:tc>
      </w:tr>
      <w:tr>
        <w:trPr/>
        <w:tc>
          <w:tcPr>
            <w:tcW w:w="524" w:type="dxa"/>
            <w:tcBorders/>
            <w:shd w:fill="auto" w:val="clear"/>
          </w:tcPr>
          <w:p>
            <w:pPr>
              <w:pStyle w:val="TableContents"/>
              <w:spacing w:before="0" w:after="0"/>
              <w:ind w:left="0" w:right="0" w:hanging="0"/>
              <w:rPr/>
            </w:pPr>
            <w:r>
              <w:rPr/>
              <w:t xml:space="preserve">13.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Holdings, Inc. (3) (4) (5)</w:t>
            </w:r>
          </w:p>
        </w:tc>
      </w:tr>
      <w:tr>
        <w:trPr/>
        <w:tc>
          <w:tcPr>
            <w:tcW w:w="524" w:type="dxa"/>
            <w:tcBorders/>
            <w:shd w:fill="auto" w:val="clear"/>
          </w:tcPr>
          <w:p>
            <w:pPr>
              <w:pStyle w:val="TableContents"/>
              <w:spacing w:before="0" w:after="0"/>
              <w:ind w:left="0" w:right="0" w:hanging="0"/>
              <w:rPr/>
            </w:pPr>
            <w:r>
              <w:rPr/>
              <w:t xml:space="preserve">14.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Payday Loan Management, Inc. (5)</w:t>
            </w:r>
          </w:p>
        </w:tc>
      </w:tr>
      <w:tr>
        <w:trPr/>
        <w:tc>
          <w:tcPr>
            <w:tcW w:w="524" w:type="dxa"/>
            <w:tcBorders/>
            <w:shd w:fill="auto" w:val="clear"/>
          </w:tcPr>
          <w:p>
            <w:pPr>
              <w:pStyle w:val="TableContents"/>
              <w:spacing w:before="0" w:after="0"/>
              <w:ind w:left="0" w:right="0" w:hanging="0"/>
              <w:rPr/>
            </w:pPr>
            <w:r>
              <w:rPr/>
              <w:t xml:space="preserve">15.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Colorado, Inc.</w:t>
            </w:r>
          </w:p>
        </w:tc>
      </w:tr>
      <w:tr>
        <w:trPr/>
        <w:tc>
          <w:tcPr>
            <w:tcW w:w="524" w:type="dxa"/>
            <w:tcBorders/>
            <w:shd w:fill="auto" w:val="clear"/>
          </w:tcPr>
          <w:p>
            <w:pPr>
              <w:pStyle w:val="TableContents"/>
              <w:spacing w:before="0" w:after="0"/>
              <w:ind w:left="0" w:right="0" w:hanging="0"/>
              <w:rPr/>
            </w:pPr>
            <w:r>
              <w:rPr/>
              <w:t xml:space="preserve">16.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Idaho, Inc.</w:t>
            </w:r>
          </w:p>
        </w:tc>
      </w:tr>
      <w:tr>
        <w:trPr/>
        <w:tc>
          <w:tcPr>
            <w:tcW w:w="524" w:type="dxa"/>
            <w:tcBorders/>
            <w:shd w:fill="auto" w:val="clear"/>
          </w:tcPr>
          <w:p>
            <w:pPr>
              <w:pStyle w:val="TableContents"/>
              <w:spacing w:before="0" w:after="0"/>
              <w:ind w:left="0" w:right="0" w:hanging="0"/>
              <w:rPr/>
            </w:pPr>
            <w:r>
              <w:rPr/>
              <w:t xml:space="preserve">17.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Kansas, Inc.</w:t>
            </w:r>
          </w:p>
        </w:tc>
      </w:tr>
      <w:tr>
        <w:trPr/>
        <w:tc>
          <w:tcPr>
            <w:tcW w:w="524" w:type="dxa"/>
            <w:tcBorders/>
            <w:shd w:fill="auto" w:val="clear"/>
          </w:tcPr>
          <w:p>
            <w:pPr>
              <w:pStyle w:val="TableContents"/>
              <w:spacing w:before="0" w:after="0"/>
              <w:ind w:left="0" w:right="0" w:hanging="0"/>
              <w:rPr/>
            </w:pPr>
            <w:r>
              <w:rPr/>
              <w:t xml:space="preserve">18.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Missouri, Inc.</w:t>
            </w:r>
          </w:p>
        </w:tc>
      </w:tr>
      <w:tr>
        <w:trPr/>
        <w:tc>
          <w:tcPr>
            <w:tcW w:w="524" w:type="dxa"/>
            <w:tcBorders/>
            <w:shd w:fill="auto" w:val="clear"/>
          </w:tcPr>
          <w:p>
            <w:pPr>
              <w:pStyle w:val="TableContents"/>
              <w:spacing w:before="0" w:after="0"/>
              <w:ind w:left="0" w:right="0" w:hanging="0"/>
              <w:rPr/>
            </w:pPr>
            <w:r>
              <w:rPr/>
              <w:t xml:space="preserve">19.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Nebraska, Inc.</w:t>
            </w:r>
          </w:p>
        </w:tc>
      </w:tr>
      <w:tr>
        <w:trPr/>
        <w:tc>
          <w:tcPr>
            <w:tcW w:w="524" w:type="dxa"/>
            <w:tcBorders/>
            <w:shd w:fill="auto" w:val="clear"/>
          </w:tcPr>
          <w:p>
            <w:pPr>
              <w:pStyle w:val="TableContents"/>
              <w:spacing w:before="0" w:after="0"/>
              <w:ind w:left="0" w:right="0" w:hanging="0"/>
              <w:rPr/>
            </w:pPr>
            <w:r>
              <w:rPr/>
              <w:t xml:space="preserve">20.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South Dakota, Inc.</w:t>
            </w:r>
          </w:p>
        </w:tc>
      </w:tr>
      <w:tr>
        <w:trPr/>
        <w:tc>
          <w:tcPr>
            <w:tcW w:w="524" w:type="dxa"/>
            <w:tcBorders/>
            <w:shd w:fill="auto" w:val="clear"/>
          </w:tcPr>
          <w:p>
            <w:pPr>
              <w:pStyle w:val="TableContents"/>
              <w:spacing w:before="0" w:after="0"/>
              <w:ind w:left="0" w:right="0" w:hanging="0"/>
              <w:rPr/>
            </w:pPr>
            <w:r>
              <w:rPr/>
              <w:t xml:space="preserve">21.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Utah, Inc.</w:t>
            </w:r>
          </w:p>
        </w:tc>
      </w:tr>
      <w:tr>
        <w:trPr/>
        <w:tc>
          <w:tcPr>
            <w:tcW w:w="524" w:type="dxa"/>
            <w:tcBorders/>
            <w:shd w:fill="auto" w:val="clear"/>
          </w:tcPr>
          <w:p>
            <w:pPr>
              <w:pStyle w:val="TableContents"/>
              <w:spacing w:before="0" w:after="0"/>
              <w:ind w:left="0" w:right="0" w:hanging="0"/>
              <w:rPr/>
            </w:pPr>
            <w:r>
              <w:rPr/>
              <w:t xml:space="preserve">22.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Wisconsin, Inc.</w:t>
            </w:r>
          </w:p>
        </w:tc>
      </w:tr>
      <w:tr>
        <w:trPr/>
        <w:tc>
          <w:tcPr>
            <w:tcW w:w="524" w:type="dxa"/>
            <w:tcBorders/>
            <w:shd w:fill="auto" w:val="clear"/>
          </w:tcPr>
          <w:p>
            <w:pPr>
              <w:pStyle w:val="TableContents"/>
              <w:spacing w:before="0" w:after="0"/>
              <w:ind w:left="0" w:right="0" w:hanging="0"/>
              <w:rPr/>
            </w:pPr>
            <w:r>
              <w:rPr/>
              <w:t xml:space="preserve">23.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EZCORP International, Inc.</w:t>
            </w:r>
          </w:p>
        </w:tc>
      </w:tr>
      <w:tr>
        <w:trPr/>
        <w:tc>
          <w:tcPr>
            <w:tcW w:w="524" w:type="dxa"/>
            <w:tcBorders/>
            <w:shd w:fill="auto" w:val="clear"/>
          </w:tcPr>
          <w:p>
            <w:pPr>
              <w:pStyle w:val="TableContents"/>
              <w:spacing w:before="0" w:after="0"/>
              <w:ind w:left="0" w:right="0" w:hanging="0"/>
              <w:rPr/>
            </w:pPr>
            <w:r>
              <w:rPr/>
              <w:t xml:space="preserve">24.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México Ltd., Inc.</w:t>
            </w:r>
          </w:p>
        </w:tc>
      </w:tr>
      <w:tr>
        <w:trPr/>
        <w:tc>
          <w:tcPr>
            <w:tcW w:w="524" w:type="dxa"/>
            <w:tcBorders/>
            <w:shd w:fill="auto" w:val="clear"/>
          </w:tcPr>
          <w:p>
            <w:pPr>
              <w:pStyle w:val="TableContents"/>
              <w:spacing w:before="0" w:after="0"/>
              <w:ind w:left="0" w:right="0" w:hanging="0"/>
              <w:rPr/>
            </w:pPr>
            <w:r>
              <w:rPr/>
              <w:t xml:space="preserve">25.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Mexico Holdings, Inc.</w:t>
            </w:r>
          </w:p>
        </w:tc>
      </w:tr>
      <w:tr>
        <w:trPr/>
        <w:tc>
          <w:tcPr>
            <w:tcW w:w="524" w:type="dxa"/>
            <w:tcBorders/>
            <w:shd w:fill="auto" w:val="clear"/>
          </w:tcPr>
          <w:p>
            <w:pPr>
              <w:pStyle w:val="TableContents"/>
              <w:spacing w:before="0" w:after="0"/>
              <w:ind w:left="0" w:right="0" w:hanging="0"/>
              <w:rPr/>
            </w:pPr>
            <w:r>
              <w:rPr/>
              <w:t xml:space="preserve">26.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Management Mexico, SRL de CV (Ltd., Inc)</w:t>
            </w:r>
          </w:p>
        </w:tc>
      </w:tr>
      <w:tr>
        <w:trPr/>
        <w:tc>
          <w:tcPr>
            <w:tcW w:w="524" w:type="dxa"/>
            <w:tcBorders/>
            <w:shd w:fill="auto" w:val="clear"/>
          </w:tcPr>
          <w:p>
            <w:pPr>
              <w:pStyle w:val="TableContents"/>
              <w:spacing w:before="0" w:after="0"/>
              <w:ind w:left="0" w:right="0" w:hanging="0"/>
              <w:rPr/>
            </w:pPr>
            <w:r>
              <w:rPr/>
              <w:t xml:space="preserve">27.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EZPAWN Services Mexico, SRL de CV (Holdings)</w:t>
            </w:r>
          </w:p>
        </w:tc>
      </w:tr>
      <w:tr>
        <w:trPr/>
        <w:tc>
          <w:tcPr>
            <w:tcW w:w="524" w:type="dxa"/>
            <w:tcBorders/>
            <w:shd w:fill="auto" w:val="clear"/>
          </w:tcPr>
          <w:p>
            <w:pPr>
              <w:pStyle w:val="TableContents"/>
              <w:spacing w:before="0" w:after="0"/>
              <w:ind w:left="0" w:right="0" w:hanging="0"/>
              <w:rPr/>
            </w:pPr>
            <w:r>
              <w:rPr/>
              <w:t xml:space="preserve">28.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Canada, Inc.</w:t>
            </w:r>
          </w:p>
        </w:tc>
      </w:tr>
      <w:tr>
        <w:trPr/>
        <w:tc>
          <w:tcPr>
            <w:tcW w:w="524" w:type="dxa"/>
            <w:tcBorders/>
            <w:shd w:fill="auto" w:val="clear"/>
          </w:tcPr>
          <w:p>
            <w:pPr>
              <w:pStyle w:val="TableContents"/>
              <w:spacing w:before="0" w:after="0"/>
              <w:ind w:left="0" w:right="0" w:hanging="0"/>
              <w:rPr/>
            </w:pPr>
            <w:r>
              <w:rPr/>
              <w:t xml:space="preserve">29. </w:t>
            </w:r>
          </w:p>
        </w:tc>
        <w:tc>
          <w:tcPr>
            <w:tcW w:w="210" w:type="dxa"/>
            <w:tcBorders/>
            <w:shd w:fill="auto" w:val="clear"/>
            <w:vAlign w:val="bottom"/>
          </w:tcPr>
          <w:p>
            <w:pPr>
              <w:pStyle w:val="TableContents"/>
              <w:spacing w:before="0" w:after="283"/>
              <w:rPr/>
            </w:pPr>
            <w:r>
              <w:rPr/>
              <w:t> </w:t>
            </w:r>
          </w:p>
        </w:tc>
        <w:tc>
          <w:tcPr>
            <w:tcW w:w="9471" w:type="dxa"/>
            <w:tcBorders/>
            <w:shd w:fill="auto" w:val="clear"/>
          </w:tcPr>
          <w:p>
            <w:pPr>
              <w:pStyle w:val="TableContents"/>
              <w:spacing w:before="0" w:after="283"/>
              <w:jc w:val="left"/>
              <w:rPr/>
            </w:pPr>
            <w:r>
              <w:rPr/>
              <w:t>EZMONEY Toba, Inc.</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76"/>
        <w:gridCol w:w="2218"/>
        <w:gridCol w:w="1311"/>
      </w:tblGrid>
      <w:tr>
        <w:trPr/>
        <w:tc>
          <w:tcPr>
            <w:tcW w:w="6676" w:type="dxa"/>
            <w:tcBorders/>
            <w:shd w:fill="auto" w:val="clear"/>
            <w:vAlign w:val="center"/>
          </w:tcPr>
          <w:p>
            <w:pPr>
              <w:pStyle w:val="TableContents"/>
              <w:spacing w:before="0" w:after="283"/>
              <w:rPr>
                <w:sz w:val="4"/>
                <w:szCs w:val="4"/>
              </w:rPr>
            </w:pPr>
            <w:r>
              <w:rPr>
                <w:sz w:val="4"/>
                <w:szCs w:val="4"/>
              </w:rPr>
            </w:r>
          </w:p>
        </w:tc>
        <w:tc>
          <w:tcPr>
            <w:tcW w:w="2218"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r>
      <w:tr>
        <w:trPr/>
        <w:tc>
          <w:tcPr>
            <w:tcW w:w="6676" w:type="dxa"/>
            <w:tcBorders/>
            <w:shd w:fill="auto" w:val="clear"/>
          </w:tcPr>
          <w:p>
            <w:pPr>
              <w:pStyle w:val="TableContents"/>
              <w:spacing w:before="0" w:after="283"/>
              <w:jc w:val="left"/>
              <w:rPr/>
            </w:pPr>
            <w:r>
              <w:rPr/>
              <w:t>(1)</w:t>
            </w:r>
          </w:p>
        </w:tc>
        <w:tc>
          <w:tcPr>
            <w:tcW w:w="2218" w:type="dxa"/>
            <w:tcBorders/>
            <w:shd w:fill="auto" w:val="clear"/>
          </w:tcPr>
          <w:p>
            <w:pPr>
              <w:pStyle w:val="TableContents"/>
              <w:spacing w:before="0" w:after="283"/>
              <w:rPr/>
            </w:pPr>
            <w:r>
              <w:rPr/>
              <w:t> </w:t>
            </w:r>
          </w:p>
        </w:tc>
        <w:tc>
          <w:tcPr>
            <w:tcW w:w="1311" w:type="dxa"/>
            <w:tcBorders/>
            <w:shd w:fill="auto" w:val="clear"/>
          </w:tcPr>
          <w:p>
            <w:pPr>
              <w:pStyle w:val="TableContents"/>
              <w:spacing w:before="0" w:after="283"/>
              <w:rPr/>
            </w:pPr>
            <w:r>
              <w:rPr/>
              <w:t>EZPAWN Texas, Inc. transferred all its assets to Texas EZPAWN, L.P., a Texas limited partnership, of which EZPAWN Holdings, Inc., formerly EZPAWN Texas, Inc. is the limited partner, and Texas EZPAWN Management, Inc. is the sole general partner and holds a certificate of authority to conduct business in Texas.</w:t>
            </w:r>
          </w:p>
        </w:tc>
      </w:tr>
      <w:tr>
        <w:trPr/>
        <w:tc>
          <w:tcPr>
            <w:tcW w:w="6676" w:type="dxa"/>
            <w:tcBorders/>
            <w:shd w:fill="auto" w:val="clear"/>
            <w:vAlign w:val="center"/>
          </w:tcPr>
          <w:p>
            <w:pPr>
              <w:pStyle w:val="TableContents"/>
              <w:spacing w:before="0" w:after="283"/>
              <w:rPr/>
            </w:pPr>
            <w:r>
              <w:rPr/>
              <w:t> </w:t>
            </w:r>
          </w:p>
        </w:tc>
        <w:tc>
          <w:tcPr>
            <w:tcW w:w="3529" w:type="dxa"/>
            <w:gridSpan w:val="2"/>
            <w:tcBorders/>
            <w:shd w:fill="auto" w:val="clear"/>
          </w:tcPr>
          <w:p>
            <w:pPr>
              <w:pStyle w:val="TableContents"/>
              <w:spacing w:before="0" w:after="283"/>
              <w:rPr>
                <w:sz w:val="4"/>
                <w:szCs w:val="4"/>
              </w:rPr>
            </w:pPr>
            <w:r>
              <w:rPr>
                <w:sz w:val="4"/>
                <w:szCs w:val="4"/>
              </w:rPr>
            </w:r>
          </w:p>
        </w:tc>
      </w:tr>
      <w:tr>
        <w:trPr/>
        <w:tc>
          <w:tcPr>
            <w:tcW w:w="6676" w:type="dxa"/>
            <w:tcBorders/>
            <w:shd w:fill="auto" w:val="clear"/>
          </w:tcPr>
          <w:p>
            <w:pPr>
              <w:pStyle w:val="TableContents"/>
              <w:spacing w:before="0" w:after="283"/>
              <w:jc w:val="left"/>
              <w:rPr/>
            </w:pPr>
            <w:r>
              <w:rPr/>
              <w:t>(2)</w:t>
            </w:r>
          </w:p>
        </w:tc>
        <w:tc>
          <w:tcPr>
            <w:tcW w:w="2218" w:type="dxa"/>
            <w:tcBorders/>
            <w:shd w:fill="auto" w:val="clear"/>
          </w:tcPr>
          <w:p>
            <w:pPr>
              <w:pStyle w:val="TableContents"/>
              <w:spacing w:before="0" w:after="283"/>
              <w:rPr/>
            </w:pPr>
            <w:r>
              <w:rPr/>
              <w:t> </w:t>
            </w:r>
          </w:p>
        </w:tc>
        <w:tc>
          <w:tcPr>
            <w:tcW w:w="1311" w:type="dxa"/>
            <w:tcBorders/>
            <w:shd w:fill="auto" w:val="clear"/>
          </w:tcPr>
          <w:p>
            <w:pPr>
              <w:pStyle w:val="TableContents"/>
              <w:spacing w:before="0" w:after="283"/>
              <w:rPr/>
            </w:pPr>
            <w:r>
              <w:rPr/>
              <w:t>EZMONEY Management, Inc. formerly known as EZPAWN Kansas, Inc.</w:t>
            </w:r>
          </w:p>
        </w:tc>
      </w:tr>
      <w:tr>
        <w:trPr/>
        <w:tc>
          <w:tcPr>
            <w:tcW w:w="6676" w:type="dxa"/>
            <w:tcBorders/>
            <w:shd w:fill="auto" w:val="clear"/>
            <w:vAlign w:val="center"/>
          </w:tcPr>
          <w:p>
            <w:pPr>
              <w:pStyle w:val="TableContents"/>
              <w:spacing w:before="0" w:after="283"/>
              <w:rPr/>
            </w:pPr>
            <w:r>
              <w:rPr/>
              <w:t> </w:t>
            </w:r>
          </w:p>
        </w:tc>
        <w:tc>
          <w:tcPr>
            <w:tcW w:w="3529" w:type="dxa"/>
            <w:gridSpan w:val="2"/>
            <w:tcBorders/>
            <w:shd w:fill="auto" w:val="clear"/>
          </w:tcPr>
          <w:p>
            <w:pPr>
              <w:pStyle w:val="TableContents"/>
              <w:spacing w:before="0" w:after="283"/>
              <w:rPr>
                <w:sz w:val="4"/>
                <w:szCs w:val="4"/>
              </w:rPr>
            </w:pPr>
            <w:r>
              <w:rPr>
                <w:sz w:val="4"/>
                <w:szCs w:val="4"/>
              </w:rPr>
            </w:r>
          </w:p>
        </w:tc>
      </w:tr>
      <w:tr>
        <w:trPr/>
        <w:tc>
          <w:tcPr>
            <w:tcW w:w="6676" w:type="dxa"/>
            <w:tcBorders/>
            <w:shd w:fill="auto" w:val="clear"/>
          </w:tcPr>
          <w:p>
            <w:pPr>
              <w:pStyle w:val="TableContents"/>
              <w:spacing w:before="0" w:after="283"/>
              <w:jc w:val="left"/>
              <w:rPr/>
            </w:pPr>
            <w:r>
              <w:rPr/>
              <w:t>(3)</w:t>
            </w:r>
          </w:p>
        </w:tc>
        <w:tc>
          <w:tcPr>
            <w:tcW w:w="2218" w:type="dxa"/>
            <w:tcBorders/>
            <w:shd w:fill="auto" w:val="clear"/>
          </w:tcPr>
          <w:p>
            <w:pPr>
              <w:pStyle w:val="TableContents"/>
              <w:spacing w:before="0" w:after="283"/>
              <w:rPr/>
            </w:pPr>
            <w:r>
              <w:rPr/>
              <w:t> </w:t>
            </w:r>
          </w:p>
        </w:tc>
        <w:tc>
          <w:tcPr>
            <w:tcW w:w="1311" w:type="dxa"/>
            <w:tcBorders/>
            <w:shd w:fill="auto" w:val="clear"/>
          </w:tcPr>
          <w:p>
            <w:pPr>
              <w:pStyle w:val="TableContents"/>
              <w:spacing w:before="0" w:after="283"/>
              <w:rPr/>
            </w:pPr>
            <w:r>
              <w:rPr/>
              <w:t>EZMONEY Holdings, Inc. formerly known as EZPAWN South Carolina, Inc.</w:t>
            </w:r>
          </w:p>
        </w:tc>
      </w:tr>
      <w:tr>
        <w:trPr/>
        <w:tc>
          <w:tcPr>
            <w:tcW w:w="6676" w:type="dxa"/>
            <w:tcBorders/>
            <w:shd w:fill="auto" w:val="clear"/>
            <w:vAlign w:val="center"/>
          </w:tcPr>
          <w:p>
            <w:pPr>
              <w:pStyle w:val="TableContents"/>
              <w:spacing w:before="0" w:after="283"/>
              <w:rPr/>
            </w:pPr>
            <w:r>
              <w:rPr/>
              <w:t> </w:t>
            </w:r>
          </w:p>
        </w:tc>
        <w:tc>
          <w:tcPr>
            <w:tcW w:w="3529" w:type="dxa"/>
            <w:gridSpan w:val="2"/>
            <w:tcBorders/>
            <w:shd w:fill="auto" w:val="clear"/>
          </w:tcPr>
          <w:p>
            <w:pPr>
              <w:pStyle w:val="TableContents"/>
              <w:spacing w:before="0" w:after="283"/>
              <w:rPr>
                <w:sz w:val="4"/>
                <w:szCs w:val="4"/>
              </w:rPr>
            </w:pPr>
            <w:r>
              <w:rPr>
                <w:sz w:val="4"/>
                <w:szCs w:val="4"/>
              </w:rPr>
            </w:r>
          </w:p>
        </w:tc>
      </w:tr>
      <w:tr>
        <w:trPr/>
        <w:tc>
          <w:tcPr>
            <w:tcW w:w="6676" w:type="dxa"/>
            <w:tcBorders/>
            <w:shd w:fill="auto" w:val="clear"/>
          </w:tcPr>
          <w:p>
            <w:pPr>
              <w:pStyle w:val="TableContents"/>
              <w:spacing w:before="0" w:after="283"/>
              <w:jc w:val="left"/>
              <w:rPr/>
            </w:pPr>
            <w:r>
              <w:rPr/>
              <w:t>(4)</w:t>
            </w:r>
          </w:p>
        </w:tc>
        <w:tc>
          <w:tcPr>
            <w:tcW w:w="2218" w:type="dxa"/>
            <w:tcBorders/>
            <w:shd w:fill="auto" w:val="clear"/>
          </w:tcPr>
          <w:p>
            <w:pPr>
              <w:pStyle w:val="TableContents"/>
              <w:spacing w:before="0" w:after="283"/>
              <w:rPr/>
            </w:pPr>
            <w:r>
              <w:rPr/>
              <w:t> </w:t>
            </w:r>
          </w:p>
        </w:tc>
        <w:tc>
          <w:tcPr>
            <w:tcW w:w="1311" w:type="dxa"/>
            <w:tcBorders/>
            <w:shd w:fill="auto" w:val="clear"/>
          </w:tcPr>
          <w:p>
            <w:pPr>
              <w:pStyle w:val="TableContents"/>
              <w:spacing w:before="0" w:after="283"/>
              <w:rPr/>
            </w:pPr>
            <w:r>
              <w:rPr/>
              <w:t>EZMONEY Management, Inc. is the general partner of Texas PRA Management, L.P. and EZMONEY Holdings, Inc. is the limited partner of Texas PRA Management, L.P.</w:t>
            </w:r>
          </w:p>
        </w:tc>
      </w:tr>
      <w:tr>
        <w:trPr/>
        <w:tc>
          <w:tcPr>
            <w:tcW w:w="6676" w:type="dxa"/>
            <w:tcBorders/>
            <w:shd w:fill="auto" w:val="clear"/>
            <w:vAlign w:val="center"/>
          </w:tcPr>
          <w:p>
            <w:pPr>
              <w:pStyle w:val="TableContents"/>
              <w:spacing w:before="0" w:after="283"/>
              <w:rPr/>
            </w:pPr>
            <w:r>
              <w:rPr/>
              <w:t> </w:t>
            </w:r>
          </w:p>
        </w:tc>
        <w:tc>
          <w:tcPr>
            <w:tcW w:w="3529" w:type="dxa"/>
            <w:gridSpan w:val="2"/>
            <w:tcBorders/>
            <w:shd w:fill="auto" w:val="clear"/>
          </w:tcPr>
          <w:p>
            <w:pPr>
              <w:pStyle w:val="TableContents"/>
              <w:spacing w:before="0" w:after="283"/>
              <w:rPr>
                <w:sz w:val="4"/>
                <w:szCs w:val="4"/>
              </w:rPr>
            </w:pPr>
            <w:r>
              <w:rPr>
                <w:sz w:val="4"/>
                <w:szCs w:val="4"/>
              </w:rPr>
            </w:r>
          </w:p>
        </w:tc>
      </w:tr>
      <w:tr>
        <w:trPr/>
        <w:tc>
          <w:tcPr>
            <w:tcW w:w="6676" w:type="dxa"/>
            <w:tcBorders/>
            <w:shd w:fill="auto" w:val="clear"/>
          </w:tcPr>
          <w:p>
            <w:pPr>
              <w:pStyle w:val="TableContents"/>
              <w:spacing w:before="0" w:after="283"/>
              <w:jc w:val="left"/>
              <w:rPr/>
            </w:pPr>
            <w:r>
              <w:rPr/>
              <w:t>(5)</w:t>
            </w:r>
          </w:p>
        </w:tc>
        <w:tc>
          <w:tcPr>
            <w:tcW w:w="2218" w:type="dxa"/>
            <w:tcBorders/>
            <w:shd w:fill="auto" w:val="clear"/>
          </w:tcPr>
          <w:p>
            <w:pPr>
              <w:pStyle w:val="TableContents"/>
              <w:spacing w:before="0" w:after="283"/>
              <w:rPr/>
            </w:pPr>
            <w:r>
              <w:rPr/>
              <w:t> </w:t>
            </w:r>
          </w:p>
        </w:tc>
        <w:tc>
          <w:tcPr>
            <w:tcW w:w="1311" w:type="dxa"/>
            <w:tcBorders/>
            <w:shd w:fill="auto" w:val="clear"/>
          </w:tcPr>
          <w:p>
            <w:pPr>
              <w:pStyle w:val="TableContents"/>
              <w:spacing w:before="0" w:after="283"/>
              <w:rPr/>
            </w:pPr>
            <w:r>
              <w:rPr/>
              <w:t>Payday Loan Management, Inc. is the general partner of Texas EZMONEY, L.P. and EZMONEY Holdings, Inc. is the limited partner of Texas EZMONEY, L.P.</w:t>
            </w:r>
          </w:p>
        </w:tc>
      </w:tr>
    </w:tbl>
    <w:p>
      <w:pPr>
        <w:pStyle w:val="TextBody"/>
        <w:jc w:val="center"/>
        <w:rPr/>
      </w:pPr>
      <w:r>
        <w:rPr/>
        <w:t xml:space="preserve">  </w:t>
      </w:r>
      <w:r>
        <w:br w:type="page"/>
      </w:r>
    </w:p>
    <w:p>
      <w:pPr>
        <w:pStyle w:val="Heading5"/>
        <w:jc w:val="left"/>
        <w:rPr/>
      </w:pPr>
      <w:bookmarkStart w:id="38" w:name="d52356exv23w1.htm"/>
      <w:bookmarkStart w:id="39" w:name="ksd52356exv23w1"/>
      <w:bookmarkEnd w:id="38"/>
      <w:bookmarkEnd w:id="39"/>
      <w:r>
        <w:rPr/>
        <w:t> </w:t>
      </w:r>
    </w:p>
    <w:p>
      <w:pPr>
        <w:pStyle w:val="TextBody"/>
        <w:spacing w:before="360" w:after="283"/>
        <w:jc w:val="center"/>
        <w:rPr>
          <w:rFonts w:ascii="Helvetica;Arial;sans-serif" w:hAnsi="Helvetica;Arial;sans-serif"/>
          <w:sz w:val="17"/>
        </w:rPr>
      </w:pPr>
      <w:r>
        <w:rPr>
          <w:rFonts w:ascii="Helvetica;Arial;sans-serif" w:hAnsi="Helvetica;Arial;sans-serif"/>
          <w:b/>
          <w:sz w:val="17"/>
        </w:rPr>
        <w:t>Exhibit 23.1</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b/>
          <w:sz w:val="17"/>
        </w:rPr>
        <w:t>CONSENT OF INDEPENDENT REGISTERED PUBLIC ACCOUNTING FIRM</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hereby consent to the incorporation by reference in the Registration Statement (Form S-8 No. 33-63082) pertaining to the 1991 EZCORP, Inc. Stock Incentive Plan, the Registration Statement (Form S-8 No. 33-63078) pertaining to the EZCORP, Inc. 401(k) Plan, the Registration Statement (Form S-8 No. 333-108847) pertaining to the 1998 EZCORP, Inc. Stock Incentive Plan, the Registration Statement (Form S-8 No. 333-122116) pertaining to the EZCORP, Inc. 2003 Incentive Plan, and the Registration Statement (Form S-8 No. 333-140492) pertaining to the EZCORP, Inc. 2006 Incentive Plan of our reports dated December 10, 2007 relating to the consolidated financial statements, the financial statement schedule, and the effectiveness of internal control over financial reporting of EZCORP, Inc. and subsidiaries included in the Annual Report (Form 10-K) for the year ended September 30, 2007.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/s/ BDO Seidman, LLP </w:t>
      </w:r>
    </w:p>
    <w:p>
      <w:pPr>
        <w:pStyle w:val="TextBody"/>
        <w:spacing w:before="120" w:after="283"/>
        <w:jc w:val="left"/>
        <w:rPr>
          <w:rFonts w:ascii="Helvetica;Arial;sans-serif" w:hAnsi="Helvetica;Arial;sans-serif"/>
          <w:sz w:val="17"/>
        </w:rPr>
      </w:pPr>
      <w:r>
        <w:rPr>
          <w:rFonts w:ascii="Helvetica;Arial;sans-serif" w:hAnsi="Helvetica;Arial;sans-serif"/>
          <w:sz w:val="17"/>
        </w:rPr>
        <w:t>Dallas, Texas</w:t>
        <w:br/>
        <w:t xml:space="preserve">December 13, 2007 </w:t>
      </w:r>
    </w:p>
    <w:p>
      <w:pPr>
        <w:pStyle w:val="TextBody"/>
        <w:jc w:val="center"/>
        <w:rPr/>
      </w:pPr>
      <w:r>
        <w:rPr/>
        <w:t xml:space="preserve">  </w:t>
      </w:r>
      <w:r>
        <w:br w:type="page"/>
      </w:r>
    </w:p>
    <w:p>
      <w:pPr>
        <w:pStyle w:val="Heading5"/>
        <w:jc w:val="left"/>
        <w:rPr/>
      </w:pPr>
      <w:bookmarkStart w:id="40" w:name="d52356exv31w1.htm"/>
      <w:bookmarkStart w:id="41" w:name="ksd52356exv31w1"/>
      <w:bookmarkEnd w:id="40"/>
      <w:bookmarkEnd w:id="41"/>
      <w:r>
        <w:rPr/>
        <w:t> </w:t>
      </w:r>
    </w:p>
    <w:p>
      <w:pPr>
        <w:pStyle w:val="TextBody"/>
        <w:spacing w:before="360" w:after="283"/>
        <w:jc w:val="center"/>
        <w:rPr>
          <w:rFonts w:ascii="Helvetica;Arial;sans-serif" w:hAnsi="Helvetica;Arial;sans-serif"/>
          <w:sz w:val="17"/>
        </w:rPr>
      </w:pPr>
      <w:r>
        <w:rPr>
          <w:rFonts w:ascii="Helvetica;Arial;sans-serif" w:hAnsi="Helvetica;Arial;sans-serif"/>
          <w:b/>
          <w:sz w:val="17"/>
        </w:rPr>
        <w:t>Exhibit 31.1</w:t>
        <w:br/>
        <w:t>CERTIFICATION PURSUANT TO SECTION 302 OF THE SARBANES-OXLEY ACT OF 2002</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I, Joseph L. Rotunda, certify that: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 have reviewed this Annual Report on Form 10-K of EZCORP, Inc. (the registrant) for the year ended September 30, 2007;</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611"/>
        <w:gridCol w:w="306"/>
        <w:gridCol w:w="101"/>
        <w:gridCol w:w="9187"/>
      </w:tblGrid>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4"/>
        <w:gridCol w:w="305"/>
        <w:gridCol w:w="101"/>
        <w:gridCol w:w="9595"/>
      </w:tblGrid>
      <w:tr>
        <w:trPr/>
        <w:tc>
          <w:tcPr>
            <w:tcW w:w="2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612"/>
        <w:gridCol w:w="305"/>
        <w:gridCol w:w="101"/>
        <w:gridCol w:w="9187"/>
      </w:tblGrid>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center"/>
        <w:tblInd w:w="0" w:type="dxa"/>
        <w:tblCellMar>
          <w:top w:w="0" w:type="dxa"/>
          <w:left w:w="0" w:type="dxa"/>
          <w:bottom w:w="0" w:type="dxa"/>
          <w:right w:w="0" w:type="dxa"/>
        </w:tblCellMar>
      </w:tblPr>
      <w:tblGrid>
        <w:gridCol w:w="5104"/>
        <w:gridCol w:w="203"/>
        <w:gridCol w:w="4082"/>
        <w:gridCol w:w="203"/>
        <w:gridCol w:w="613"/>
      </w:tblGrid>
      <w:tr>
        <w:trPr/>
        <w:tc>
          <w:tcPr>
            <w:tcW w:w="510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408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r>
      <w:tr>
        <w:trPr/>
        <w:tc>
          <w:tcPr>
            <w:tcW w:w="5104" w:type="dxa"/>
            <w:tcBorders/>
            <w:shd w:fill="auto" w:val="clear"/>
          </w:tcPr>
          <w:p>
            <w:pPr>
              <w:pStyle w:val="TableContents"/>
              <w:spacing w:before="0" w:after="0"/>
              <w:ind w:left="0" w:right="0" w:hanging="0"/>
              <w:rPr/>
            </w:pPr>
            <w:r>
              <w:rPr/>
              <w:t xml:space="preserve">Date: December 13, 2007 </w:t>
            </w:r>
          </w:p>
        </w:tc>
        <w:tc>
          <w:tcPr>
            <w:tcW w:w="203"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/s/ Joseph L. Rotunda</w:t>
            </w:r>
          </w:p>
        </w:tc>
        <w:tc>
          <w:tcPr>
            <w:tcW w:w="203" w:type="dxa"/>
            <w:tcBorders/>
            <w:shd w:fill="auto" w:val="clear"/>
            <w:vAlign w:val="bottom"/>
          </w:tcPr>
          <w:p>
            <w:pPr>
              <w:pStyle w:val="TableContents"/>
              <w:spacing w:before="0" w:after="283"/>
              <w:rPr/>
            </w:pPr>
            <w:r>
              <w:rPr/>
              <w:t> </w:t>
            </w:r>
          </w:p>
        </w:tc>
        <w:tc>
          <w:tcPr>
            <w:tcW w:w="613" w:type="dxa"/>
            <w:tcBorders/>
            <w:shd w:fill="auto" w:val="clear"/>
          </w:tcPr>
          <w:p>
            <w:pPr>
              <w:pStyle w:val="TableContents"/>
              <w:spacing w:before="0" w:after="283"/>
              <w:jc w:val="left"/>
              <w:rPr/>
            </w:pPr>
            <w:r>
              <w:rPr/>
              <w:t> </w:t>
            </w:r>
          </w:p>
        </w:tc>
      </w:tr>
      <w:tr>
        <w:trPr/>
        <w:tc>
          <w:tcPr>
            <w:tcW w:w="5104"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Joseph L. Rotunda </w:t>
            </w:r>
          </w:p>
        </w:tc>
        <w:tc>
          <w:tcPr>
            <w:tcW w:w="203" w:type="dxa"/>
            <w:tcBorders/>
            <w:shd w:fill="auto" w:val="clear"/>
            <w:vAlign w:val="bottom"/>
          </w:tcPr>
          <w:p>
            <w:pPr>
              <w:pStyle w:val="TableContents"/>
              <w:spacing w:before="0" w:after="283"/>
              <w:rPr/>
            </w:pPr>
            <w:r>
              <w:rPr/>
              <w:t> </w:t>
            </w:r>
          </w:p>
        </w:tc>
        <w:tc>
          <w:tcPr>
            <w:tcW w:w="613" w:type="dxa"/>
            <w:tcBorders/>
            <w:shd w:fill="auto" w:val="clear"/>
          </w:tcPr>
          <w:p>
            <w:pPr>
              <w:pStyle w:val="TableContents"/>
              <w:spacing w:before="0" w:after="283"/>
              <w:jc w:val="left"/>
              <w:rPr/>
            </w:pPr>
            <w:r>
              <w:rPr/>
              <w:t> </w:t>
            </w:r>
          </w:p>
        </w:tc>
      </w:tr>
      <w:tr>
        <w:trPr/>
        <w:tc>
          <w:tcPr>
            <w:tcW w:w="5104"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President, Chief Executive Officer</w:t>
            </w:r>
          </w:p>
        </w:tc>
        <w:tc>
          <w:tcPr>
            <w:tcW w:w="203" w:type="dxa"/>
            <w:tcBorders/>
            <w:shd w:fill="auto" w:val="clear"/>
            <w:vAlign w:val="bottom"/>
          </w:tcPr>
          <w:p>
            <w:pPr>
              <w:pStyle w:val="TableContents"/>
              <w:spacing w:before="0" w:after="283"/>
              <w:rPr/>
            </w:pPr>
            <w:r>
              <w:rPr/>
              <w:t> </w:t>
            </w:r>
          </w:p>
        </w:tc>
        <w:tc>
          <w:tcPr>
            <w:tcW w:w="613" w:type="dxa"/>
            <w:tcBorders/>
            <w:shd w:fill="auto" w:val="clear"/>
          </w:tcPr>
          <w:p>
            <w:pPr>
              <w:pStyle w:val="TableContents"/>
              <w:spacing w:before="0" w:after="283"/>
              <w:jc w:val="left"/>
              <w:rPr/>
            </w:pPr>
            <w:r>
              <w:rPr/>
              <w:t> </w:t>
            </w:r>
          </w:p>
        </w:tc>
      </w:tr>
      <w:tr>
        <w:trPr/>
        <w:tc>
          <w:tcPr>
            <w:tcW w:w="5104"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&amp; Director</w:t>
            </w:r>
          </w:p>
        </w:tc>
        <w:tc>
          <w:tcPr>
            <w:tcW w:w="203" w:type="dxa"/>
            <w:tcBorders/>
            <w:shd w:fill="auto" w:val="clear"/>
            <w:vAlign w:val="bottom"/>
          </w:tcPr>
          <w:p>
            <w:pPr>
              <w:pStyle w:val="TableContents"/>
              <w:spacing w:before="0" w:after="283"/>
              <w:rPr/>
            </w:pPr>
            <w:r>
              <w:rPr/>
              <w:t> </w:t>
            </w:r>
          </w:p>
        </w:tc>
        <w:tc>
          <w:tcPr>
            <w:tcW w:w="613"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42" w:name="d52356exv31w2.htm"/>
      <w:bookmarkStart w:id="43" w:name="ksd52356exv31w2"/>
      <w:bookmarkEnd w:id="42"/>
      <w:bookmarkEnd w:id="43"/>
      <w:r>
        <w:rPr/>
        <w:t> </w:t>
      </w:r>
    </w:p>
    <w:p>
      <w:pPr>
        <w:pStyle w:val="TextBody"/>
        <w:spacing w:before="360" w:after="283"/>
        <w:jc w:val="center"/>
        <w:rPr>
          <w:rFonts w:ascii="Helvetica;Arial;sans-serif" w:hAnsi="Helvetica;Arial;sans-serif"/>
          <w:sz w:val="17"/>
        </w:rPr>
      </w:pPr>
      <w:r>
        <w:rPr>
          <w:rFonts w:ascii="Helvetica;Arial;sans-serif" w:hAnsi="Helvetica;Arial;sans-serif"/>
          <w:b/>
          <w:sz w:val="17"/>
        </w:rPr>
        <w:t>Exhibit 31.2</w:t>
        <w:br/>
        <w:t>CERTIFICATION PURSUANT TO SECTION 302 OF THE SARBANES-OXLEY ACT OF 2002</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I, Dan N. Tonissen, certify that: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 have reviewed this Annual Report on Form 10-K of EZCORP, Inc. (the registrant) for the year ended September 30, 2007;</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611"/>
        <w:gridCol w:w="306"/>
        <w:gridCol w:w="101"/>
        <w:gridCol w:w="9187"/>
      </w:tblGrid>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4"/>
        <w:gridCol w:w="305"/>
        <w:gridCol w:w="101"/>
        <w:gridCol w:w="9595"/>
      </w:tblGrid>
      <w:tr>
        <w:trPr/>
        <w:tc>
          <w:tcPr>
            <w:tcW w:w="2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612"/>
        <w:gridCol w:w="305"/>
        <w:gridCol w:w="101"/>
        <w:gridCol w:w="9187"/>
      </w:tblGrid>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center"/>
        <w:tblInd w:w="0" w:type="dxa"/>
        <w:tblCellMar>
          <w:top w:w="0" w:type="dxa"/>
          <w:left w:w="0" w:type="dxa"/>
          <w:bottom w:w="0" w:type="dxa"/>
          <w:right w:w="0" w:type="dxa"/>
        </w:tblCellMar>
      </w:tblPr>
      <w:tblGrid>
        <w:gridCol w:w="5104"/>
        <w:gridCol w:w="203"/>
        <w:gridCol w:w="4082"/>
        <w:gridCol w:w="203"/>
        <w:gridCol w:w="613"/>
      </w:tblGrid>
      <w:tr>
        <w:trPr/>
        <w:tc>
          <w:tcPr>
            <w:tcW w:w="510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408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r>
      <w:tr>
        <w:trPr/>
        <w:tc>
          <w:tcPr>
            <w:tcW w:w="5104" w:type="dxa"/>
            <w:tcBorders/>
            <w:shd w:fill="auto" w:val="clear"/>
          </w:tcPr>
          <w:p>
            <w:pPr>
              <w:pStyle w:val="TableContents"/>
              <w:spacing w:before="0" w:after="0"/>
              <w:ind w:left="0" w:right="0" w:hanging="0"/>
              <w:rPr/>
            </w:pPr>
            <w:r>
              <w:rPr/>
              <w:t xml:space="preserve">Date: December 13, 2007 </w:t>
            </w:r>
          </w:p>
        </w:tc>
        <w:tc>
          <w:tcPr>
            <w:tcW w:w="203"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/s/ Dan N. Tonissen</w:t>
            </w:r>
          </w:p>
        </w:tc>
        <w:tc>
          <w:tcPr>
            <w:tcW w:w="203" w:type="dxa"/>
            <w:tcBorders/>
            <w:shd w:fill="auto" w:val="clear"/>
            <w:vAlign w:val="bottom"/>
          </w:tcPr>
          <w:p>
            <w:pPr>
              <w:pStyle w:val="TableContents"/>
              <w:spacing w:before="0" w:after="283"/>
              <w:rPr/>
            </w:pPr>
            <w:r>
              <w:rPr/>
              <w:t> </w:t>
            </w:r>
          </w:p>
        </w:tc>
        <w:tc>
          <w:tcPr>
            <w:tcW w:w="613" w:type="dxa"/>
            <w:tcBorders/>
            <w:shd w:fill="auto" w:val="clear"/>
          </w:tcPr>
          <w:p>
            <w:pPr>
              <w:pStyle w:val="TableContents"/>
              <w:spacing w:before="0" w:after="283"/>
              <w:jc w:val="left"/>
              <w:rPr/>
            </w:pPr>
            <w:r>
              <w:rPr/>
              <w:t> </w:t>
            </w:r>
          </w:p>
        </w:tc>
      </w:tr>
      <w:tr>
        <w:trPr/>
        <w:tc>
          <w:tcPr>
            <w:tcW w:w="5104"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Dan N. Tonissen </w:t>
            </w:r>
          </w:p>
        </w:tc>
        <w:tc>
          <w:tcPr>
            <w:tcW w:w="203" w:type="dxa"/>
            <w:tcBorders/>
            <w:shd w:fill="auto" w:val="clear"/>
            <w:vAlign w:val="bottom"/>
          </w:tcPr>
          <w:p>
            <w:pPr>
              <w:pStyle w:val="TableContents"/>
              <w:spacing w:before="0" w:after="283"/>
              <w:rPr/>
            </w:pPr>
            <w:r>
              <w:rPr/>
              <w:t> </w:t>
            </w:r>
          </w:p>
        </w:tc>
        <w:tc>
          <w:tcPr>
            <w:tcW w:w="613" w:type="dxa"/>
            <w:tcBorders/>
            <w:shd w:fill="auto" w:val="clear"/>
          </w:tcPr>
          <w:p>
            <w:pPr>
              <w:pStyle w:val="TableContents"/>
              <w:spacing w:before="0" w:after="283"/>
              <w:jc w:val="left"/>
              <w:rPr/>
            </w:pPr>
            <w:r>
              <w:rPr/>
              <w:t> </w:t>
            </w:r>
          </w:p>
        </w:tc>
      </w:tr>
      <w:tr>
        <w:trPr/>
        <w:tc>
          <w:tcPr>
            <w:tcW w:w="5104"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Senior Vice President,</w:t>
            </w:r>
          </w:p>
        </w:tc>
        <w:tc>
          <w:tcPr>
            <w:tcW w:w="203" w:type="dxa"/>
            <w:tcBorders/>
            <w:shd w:fill="auto" w:val="clear"/>
            <w:vAlign w:val="bottom"/>
          </w:tcPr>
          <w:p>
            <w:pPr>
              <w:pStyle w:val="TableContents"/>
              <w:spacing w:before="0" w:after="283"/>
              <w:rPr/>
            </w:pPr>
            <w:r>
              <w:rPr/>
              <w:t> </w:t>
            </w:r>
          </w:p>
        </w:tc>
        <w:tc>
          <w:tcPr>
            <w:tcW w:w="613" w:type="dxa"/>
            <w:tcBorders/>
            <w:shd w:fill="auto" w:val="clear"/>
          </w:tcPr>
          <w:p>
            <w:pPr>
              <w:pStyle w:val="TableContents"/>
              <w:spacing w:before="0" w:after="283"/>
              <w:jc w:val="left"/>
              <w:rPr/>
            </w:pPr>
            <w:r>
              <w:rPr/>
              <w:t> </w:t>
            </w:r>
          </w:p>
        </w:tc>
      </w:tr>
      <w:tr>
        <w:trPr/>
        <w:tc>
          <w:tcPr>
            <w:tcW w:w="5104" w:type="dxa"/>
            <w:tcBorders/>
            <w:shd w:fill="auto" w:val="clear"/>
          </w:tcPr>
          <w:p>
            <w:pPr>
              <w:pStyle w:val="TableContents"/>
              <w:spacing w:before="0" w:after="0"/>
              <w:ind w:left="0" w:right="0" w:hanging="0"/>
              <w:rPr/>
            </w:pPr>
            <w:r>
              <w:rPr/>
              <w:t xml:space="preserve">  </w:t>
            </w:r>
          </w:p>
        </w:tc>
        <w:tc>
          <w:tcPr>
            <w:tcW w:w="203" w:type="dxa"/>
            <w:tcBorders/>
            <w:shd w:fill="auto" w:val="clear"/>
            <w:vAlign w:val="bottom"/>
          </w:tcPr>
          <w:p>
            <w:pPr>
              <w:pStyle w:val="TableContents"/>
              <w:spacing w:before="0" w:after="283"/>
              <w:rPr/>
            </w:pPr>
            <w:r>
              <w:rPr/>
              <w:t> </w:t>
            </w:r>
          </w:p>
        </w:tc>
        <w:tc>
          <w:tcPr>
            <w:tcW w:w="4082" w:type="dxa"/>
            <w:tcBorders/>
            <w:shd w:fill="auto" w:val="clear"/>
          </w:tcPr>
          <w:p>
            <w:pPr>
              <w:pStyle w:val="TableContents"/>
              <w:spacing w:before="0" w:after="283"/>
              <w:jc w:val="left"/>
              <w:rPr/>
            </w:pPr>
            <w:r>
              <w:rPr/>
              <w:t>Chief Financial Officer &amp; Director</w:t>
            </w:r>
          </w:p>
        </w:tc>
        <w:tc>
          <w:tcPr>
            <w:tcW w:w="203" w:type="dxa"/>
            <w:tcBorders/>
            <w:shd w:fill="auto" w:val="clear"/>
            <w:vAlign w:val="bottom"/>
          </w:tcPr>
          <w:p>
            <w:pPr>
              <w:pStyle w:val="TableContents"/>
              <w:spacing w:before="0" w:after="283"/>
              <w:rPr/>
            </w:pPr>
            <w:r>
              <w:rPr/>
              <w:t> </w:t>
            </w:r>
          </w:p>
        </w:tc>
        <w:tc>
          <w:tcPr>
            <w:tcW w:w="613"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44" w:name="d52356exv32w1.htm"/>
      <w:bookmarkStart w:id="45" w:name="ksd52356exv32w1"/>
      <w:bookmarkEnd w:id="44"/>
      <w:bookmarkEnd w:id="45"/>
      <w:r>
        <w:rPr/>
        <w:t> </w:t>
      </w:r>
    </w:p>
    <w:p>
      <w:pPr>
        <w:pStyle w:val="TextBody"/>
        <w:spacing w:before="360" w:after="283"/>
        <w:jc w:val="center"/>
        <w:rPr>
          <w:rFonts w:ascii="Helvetica;Arial;sans-serif" w:hAnsi="Helvetica;Arial;sans-serif"/>
          <w:sz w:val="17"/>
        </w:rPr>
      </w:pPr>
      <w:r>
        <w:rPr>
          <w:rFonts w:ascii="Helvetica;Arial;sans-serif" w:hAnsi="Helvetica;Arial;sans-serif"/>
          <w:b/>
          <w:sz w:val="17"/>
        </w:rPr>
        <w:t>Exhibit 32.1</w:t>
      </w:r>
      <w:r>
        <w:rPr>
          <w:rFonts w:ascii="Helvetica;Arial;sans-serif" w:hAnsi="Helvetica;Arial;sans-serif"/>
          <w:sz w:val="17"/>
        </w:rPr>
        <w:t xml:space="preserve"> </w:t>
      </w:r>
    </w:p>
    <w:p>
      <w:pPr>
        <w:pStyle w:val="TextBody"/>
        <w:spacing w:before="120" w:after="283"/>
        <w:jc w:val="center"/>
        <w:rPr>
          <w:rFonts w:ascii="Helvetica;Arial;sans-serif" w:hAnsi="Helvetica;Arial;sans-serif"/>
          <w:sz w:val="17"/>
        </w:rPr>
      </w:pPr>
      <w:r>
        <w:rPr>
          <w:rFonts w:ascii="Helvetica;Arial;sans-serif" w:hAnsi="Helvetica;Arial;sans-serif"/>
          <w:b/>
          <w:sz w:val="17"/>
        </w:rPr>
        <w:t>Certification Pursuant to Section 906 of the Sarbanes-Oxley Act of 2002</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In connection with the filing of the Annual Report on Form 10-K for the period ended September 30, 2007 (the Report) by EZCORP, Inc. (Registrant), the undersigned hereby certifies that: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1. The Report fully complies with the requirements of section 13(a) or 15(d) of the Securities Exchange Act of 1934, as amended, and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2. The information contained in the Report fairly presents, in all material respects, the financial condition and results of operations of      Registrant.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Date: December 13, 2007 </w:t>
      </w:r>
    </w:p>
    <w:tbl>
      <w:tblPr>
        <w:tblW w:w="5000" w:type="pct"/>
        <w:jc w:val="center"/>
        <w:tblInd w:w="0" w:type="dxa"/>
        <w:tblCellMar>
          <w:top w:w="0" w:type="dxa"/>
          <w:left w:w="0" w:type="dxa"/>
          <w:bottom w:w="0" w:type="dxa"/>
          <w:right w:w="0" w:type="dxa"/>
        </w:tblCellMar>
      </w:tblPr>
      <w:tblGrid>
        <w:gridCol w:w="5865"/>
        <w:gridCol w:w="234"/>
        <w:gridCol w:w="4106"/>
      </w:tblGrid>
      <w:tr>
        <w:trPr/>
        <w:tc>
          <w:tcPr>
            <w:tcW w:w="586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4106" w:type="dxa"/>
            <w:tcBorders/>
            <w:shd w:fill="auto" w:val="clear"/>
            <w:vAlign w:val="bottom"/>
          </w:tcPr>
          <w:p>
            <w:pPr>
              <w:pStyle w:val="TableContents"/>
              <w:spacing w:before="0" w:after="283"/>
              <w:rPr/>
            </w:pPr>
            <w:r>
              <w:rPr/>
              <w:t> </w:t>
            </w:r>
          </w:p>
        </w:tc>
      </w:tr>
      <w:tr>
        <w:trPr/>
        <w:tc>
          <w:tcPr>
            <w:tcW w:w="5865" w:type="dxa"/>
            <w:tcBorders/>
            <w:shd w:fill="auto" w:val="clear"/>
          </w:tcPr>
          <w:p>
            <w:pPr>
              <w:pStyle w:val="TableContents"/>
              <w:spacing w:before="0" w:after="0"/>
              <w:ind w:left="0" w:right="0" w:hanging="0"/>
              <w:rPr/>
            </w:pPr>
            <w:r>
              <w:rPr/>
              <w:t xml:space="preserve">  </w:t>
            </w:r>
          </w:p>
        </w:tc>
        <w:tc>
          <w:tcPr>
            <w:tcW w:w="234" w:type="dxa"/>
            <w:tcBorders/>
            <w:shd w:fill="auto" w:val="clear"/>
            <w:vAlign w:val="bottom"/>
          </w:tcPr>
          <w:p>
            <w:pPr>
              <w:pStyle w:val="TableContents"/>
              <w:spacing w:before="0" w:after="283"/>
              <w:rPr/>
            </w:pPr>
            <w:r>
              <w:rPr/>
              <w:t> </w:t>
            </w:r>
          </w:p>
        </w:tc>
        <w:tc>
          <w:tcPr>
            <w:tcW w:w="4106" w:type="dxa"/>
            <w:tcBorders/>
            <w:shd w:fill="auto" w:val="clear"/>
          </w:tcPr>
          <w:p>
            <w:pPr>
              <w:pStyle w:val="TableContents"/>
              <w:spacing w:before="0" w:after="283"/>
              <w:jc w:val="left"/>
              <w:rPr/>
            </w:pPr>
            <w:r>
              <w:rPr/>
              <w:t>/s/ Joseph L. Rotunda</w:t>
            </w:r>
          </w:p>
        </w:tc>
      </w:tr>
      <w:tr>
        <w:trPr/>
        <w:tc>
          <w:tcPr>
            <w:tcW w:w="5865" w:type="dxa"/>
            <w:tcBorders/>
            <w:shd w:fill="auto" w:val="clear"/>
          </w:tcPr>
          <w:p>
            <w:pPr>
              <w:pStyle w:val="TableContents"/>
              <w:spacing w:before="0" w:after="0"/>
              <w:ind w:left="0" w:right="0" w:hanging="0"/>
              <w:rPr/>
            </w:pPr>
            <w:r>
              <w:rPr/>
              <w:t xml:space="preserve">  </w:t>
            </w:r>
          </w:p>
        </w:tc>
        <w:tc>
          <w:tcPr>
            <w:tcW w:w="234" w:type="dxa"/>
            <w:tcBorders/>
            <w:shd w:fill="auto" w:val="clear"/>
            <w:vAlign w:val="center"/>
          </w:tcPr>
          <w:p>
            <w:pPr>
              <w:pStyle w:val="TableContents"/>
              <w:spacing w:before="0" w:after="283"/>
              <w:rPr/>
            </w:pPr>
            <w:r>
              <w:rPr/>
              <w:t> </w:t>
            </w:r>
          </w:p>
        </w:tc>
        <w:tc>
          <w:tcPr>
            <w:tcW w:w="4106" w:type="dxa"/>
            <w:tcBorders>
              <w:top w:val="single" w:sz="2" w:space="0" w:color="000000"/>
            </w:tcBorders>
            <w:shd w:fill="auto" w:val="clear"/>
            <w:tcMar>
              <w:top w:w="28" w:type="dxa"/>
            </w:tcMar>
          </w:tcPr>
          <w:p>
            <w:pPr>
              <w:pStyle w:val="TableContents"/>
              <w:spacing w:before="0" w:after="283"/>
              <w:jc w:val="left"/>
              <w:rPr/>
            </w:pPr>
            <w:r>
              <w:rPr/>
              <w:t> </w:t>
            </w:r>
          </w:p>
        </w:tc>
      </w:tr>
      <w:tr>
        <w:trPr/>
        <w:tc>
          <w:tcPr>
            <w:tcW w:w="5865" w:type="dxa"/>
            <w:tcBorders/>
            <w:shd w:fill="auto" w:val="clear"/>
          </w:tcPr>
          <w:p>
            <w:pPr>
              <w:pStyle w:val="TableContents"/>
              <w:spacing w:before="0" w:after="0"/>
              <w:ind w:left="0" w:right="0" w:hanging="0"/>
              <w:rPr/>
            </w:pPr>
            <w:r>
              <w:rPr/>
              <w:t xml:space="preserve">  </w:t>
            </w:r>
          </w:p>
        </w:tc>
        <w:tc>
          <w:tcPr>
            <w:tcW w:w="234" w:type="dxa"/>
            <w:tcBorders/>
            <w:shd w:fill="auto" w:val="clear"/>
            <w:vAlign w:val="bottom"/>
          </w:tcPr>
          <w:p>
            <w:pPr>
              <w:pStyle w:val="TableContents"/>
              <w:spacing w:before="0" w:after="283"/>
              <w:rPr/>
            </w:pPr>
            <w:r>
              <w:rPr/>
              <w:t> </w:t>
            </w:r>
          </w:p>
        </w:tc>
        <w:tc>
          <w:tcPr>
            <w:tcW w:w="4106" w:type="dxa"/>
            <w:tcBorders/>
            <w:shd w:fill="auto" w:val="clear"/>
          </w:tcPr>
          <w:p>
            <w:pPr>
              <w:pStyle w:val="TableContents"/>
              <w:spacing w:before="0" w:after="283"/>
              <w:jc w:val="left"/>
              <w:rPr/>
            </w:pPr>
            <w:r>
              <w:rPr/>
              <w:t>Joseph L. Rotunda</w:t>
            </w:r>
          </w:p>
        </w:tc>
      </w:tr>
      <w:tr>
        <w:trPr/>
        <w:tc>
          <w:tcPr>
            <w:tcW w:w="5865" w:type="dxa"/>
            <w:tcBorders/>
            <w:shd w:fill="auto" w:val="clear"/>
          </w:tcPr>
          <w:p>
            <w:pPr>
              <w:pStyle w:val="TableContents"/>
              <w:spacing w:before="0" w:after="0"/>
              <w:ind w:left="0" w:right="0" w:hanging="0"/>
              <w:rPr/>
            </w:pPr>
            <w:r>
              <w:rPr/>
              <w:t xml:space="preserve">  </w:t>
            </w:r>
          </w:p>
        </w:tc>
        <w:tc>
          <w:tcPr>
            <w:tcW w:w="234" w:type="dxa"/>
            <w:tcBorders/>
            <w:shd w:fill="auto" w:val="clear"/>
            <w:vAlign w:val="bottom"/>
          </w:tcPr>
          <w:p>
            <w:pPr>
              <w:pStyle w:val="TableContents"/>
              <w:spacing w:before="0" w:after="283"/>
              <w:rPr/>
            </w:pPr>
            <w:r>
              <w:rPr/>
              <w:t> </w:t>
            </w:r>
          </w:p>
        </w:tc>
        <w:tc>
          <w:tcPr>
            <w:tcW w:w="4106" w:type="dxa"/>
            <w:tcBorders/>
            <w:shd w:fill="auto" w:val="clear"/>
          </w:tcPr>
          <w:p>
            <w:pPr>
              <w:pStyle w:val="TableContents"/>
              <w:spacing w:before="0" w:after="283"/>
              <w:jc w:val="left"/>
              <w:rPr/>
            </w:pPr>
            <w:r>
              <w:rPr/>
              <w:t>President, Chief Executive Officer</w:t>
            </w:r>
          </w:p>
        </w:tc>
      </w:tr>
      <w:tr>
        <w:trPr/>
        <w:tc>
          <w:tcPr>
            <w:tcW w:w="5865" w:type="dxa"/>
            <w:tcBorders/>
            <w:shd w:fill="auto" w:val="clear"/>
          </w:tcPr>
          <w:p>
            <w:pPr>
              <w:pStyle w:val="TableContents"/>
              <w:spacing w:before="0" w:after="0"/>
              <w:ind w:left="0" w:right="0" w:hanging="0"/>
              <w:rPr/>
            </w:pPr>
            <w:r>
              <w:rPr/>
              <w:t xml:space="preserve">  </w:t>
            </w:r>
          </w:p>
        </w:tc>
        <w:tc>
          <w:tcPr>
            <w:tcW w:w="234" w:type="dxa"/>
            <w:tcBorders/>
            <w:shd w:fill="auto" w:val="clear"/>
            <w:vAlign w:val="bottom"/>
          </w:tcPr>
          <w:p>
            <w:pPr>
              <w:pStyle w:val="TableContents"/>
              <w:spacing w:before="0" w:after="283"/>
              <w:rPr/>
            </w:pPr>
            <w:r>
              <w:rPr/>
              <w:t> </w:t>
            </w:r>
          </w:p>
        </w:tc>
        <w:tc>
          <w:tcPr>
            <w:tcW w:w="4106" w:type="dxa"/>
            <w:tcBorders/>
            <w:shd w:fill="auto" w:val="clear"/>
          </w:tcPr>
          <w:p>
            <w:pPr>
              <w:pStyle w:val="TableContents"/>
              <w:spacing w:before="0" w:after="283"/>
              <w:jc w:val="left"/>
              <w:rPr/>
            </w:pPr>
            <w:r>
              <w:rPr/>
              <w:t>&amp; Director</w:t>
            </w:r>
          </w:p>
        </w:tc>
      </w:tr>
    </w:tbl>
    <w:p>
      <w:pPr>
        <w:pStyle w:val="TextBody"/>
        <w:jc w:val="center"/>
        <w:rPr/>
      </w:pPr>
      <w:r>
        <w:rPr/>
        <w:t xml:space="preserve">  </w:t>
      </w:r>
      <w:r>
        <w:br w:type="page"/>
      </w:r>
    </w:p>
    <w:p>
      <w:pPr>
        <w:pStyle w:val="Heading5"/>
        <w:jc w:val="left"/>
        <w:rPr/>
      </w:pPr>
      <w:bookmarkStart w:id="46" w:name="d52356exv32w2.htm"/>
      <w:bookmarkStart w:id="47" w:name="ksd52356exv32w2"/>
      <w:bookmarkEnd w:id="46"/>
      <w:bookmarkEnd w:id="47"/>
      <w:r>
        <w:rPr/>
        <w:t> </w:t>
      </w:r>
    </w:p>
    <w:p>
      <w:pPr>
        <w:pStyle w:val="TextBody"/>
        <w:spacing w:before="360" w:after="283"/>
        <w:jc w:val="center"/>
        <w:rPr>
          <w:rFonts w:ascii="Helvetica;Arial;sans-serif" w:hAnsi="Helvetica;Arial;sans-serif"/>
          <w:sz w:val="17"/>
        </w:rPr>
      </w:pPr>
      <w:r>
        <w:rPr>
          <w:rFonts w:ascii="Helvetica;Arial;sans-serif" w:hAnsi="Helvetica;Arial;sans-serif"/>
          <w:b/>
          <w:sz w:val="17"/>
        </w:rPr>
        <w:t>Exhibit 32.2</w:t>
      </w:r>
      <w:r>
        <w:rPr>
          <w:rFonts w:ascii="Helvetica;Arial;sans-serif" w:hAnsi="Helvetica;Arial;sans-serif"/>
          <w:sz w:val="17"/>
        </w:rPr>
        <w:t xml:space="preserve"> </w:t>
      </w:r>
    </w:p>
    <w:p>
      <w:pPr>
        <w:pStyle w:val="TextBody"/>
        <w:spacing w:before="360" w:after="283"/>
        <w:jc w:val="center"/>
        <w:rPr>
          <w:rFonts w:ascii="Helvetica;Arial;sans-serif" w:hAnsi="Helvetica;Arial;sans-serif"/>
          <w:sz w:val="17"/>
        </w:rPr>
      </w:pPr>
      <w:r>
        <w:rPr>
          <w:rFonts w:ascii="Helvetica;Arial;sans-serif" w:hAnsi="Helvetica;Arial;sans-serif"/>
          <w:b/>
          <w:sz w:val="17"/>
        </w:rPr>
        <w:t>Certification Pursuant to Section 906 of the Sarbanes-Oxley Act of 2002</w:t>
      </w:r>
      <w:r>
        <w:rPr>
          <w:rFonts w:ascii="Helvetica;Arial;sans-serif" w:hAnsi="Helvetica;Arial;sans-serif"/>
          <w:sz w:val="17"/>
        </w:rPr>
        <w:t xml:space="preserve">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In connection with the filing of the Annual Report on Form 10-K for the period ended September 30, 2007 (the Report) by EZCORP, Inc. (Registrant), the undersigned hereby certifies that: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1. The Report fully complies with the requirements of section 13(a) or 15(d) of the Securities Exchange Act of 1934, as amended, and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2. The information contained in the Report fairly presents, in all material respects, the financial condition and results of operations of      Registrant.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Date: December 13, 2007 </w:t>
      </w:r>
    </w:p>
    <w:tbl>
      <w:tblPr>
        <w:tblW w:w="5000" w:type="pct"/>
        <w:jc w:val="center"/>
        <w:tblInd w:w="0" w:type="dxa"/>
        <w:tblCellMar>
          <w:top w:w="0" w:type="dxa"/>
          <w:left w:w="0" w:type="dxa"/>
          <w:bottom w:w="0" w:type="dxa"/>
          <w:right w:w="0" w:type="dxa"/>
        </w:tblCellMar>
      </w:tblPr>
      <w:tblGrid>
        <w:gridCol w:w="5429"/>
        <w:gridCol w:w="217"/>
        <w:gridCol w:w="3257"/>
        <w:gridCol w:w="217"/>
        <w:gridCol w:w="1085"/>
      </w:tblGrid>
      <w:tr>
        <w:trPr/>
        <w:tc>
          <w:tcPr>
            <w:tcW w:w="542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25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rPr/>
            </w:pPr>
            <w:r>
              <w:rPr/>
              <w:t> </w:t>
            </w:r>
          </w:p>
        </w:tc>
      </w:tr>
      <w:tr>
        <w:trPr/>
        <w:tc>
          <w:tcPr>
            <w:tcW w:w="5429" w:type="dxa"/>
            <w:tcBorders/>
            <w:shd w:fill="auto" w:val="clear"/>
          </w:tcPr>
          <w:p>
            <w:pPr>
              <w:pStyle w:val="TableContents"/>
              <w:spacing w:before="0" w:after="0"/>
              <w:ind w:left="0" w:right="0" w:hanging="0"/>
              <w:rPr/>
            </w:pPr>
            <w:r>
              <w:rPr/>
              <w:t xml:space="preserve">  </w:t>
            </w:r>
          </w:p>
        </w:tc>
        <w:tc>
          <w:tcPr>
            <w:tcW w:w="217" w:type="dxa"/>
            <w:tcBorders/>
            <w:shd w:fill="auto" w:val="clear"/>
            <w:vAlign w:val="bottom"/>
          </w:tcPr>
          <w:p>
            <w:pPr>
              <w:pStyle w:val="TableContents"/>
              <w:spacing w:before="0" w:after="283"/>
              <w:rPr/>
            </w:pPr>
            <w:r>
              <w:rPr/>
              <w:t> </w:t>
            </w:r>
          </w:p>
        </w:tc>
        <w:tc>
          <w:tcPr>
            <w:tcW w:w="3257" w:type="dxa"/>
            <w:tcBorders/>
            <w:shd w:fill="auto" w:val="clear"/>
          </w:tcPr>
          <w:p>
            <w:pPr>
              <w:pStyle w:val="TableContents"/>
              <w:spacing w:before="0" w:after="283"/>
              <w:jc w:val="left"/>
              <w:rPr/>
            </w:pPr>
            <w:r>
              <w:rPr/>
              <w:t>/s/ Dan N. Tonissen</w:t>
            </w:r>
          </w:p>
        </w:tc>
        <w:tc>
          <w:tcPr>
            <w:tcW w:w="217" w:type="dxa"/>
            <w:tcBorders/>
            <w:shd w:fill="auto" w:val="clear"/>
            <w:vAlign w:val="bottom"/>
          </w:tcPr>
          <w:p>
            <w:pPr>
              <w:pStyle w:val="TableContents"/>
              <w:spacing w:before="0" w:after="283"/>
              <w:rPr/>
            </w:pPr>
            <w:r>
              <w:rPr/>
              <w:t> </w:t>
            </w:r>
          </w:p>
        </w:tc>
        <w:tc>
          <w:tcPr>
            <w:tcW w:w="1085" w:type="dxa"/>
            <w:tcBorders/>
            <w:shd w:fill="auto" w:val="clear"/>
          </w:tcPr>
          <w:p>
            <w:pPr>
              <w:pStyle w:val="TableContents"/>
              <w:spacing w:before="0" w:after="283"/>
              <w:jc w:val="left"/>
              <w:rPr/>
            </w:pPr>
            <w:r>
              <w:rPr/>
              <w:t> </w:t>
            </w:r>
          </w:p>
        </w:tc>
      </w:tr>
      <w:tr>
        <w:trPr/>
        <w:tc>
          <w:tcPr>
            <w:tcW w:w="5429" w:type="dxa"/>
            <w:tcBorders/>
            <w:shd w:fill="auto" w:val="clear"/>
          </w:tcPr>
          <w:p>
            <w:pPr>
              <w:pStyle w:val="TableContents"/>
              <w:spacing w:before="0" w:after="0"/>
              <w:ind w:left="0" w:right="0" w:hanging="0"/>
              <w:rPr/>
            </w:pPr>
            <w:r>
              <w:rPr/>
              <w:t xml:space="preserve">  </w:t>
            </w:r>
          </w:p>
        </w:tc>
        <w:tc>
          <w:tcPr>
            <w:tcW w:w="217" w:type="dxa"/>
            <w:tcBorders/>
            <w:shd w:fill="auto" w:val="clear"/>
            <w:vAlign w:val="bottom"/>
          </w:tcPr>
          <w:p>
            <w:pPr>
              <w:pStyle w:val="TableContents"/>
              <w:spacing w:before="0" w:after="283"/>
              <w:rPr/>
            </w:pPr>
            <w:r>
              <w:rPr/>
              <w:t> </w:t>
            </w:r>
          </w:p>
        </w:tc>
        <w:tc>
          <w:tcPr>
            <w:tcW w:w="3257"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Dan N. Tonissen </w:t>
            </w:r>
          </w:p>
        </w:tc>
        <w:tc>
          <w:tcPr>
            <w:tcW w:w="217" w:type="dxa"/>
            <w:tcBorders/>
            <w:shd w:fill="auto" w:val="clear"/>
            <w:vAlign w:val="bottom"/>
          </w:tcPr>
          <w:p>
            <w:pPr>
              <w:pStyle w:val="TableContents"/>
              <w:spacing w:before="0" w:after="283"/>
              <w:rPr/>
            </w:pPr>
            <w:r>
              <w:rPr/>
              <w:t> </w:t>
            </w:r>
          </w:p>
        </w:tc>
        <w:tc>
          <w:tcPr>
            <w:tcW w:w="1085" w:type="dxa"/>
            <w:tcBorders/>
            <w:shd w:fill="auto" w:val="clear"/>
          </w:tcPr>
          <w:p>
            <w:pPr>
              <w:pStyle w:val="TableContents"/>
              <w:spacing w:before="0" w:after="283"/>
              <w:jc w:val="left"/>
              <w:rPr/>
            </w:pPr>
            <w:r>
              <w:rPr/>
              <w:t> </w:t>
            </w:r>
          </w:p>
        </w:tc>
      </w:tr>
      <w:tr>
        <w:trPr/>
        <w:tc>
          <w:tcPr>
            <w:tcW w:w="5429" w:type="dxa"/>
            <w:tcBorders/>
            <w:shd w:fill="auto" w:val="clear"/>
          </w:tcPr>
          <w:p>
            <w:pPr>
              <w:pStyle w:val="TableContents"/>
              <w:spacing w:before="0" w:after="0"/>
              <w:ind w:left="0" w:right="0" w:hanging="0"/>
              <w:rPr/>
            </w:pPr>
            <w:r>
              <w:rPr/>
              <w:t xml:space="preserve">  </w:t>
            </w:r>
          </w:p>
        </w:tc>
        <w:tc>
          <w:tcPr>
            <w:tcW w:w="217" w:type="dxa"/>
            <w:tcBorders/>
            <w:shd w:fill="auto" w:val="clear"/>
            <w:vAlign w:val="bottom"/>
          </w:tcPr>
          <w:p>
            <w:pPr>
              <w:pStyle w:val="TableContents"/>
              <w:spacing w:before="0" w:after="283"/>
              <w:rPr/>
            </w:pPr>
            <w:r>
              <w:rPr/>
              <w:t> </w:t>
            </w:r>
          </w:p>
        </w:tc>
        <w:tc>
          <w:tcPr>
            <w:tcW w:w="3257" w:type="dxa"/>
            <w:tcBorders/>
            <w:shd w:fill="auto" w:val="clear"/>
          </w:tcPr>
          <w:p>
            <w:pPr>
              <w:pStyle w:val="TableContents"/>
              <w:spacing w:before="0" w:after="283"/>
              <w:jc w:val="left"/>
              <w:rPr/>
            </w:pPr>
            <w:r>
              <w:rPr/>
              <w:t>Senior Vice President,</w:t>
            </w:r>
          </w:p>
        </w:tc>
        <w:tc>
          <w:tcPr>
            <w:tcW w:w="217" w:type="dxa"/>
            <w:tcBorders/>
            <w:shd w:fill="auto" w:val="clear"/>
            <w:vAlign w:val="bottom"/>
          </w:tcPr>
          <w:p>
            <w:pPr>
              <w:pStyle w:val="TableContents"/>
              <w:spacing w:before="0" w:after="283"/>
              <w:rPr/>
            </w:pPr>
            <w:r>
              <w:rPr/>
              <w:t> </w:t>
            </w:r>
          </w:p>
        </w:tc>
        <w:tc>
          <w:tcPr>
            <w:tcW w:w="1085" w:type="dxa"/>
            <w:tcBorders/>
            <w:shd w:fill="auto" w:val="clear"/>
          </w:tcPr>
          <w:p>
            <w:pPr>
              <w:pStyle w:val="TableContents"/>
              <w:spacing w:before="0" w:after="283"/>
              <w:jc w:val="left"/>
              <w:rPr/>
            </w:pPr>
            <w:r>
              <w:rPr/>
              <w:t> </w:t>
            </w:r>
          </w:p>
        </w:tc>
      </w:tr>
      <w:tr>
        <w:trPr/>
        <w:tc>
          <w:tcPr>
            <w:tcW w:w="5429" w:type="dxa"/>
            <w:tcBorders/>
            <w:shd w:fill="auto" w:val="clear"/>
          </w:tcPr>
          <w:p>
            <w:pPr>
              <w:pStyle w:val="TableContents"/>
              <w:spacing w:before="0" w:after="0"/>
              <w:ind w:left="0" w:right="0" w:hanging="0"/>
              <w:rPr/>
            </w:pPr>
            <w:r>
              <w:rPr/>
              <w:t xml:space="preserve">  </w:t>
            </w:r>
          </w:p>
        </w:tc>
        <w:tc>
          <w:tcPr>
            <w:tcW w:w="217" w:type="dxa"/>
            <w:tcBorders/>
            <w:shd w:fill="auto" w:val="clear"/>
            <w:vAlign w:val="bottom"/>
          </w:tcPr>
          <w:p>
            <w:pPr>
              <w:pStyle w:val="TableContents"/>
              <w:spacing w:before="0" w:after="283"/>
              <w:rPr/>
            </w:pPr>
            <w:r>
              <w:rPr/>
              <w:t> </w:t>
            </w:r>
          </w:p>
        </w:tc>
        <w:tc>
          <w:tcPr>
            <w:tcW w:w="3257" w:type="dxa"/>
            <w:tcBorders/>
            <w:shd w:fill="auto" w:val="clear"/>
          </w:tcPr>
          <w:p>
            <w:pPr>
              <w:pStyle w:val="TableContents"/>
              <w:spacing w:before="0" w:after="283"/>
              <w:jc w:val="left"/>
              <w:rPr/>
            </w:pPr>
            <w:r>
              <w:rPr/>
              <w:t>Chief Financial Officer &amp; Director</w:t>
            </w:r>
          </w:p>
        </w:tc>
        <w:tc>
          <w:tcPr>
            <w:tcW w:w="217" w:type="dxa"/>
            <w:tcBorders/>
            <w:shd w:fill="auto" w:val="clear"/>
            <w:vAlign w:val="bottom"/>
          </w:tcPr>
          <w:p>
            <w:pPr>
              <w:pStyle w:val="TableContents"/>
              <w:spacing w:before="0" w:after="283"/>
              <w:rPr/>
            </w:pPr>
            <w:r>
              <w:rPr/>
              <w:t> </w:t>
            </w:r>
          </w:p>
        </w:tc>
        <w:tc>
          <w:tcPr>
            <w:tcW w:w="1085" w:type="dxa"/>
            <w:tcBorders/>
            <w:shd w:fill="auto" w:val="clear"/>
          </w:tcPr>
          <w:p>
            <w:pPr>
              <w:pStyle w:val="TableContents"/>
              <w:spacing w:before="0" w:after="283"/>
              <w:jc w:val="left"/>
              <w:rPr/>
            </w:pPr>
            <w:r>
              <w:rPr/>
              <w:t> </w:t>
            </w:r>
          </w:p>
        </w:tc>
      </w:tr>
    </w:tbl>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Helvetica">
    <w:altName w:val="Arial"/>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117</Pages>
  <Words>50351</Words>
  <CharactersWithSpaces>323783</CharactersWithSpaces>
  <Paragraphs>21056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exv32w2</dc:title>
</cp:coreProperties>
</file>