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60" w:after="60"/>
        <w:jc w:val="center"/>
        <w:rPr>
          <w:rFonts w:ascii="Arial Narrow;sans-serif" w:hAnsi="Arial Narrow;sans-serif"/>
          <w:b/>
          <w:color w:val="000000"/>
          <w:sz w:val="28"/>
        </w:rPr>
      </w:pPr>
      <w:r>
        <w:rPr>
          <w:rFonts w:ascii="Arial Narrow;sans-serif" w:hAnsi="Arial Narrow;sans-serif"/>
          <w:b/>
          <w:color w:val="000000"/>
          <w:sz w:val="28"/>
        </w:rPr>
        <w:t>UNITED STATES</w:t>
      </w:r>
    </w:p>
    <w:p>
      <w:pPr>
        <w:pStyle w:val="TextBody"/>
        <w:bidi w:val="0"/>
        <w:spacing w:lineRule="auto" w:line="288" w:before="60" w:after="60"/>
        <w:jc w:val="center"/>
        <w:rPr>
          <w:rFonts w:ascii="Arial Narrow;sans-serif" w:hAnsi="Arial Narrow;sans-serif"/>
          <w:b/>
          <w:color w:val="000000"/>
          <w:sz w:val="28"/>
        </w:rPr>
      </w:pPr>
      <w:r>
        <w:rPr>
          <w:rFonts w:ascii="Arial Narrow;sans-serif" w:hAnsi="Arial Narrow;sans-serif"/>
          <w:b/>
          <w:color w:val="000000"/>
          <w:sz w:val="28"/>
        </w:rPr>
        <w:t>SECURITIES AND EXCHANGE COMMISSION</w:t>
      </w:r>
    </w:p>
    <w:p>
      <w:pPr>
        <w:pStyle w:val="TextBody"/>
        <w:bidi w:val="0"/>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 Narrow;sans-serif" w:hAnsi="Arial Narrow;sans-serif"/>
          <w:b/>
          <w:color w:val="000000"/>
          <w:sz w:val="28"/>
        </w:rPr>
      </w:pPr>
      <w:r>
        <w:rPr>
          <w:rFonts w:ascii="Arial Narrow;sans-serif" w:hAnsi="Arial Narrow;sans-serif"/>
          <w:b/>
          <w:color w:val="000000"/>
          <w:sz w:val="28"/>
        </w:rPr>
        <w:t xml:space="preserve">FORM 10-Q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77" w:type="dxa"/>
        <w:jc w:val="center"/>
        <w:tblInd w:w="0" w:type="dxa"/>
        <w:tblLayout w:type="fixed"/>
        <w:tblCellMar>
          <w:top w:w="28" w:type="dxa"/>
          <w:left w:w="28" w:type="dxa"/>
          <w:bottom w:w="28" w:type="dxa"/>
          <w:right w:w="28" w:type="dxa"/>
        </w:tblCellMar>
      </w:tblPr>
      <w:tblGrid>
        <w:gridCol w:w="124"/>
        <w:gridCol w:w="109"/>
        <w:gridCol w:w="109"/>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bidi w:val="0"/>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 xml:space="preserve">For the quarterly period ended June 30, 2023 or </w:t>
      </w:r>
    </w:p>
    <w:tbl>
      <w:tblPr>
        <w:tblW w:w="8862" w:type="dxa"/>
        <w:jc w:val="center"/>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20" w:after="120"/>
        <w:jc w:val="center"/>
        <w:rPr/>
      </w:pPr>
      <w:r>
        <w:rPr>
          <w:rFonts w:ascii="Arial Narrow;sans-serif" w:hAnsi="Arial Narrow;sans-serif"/>
          <w:b/>
          <w:color w:val="000000"/>
          <w:sz w:val="20"/>
        </w:rPr>
        <w:t xml:space="preserve">For the transition period from </w:t>
      </w:r>
      <w:r>
        <w:rPr>
          <w:color w:val="000000"/>
          <w:u w:val="single"/>
        </w:rPr>
        <w:t>                    </w:t>
      </w:r>
      <w:r>
        <w:rPr>
          <w:color w:val="000000"/>
        </w:rPr>
        <w:t xml:space="preserve"> </w:t>
      </w:r>
      <w:r>
        <w:rPr>
          <w:rFonts w:ascii="Arial Narrow;sans-serif" w:hAnsi="Arial Narrow;sans-serif"/>
          <w:b/>
          <w:color w:val="000000"/>
          <w:sz w:val="20"/>
        </w:rPr>
        <w:t xml:space="preserve">to </w:t>
      </w:r>
      <w:r>
        <w:rPr>
          <w:color w:val="000000"/>
          <w:u w:val="single"/>
        </w:rPr>
        <w:t>                        </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 xml:space="preserve">Commission File No. 0-19424 </w:t>
      </w:r>
    </w:p>
    <w:p>
      <w:pPr>
        <w:pStyle w:val="TextBody"/>
        <w:bidi w:val="0"/>
        <w:spacing w:before="0" w:after="12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0" w:after="60"/>
        <w:jc w:val="center"/>
        <w:rPr>
          <w:rFonts w:ascii="Arial Narrow;sans-serif" w:hAnsi="Arial Narrow;sans-serif"/>
          <w:b/>
          <w:color w:val="000000"/>
          <w:sz w:val="24"/>
        </w:rPr>
      </w:pPr>
      <w:r>
        <w:rPr>
          <w:rFonts w:ascii="Arial Narrow;sans-serif" w:hAnsi="Arial Narrow;sans-serif"/>
          <w:b/>
          <w:color w:val="000000"/>
          <w:sz w:val="24"/>
        </w:rPr>
        <w:t xml:space="preserve">EZCORP, INC. </w:t>
      </w:r>
    </w:p>
    <w:p>
      <w:pPr>
        <w:pStyle w:val="TextBody"/>
        <w:bidi w:val="0"/>
        <w:spacing w:lineRule="auto" w:line="288" w:before="60" w:after="60"/>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bl>
      <w:tblPr>
        <w:tblW w:w="7071" w:type="dxa"/>
        <w:jc w:val="center"/>
        <w:tblInd w:w="0" w:type="dxa"/>
        <w:tblLayout w:type="fixed"/>
        <w:tblCellMar>
          <w:top w:w="28" w:type="dxa"/>
          <w:left w:w="28" w:type="dxa"/>
          <w:bottom w:w="28" w:type="dxa"/>
          <w:right w:w="28" w:type="dxa"/>
        </w:tblCellMar>
      </w:tblPr>
      <w:tblGrid>
        <w:gridCol w:w="544"/>
        <w:gridCol w:w="478"/>
        <w:gridCol w:w="478"/>
        <w:gridCol w:w="250"/>
        <w:gridCol w:w="250"/>
        <w:gridCol w:w="250"/>
        <w:gridCol w:w="246"/>
        <w:gridCol w:w="246"/>
        <w:gridCol w:w="246"/>
        <w:gridCol w:w="330"/>
        <w:gridCol w:w="330"/>
        <w:gridCol w:w="331"/>
        <w:gridCol w:w="246"/>
        <w:gridCol w:w="246"/>
        <w:gridCol w:w="246"/>
        <w:gridCol w:w="689"/>
        <w:gridCol w:w="689"/>
        <w:gridCol w:w="976"/>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Delaware</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74-2540145</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2500 Bee Cave Road</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Bldg One</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Suite 200</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Rollingwood</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TX</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78746</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(Zip Code)</w:t>
            </w:r>
          </w:p>
        </w:tc>
      </w:tr>
    </w:tbl>
    <w:p>
      <w:pPr>
        <w:pStyle w:val="TextBody"/>
        <w:bidi w:val="0"/>
        <w:spacing w:lineRule="auto" w:line="288" w:before="0" w:after="0"/>
        <w:jc w:val="center"/>
        <w:rPr/>
      </w:pPr>
      <w:r>
        <w:rPr>
          <w:rFonts w:ascii="Arial Narrow;sans-serif" w:hAnsi="Arial Narrow;sans-serif"/>
          <w:b w:val="false"/>
          <w:color w:val="000000"/>
          <w:sz w:val="16"/>
        </w:rPr>
        <w:t xml:space="preserve">Registrant’s telephone number, including area code: </w:t>
      </w:r>
      <w:r>
        <w:rPr>
          <w:rFonts w:ascii="Arial Narrow;sans-serif" w:hAnsi="Arial Narrow;sans-serif"/>
          <w:b/>
          <w:color w:val="000000"/>
          <w:sz w:val="16"/>
        </w:rPr>
        <w:t xml:space="preserve">(512) 314-3400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9443" w:type="dxa"/>
        <w:jc w:val="center"/>
        <w:tblInd w:w="0" w:type="dxa"/>
        <w:tblLayout w:type="fixed"/>
        <w:tblCellMar>
          <w:top w:w="28" w:type="dxa"/>
          <w:left w:w="28" w:type="dxa"/>
          <w:bottom w:w="28" w:type="dxa"/>
          <w:right w:w="28" w:type="dxa"/>
        </w:tblCellMar>
      </w:tblPr>
      <w:tblGrid>
        <w:gridCol w:w="1537"/>
        <w:gridCol w:w="1354"/>
        <w:gridCol w:w="1369"/>
        <w:gridCol w:w="109"/>
        <w:gridCol w:w="109"/>
        <w:gridCol w:w="109"/>
        <w:gridCol w:w="454"/>
        <w:gridCol w:w="454"/>
        <w:gridCol w:w="456"/>
        <w:gridCol w:w="109"/>
        <w:gridCol w:w="109"/>
        <w:gridCol w:w="109"/>
        <w:gridCol w:w="926"/>
        <w:gridCol w:w="926"/>
        <w:gridCol w:w="1313"/>
      </w:tblGrid>
      <w:tr>
        <w:trPr/>
        <w:tc>
          <w:tcPr>
            <w:tcW w:w="153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 of each exchange on which registered</w:t>
            </w:r>
          </w:p>
        </w:tc>
      </w:tr>
      <w:tr>
        <w:trPr/>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Stock Market</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Global Select Market)</w:t>
            </w:r>
          </w:p>
        </w:tc>
      </w:tr>
    </w:tbl>
    <w:p>
      <w:pPr>
        <w:pStyle w:val="TextBody"/>
        <w:bidi w:val="0"/>
        <w:spacing w:lineRule="auto" w:line="288" w:before="20" w:after="120"/>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W w:w="4121" w:type="dxa"/>
        <w:jc w:val="center"/>
        <w:tblInd w:w="0" w:type="dxa"/>
        <w:tblLayout w:type="fixed"/>
        <w:tblCellMar>
          <w:top w:w="28" w:type="dxa"/>
          <w:left w:w="28" w:type="dxa"/>
          <w:bottom w:w="28" w:type="dxa"/>
          <w:right w:w="28" w:type="dxa"/>
        </w:tblCellMar>
      </w:tblPr>
      <w:tblGrid>
        <w:gridCol w:w="565"/>
        <w:gridCol w:w="497"/>
        <w:gridCol w:w="499"/>
        <w:gridCol w:w="109"/>
        <w:gridCol w:w="109"/>
        <w:gridCol w:w="109"/>
        <w:gridCol w:w="619"/>
        <w:gridCol w:w="619"/>
        <w:gridCol w:w="623"/>
        <w:gridCol w:w="10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rFonts w:ascii="Arial Narrow;sans-serif" w:hAnsi="Arial Narrow;sans-serif"/>
          <w:b w:val="false"/>
          <w:color w:val="000000"/>
          <w:sz w:val="16"/>
        </w:rPr>
      </w:pPr>
      <w:r>
        <w:rPr>
          <w:rFonts w:ascii="Arial Narrow;sans-serif" w:hAnsi="Arial Narrow;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br/>
        <w:br/>
        <w:t>Indicate by check mark whether the registrant is a shell company (as defined in Rule 12b-2 of the Exchange Act).    Yes  ☐    No  ☒</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The only class of voting securities of the registrant issued and outstanding is the Class B Voting Common Stock, par value $.01 per share, all of which is owned by an affiliate of the registrant. There is no trading market for the Class B Voting Common Stock.</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As of July 31, 2023, 52,101,579 shares of the registrant’s Class A Non-voting Common Stock ("Class A Common Stock"), par value $.01 per share, and 2,970,171 shares of the registrant’s Class B Voting Common Stock, par value $.01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INDEX TO FORM 10-Q</w:t>
      </w:r>
    </w:p>
    <w:tbl>
      <w:tblPr>
        <w:tblW w:w="9611" w:type="dxa"/>
        <w:jc w:val="left"/>
        <w:tblInd w:w="0" w:type="dxa"/>
        <w:tblLayout w:type="fixed"/>
        <w:tblCellMar>
          <w:top w:w="28" w:type="dxa"/>
          <w:left w:w="28" w:type="dxa"/>
          <w:bottom w:w="28" w:type="dxa"/>
          <w:right w:w="28" w:type="dxa"/>
        </w:tblCellMar>
      </w:tblPr>
      <w:tblGrid>
        <w:gridCol w:w="3348"/>
        <w:gridCol w:w="2940"/>
        <w:gridCol w:w="2951"/>
        <w:gridCol w:w="109"/>
        <w:gridCol w:w="109"/>
        <w:gridCol w:w="154"/>
      </w:tblGrid>
      <w:tr>
        <w:trPr/>
        <w:tc>
          <w:tcPr>
            <w:tcW w:w="3348"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0">
              <w:r>
                <w:rPr>
                  <w:rStyle w:val="InternetLink"/>
                  <w:rFonts w:ascii="Arial Narrow;sans-serif" w:hAnsi="Arial Narrow;sans-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3">
              <w:r>
                <w:rPr>
                  <w:rStyle w:val="InternetLink"/>
                  <w:rFonts w:ascii="Arial Narrow;sans-serif" w:hAnsi="Arial Narrow;sans-serif"/>
                  <w:b w:val="false"/>
                  <w:color w:val="0000FF"/>
                  <w:sz w:val="20"/>
                  <w:u w:val="single"/>
                </w:rPr>
                <w:t>Item 1. Financial Statements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6">
              <w:r>
                <w:rPr>
                  <w:rStyle w:val="InternetLink"/>
                  <w:rFonts w:ascii="Arial Narrow;sans-serif" w:hAnsi="Arial Narrow;sans-serif"/>
                  <w:b w:val="false"/>
                  <w:color w:val="0000FF"/>
                  <w:sz w:val="20"/>
                  <w:u w:val="single"/>
                </w:rPr>
                <w:t>Condensed Consolidated Balance Sheets as of June 30, 2023 and 2022 and September 30,2022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16">
              <w:r>
                <w:rPr>
                  <w:rStyle w:val="InternetLink"/>
                  <w:rFonts w:ascii="Arial Narrow;sans-serif" w:hAnsi="Arial Narrow;sans-serif"/>
                  <w:b w:val="false"/>
                  <w:color w:val="0000FF"/>
                  <w:sz w:val="20"/>
                  <w:u w:val="single"/>
                </w:rPr>
                <w:t>1</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9">
              <w:r>
                <w:rPr>
                  <w:rStyle w:val="InternetLink"/>
                  <w:rFonts w:ascii="Arial Narrow;sans-serif" w:hAnsi="Arial Narrow;sans-serif"/>
                  <w:b w:val="false"/>
                  <w:color w:val="0000FF"/>
                  <w:sz w:val="20"/>
                  <w:u w:val="single"/>
                </w:rPr>
                <w:t>Condensed Consolidated Statements of Operations for the Three and Nine Months Ended June 30,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19">
              <w:r>
                <w:rPr>
                  <w:rStyle w:val="InternetLink"/>
                  <w:rFonts w:ascii="Arial Narrow;sans-serif" w:hAnsi="Arial Narrow;sans-serif"/>
                  <w:b w:val="false"/>
                  <w:color w:val="0000FF"/>
                  <w:sz w:val="20"/>
                  <w:u w:val="single"/>
                </w:rPr>
                <w:t>2</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22">
              <w:r>
                <w:rPr>
                  <w:rStyle w:val="InternetLink"/>
                  <w:rFonts w:ascii="Arial Narrow;sans-serif" w:hAnsi="Arial Narrow;sans-serif"/>
                  <w:b w:val="false"/>
                  <w:color w:val="0000FF"/>
                  <w:sz w:val="20"/>
                  <w:u w:val="single"/>
                </w:rPr>
                <w:t>Condensed Consolidated Statements of Comprehensive Income for the Three and Nine Months Ended June 30,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22">
              <w:r>
                <w:rPr>
                  <w:rStyle w:val="InternetLink"/>
                  <w:rFonts w:ascii="Arial Narrow;sans-serif" w:hAnsi="Arial Narrow;sans-serif"/>
                  <w:b w:val="false"/>
                  <w:color w:val="0000FF"/>
                  <w:sz w:val="20"/>
                  <w:u w:val="single"/>
                </w:rPr>
                <w:t>3</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25">
              <w:r>
                <w:rPr>
                  <w:rStyle w:val="InternetLink"/>
                  <w:rFonts w:ascii="Arial Narrow;sans-serif" w:hAnsi="Arial Narrow;sans-serif"/>
                  <w:b w:val="false"/>
                  <w:color w:val="0000FF"/>
                  <w:sz w:val="20"/>
                  <w:u w:val="single"/>
                </w:rPr>
                <w:t>Condensed Consolidated Statements of Stockholders’ Equity for the Periods Ended June 30,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25">
              <w:r>
                <w:rPr>
                  <w:rStyle w:val="InternetLink"/>
                  <w:rFonts w:ascii="Arial Narrow;sans-serif" w:hAnsi="Arial Narrow;sans-serif"/>
                  <w:b w:val="false"/>
                  <w:color w:val="0000FF"/>
                  <w:sz w:val="20"/>
                  <w:u w:val="single"/>
                </w:rPr>
                <w:t>4</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28">
              <w:r>
                <w:rPr>
                  <w:rStyle w:val="InternetLink"/>
                  <w:rFonts w:ascii="Arial Narrow;sans-serif" w:hAnsi="Arial Narrow;sans-serif"/>
                  <w:b w:val="false"/>
                  <w:color w:val="0000FF"/>
                  <w:sz w:val="20"/>
                  <w:u w:val="single"/>
                </w:rPr>
                <w:t>Condensed Consolidated Statements of Cash Flows for the Nine Months Ended June 30,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28">
              <w:r>
                <w:rPr>
                  <w:rStyle w:val="InternetLink"/>
                  <w:rFonts w:ascii="Arial Narrow;sans-serif" w:hAnsi="Arial Narrow;sans-serif"/>
                  <w:b w:val="false"/>
                  <w:color w:val="0000FF"/>
                  <w:sz w:val="20"/>
                  <w:u w:val="single"/>
                </w:rPr>
                <w:t>5</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31">
              <w:r>
                <w:rPr>
                  <w:rStyle w:val="InternetLink"/>
                  <w:rFonts w:ascii="Arial Narrow;sans-serif" w:hAnsi="Arial Narrow;sans-serif"/>
                  <w:b w:val="false"/>
                  <w:color w:val="0000FF"/>
                  <w:sz w:val="20"/>
                  <w:u w:val="single"/>
                </w:rPr>
                <w:t>Notes to Interim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31">
              <w:r>
                <w:rPr>
                  <w:rStyle w:val="InternetLink"/>
                  <w:rFonts w:ascii="Arial Narrow;sans-serif" w:hAnsi="Arial Narrow;sans-serif"/>
                  <w:b w:val="false"/>
                  <w:color w:val="0000FF"/>
                  <w:sz w:val="20"/>
                  <w:u w:val="single"/>
                </w:rPr>
                <w:t>6</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34">
              <w:r>
                <w:rPr>
                  <w:rStyle w:val="InternetLink"/>
                  <w:rFonts w:ascii="Arial Narrow;sans-serif" w:hAnsi="Arial Narrow;sans-serif"/>
                  <w:b w:val="false"/>
                  <w:color w:val="0000FF"/>
                  <w:sz w:val="20"/>
                  <w:u w:val="single"/>
                </w:rPr>
                <w:t>Note 1: Organization and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34">
              <w:r>
                <w:rPr>
                  <w:rStyle w:val="InternetLink"/>
                  <w:rFonts w:ascii="Arial Narrow;sans-serif" w:hAnsi="Arial Narrow;sans-serif"/>
                  <w:b w:val="false"/>
                  <w:color w:val="0000FF"/>
                  <w:sz w:val="20"/>
                  <w:u w:val="single"/>
                </w:rPr>
                <w:t>6</w:t>
              </w:r>
            </w:hyperlink>
          </w:p>
        </w:tc>
      </w:tr>
      <w:tr>
        <w:trPr/>
        <w:tc>
          <w:tcPr>
            <w:tcW w:w="92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46">
              <w:r>
                <w:rPr>
                  <w:rStyle w:val="InternetLink"/>
                  <w:rFonts w:ascii="Arial Narrow;sans-serif" w:hAnsi="Arial Narrow;sans-serif"/>
                  <w:b w:val="false"/>
                  <w:color w:val="0000FF"/>
                  <w:sz w:val="20"/>
                  <w:u w:val="single"/>
                </w:rPr>
                <w:t>Note 2: Goodwill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46">
              <w:r>
                <w:rPr>
                  <w:rStyle w:val="InternetLink"/>
                  <w:rFonts w:ascii="Arial Narrow;sans-serif" w:hAnsi="Arial Narrow;sans-serif"/>
                  <w:b w:val="false"/>
                  <w:color w:val="0000FF"/>
                  <w:sz w:val="20"/>
                  <w:u w:val="single"/>
                </w:rPr>
                <w:t>7</w:t>
              </w:r>
            </w:hyperlink>
          </w:p>
        </w:tc>
      </w:tr>
      <w:tr>
        <w:trPr/>
        <w:tc>
          <w:tcPr>
            <w:tcW w:w="92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64">
              <w:r>
                <w:rPr>
                  <w:rStyle w:val="InternetLink"/>
                  <w:rFonts w:ascii="Arial Narrow;sans-serif" w:hAnsi="Arial Narrow;sans-serif"/>
                  <w:b w:val="false"/>
                  <w:color w:val="000080"/>
                  <w:sz w:val="20"/>
                  <w:u w:val="single"/>
                </w:rPr>
                <w:t xml:space="preserve">Note 3: </w:t>
              </w:r>
            </w:hyperlink>
            <w:hyperlink w:anchor="i40f6da168fb04b03a384684fe01dd78d_64">
              <w:r>
                <w:rPr>
                  <w:rStyle w:val="InternetLink"/>
                  <w:rFonts w:ascii="Arial Narrow;sans-serif" w:hAnsi="Arial Narrow;sans-serif"/>
                  <w:b w:val="false"/>
                  <w:color w:val="000080"/>
                  <w:sz w:val="20"/>
                  <w:u w:val="single"/>
                </w:rPr>
                <w:t>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64">
              <w:r>
                <w:rPr>
                  <w:rStyle w:val="InternetLink"/>
                  <w:rFonts w:ascii="Arial Narrow;sans-serif" w:hAnsi="Arial Narrow;sans-serif"/>
                  <w:b w:val="false"/>
                  <w:color w:val="0000FF"/>
                  <w:sz w:val="20"/>
                  <w:u w:val="single"/>
                </w:rPr>
                <w:t>8</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73">
              <w:r>
                <w:rPr>
                  <w:rStyle w:val="InternetLink"/>
                  <w:rFonts w:ascii="Arial Narrow;sans-serif" w:hAnsi="Arial Narrow;sans-serif"/>
                  <w:b w:val="false"/>
                  <w:color w:val="0000FF"/>
                  <w:sz w:val="20"/>
                  <w:u w:val="single"/>
                </w:rPr>
                <w:t>Note 4: Leases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73">
              <w:r>
                <w:rPr>
                  <w:rStyle w:val="InternetLink"/>
                  <w:rFonts w:ascii="Arial Narrow;sans-serif" w:hAnsi="Arial Narrow;sans-serif"/>
                  <w:b w:val="false"/>
                  <w:color w:val="0000FF"/>
                  <w:sz w:val="20"/>
                  <w:u w:val="single"/>
                </w:rPr>
                <w:t>9</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76">
              <w:r>
                <w:rPr>
                  <w:rStyle w:val="InternetLink"/>
                  <w:rFonts w:ascii="Arial Narrow;sans-serif" w:hAnsi="Arial Narrow;sans-serif"/>
                  <w:b w:val="false"/>
                  <w:color w:val="0000FF"/>
                  <w:sz w:val="20"/>
                  <w:u w:val="single"/>
                </w:rPr>
                <w:t>Note 5: Strategic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76">
              <w:r>
                <w:rPr>
                  <w:rStyle w:val="InternetLink"/>
                  <w:rFonts w:ascii="Arial Narrow;sans-serif" w:hAnsi="Arial Narrow;sans-serif"/>
                  <w:b w:val="false"/>
                  <w:color w:val="0000FF"/>
                  <w:sz w:val="20"/>
                  <w:u w:val="single"/>
                </w:rPr>
                <w:t>11</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79">
              <w:r>
                <w:rPr>
                  <w:rStyle w:val="InternetLink"/>
                  <w:rFonts w:ascii="Arial Narrow;sans-serif" w:hAnsi="Arial Narrow;sans-serif"/>
                  <w:b w:val="false"/>
                  <w:color w:val="0000FF"/>
                  <w:sz w:val="20"/>
                  <w:u w:val="single"/>
                </w:rPr>
                <w:t>Note 6: Fair Value Measurements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79">
              <w:r>
                <w:rPr>
                  <w:rStyle w:val="InternetLink"/>
                  <w:rFonts w:ascii="Arial Narrow;sans-serif" w:hAnsi="Arial Narrow;sans-serif"/>
                  <w:b w:val="false"/>
                  <w:color w:val="0000FF"/>
                  <w:sz w:val="20"/>
                  <w:u w:val="single"/>
                </w:rPr>
                <w:t>12</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82">
              <w:r>
                <w:rPr>
                  <w:rStyle w:val="InternetLink"/>
                  <w:rFonts w:ascii="Arial Narrow;sans-serif" w:hAnsi="Arial Narrow;sans-serif"/>
                  <w:b w:val="false"/>
                  <w:color w:val="0000FF"/>
                  <w:sz w:val="20"/>
                  <w:u w:val="single"/>
                </w:rPr>
                <w:t>Note 7: Debt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82">
              <w:r>
                <w:rPr>
                  <w:rStyle w:val="InternetLink"/>
                  <w:rFonts w:ascii="Arial Narrow;sans-serif" w:hAnsi="Arial Narrow;sans-serif"/>
                  <w:b w:val="false"/>
                  <w:color w:val="0000FF"/>
                  <w:sz w:val="20"/>
                  <w:u w:val="single"/>
                </w:rPr>
                <w:t>14</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88">
              <w:r>
                <w:rPr>
                  <w:rStyle w:val="InternetLink"/>
                  <w:rFonts w:ascii="Arial Narrow;sans-serif" w:hAnsi="Arial Narrow;sans-serif"/>
                  <w:b w:val="false"/>
                  <w:color w:val="0000FF"/>
                  <w:sz w:val="20"/>
                  <w:u w:val="single"/>
                </w:rPr>
                <w:t>Note 8: Common Stock and Stock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88">
              <w:r>
                <w:rPr>
                  <w:rStyle w:val="InternetLink"/>
                  <w:rFonts w:ascii="Arial Narrow;sans-serif" w:hAnsi="Arial Narrow;sans-serif"/>
                  <w:b w:val="false"/>
                  <w:color w:val="0000FF"/>
                  <w:sz w:val="20"/>
                  <w:u w:val="single"/>
                </w:rPr>
                <w:t>17</w:t>
              </w:r>
            </w:hyperlink>
          </w:p>
        </w:tc>
      </w:tr>
      <w:tr>
        <w:trPr/>
        <w:tc>
          <w:tcPr>
            <w:tcW w:w="92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94">
              <w:r>
                <w:rPr>
                  <w:rStyle w:val="InternetLink"/>
                  <w:rFonts w:ascii="Arial Narrow;sans-serif" w:hAnsi="Arial Narrow;sans-serif"/>
                  <w:b w:val="false"/>
                  <w:color w:val="0000FF"/>
                  <w:sz w:val="20"/>
                  <w:u w:val="single"/>
                </w:rPr>
                <w:t>Note 9: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94">
              <w:r>
                <w:rPr>
                  <w:rStyle w:val="InternetLink"/>
                  <w:rFonts w:ascii="Arial Narrow;sans-serif" w:hAnsi="Arial Narrow;sans-serif"/>
                  <w:b w:val="false"/>
                  <w:color w:val="0000FF"/>
                  <w:sz w:val="20"/>
                  <w:u w:val="single"/>
                </w:rPr>
                <w:t>18</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97">
              <w:r>
                <w:rPr>
                  <w:rStyle w:val="InternetLink"/>
                  <w:rFonts w:ascii="Arial Narrow;sans-serif" w:hAnsi="Arial Narrow;sans-serif"/>
                  <w:b w:val="false"/>
                  <w:color w:val="0000FF"/>
                  <w:sz w:val="20"/>
                  <w:u w:val="single"/>
                </w:rPr>
                <w:t>Note 10: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97">
              <w:r>
                <w:rPr>
                  <w:rStyle w:val="InternetLink"/>
                  <w:rFonts w:ascii="Arial Narrow;sans-serif" w:hAnsi="Arial Narrow;sans-serif"/>
                  <w:b w:val="false"/>
                  <w:color w:val="0000FF"/>
                  <w:sz w:val="20"/>
                  <w:u w:val="single"/>
                </w:rPr>
                <w:t>19</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03">
              <w:r>
                <w:rPr>
                  <w:rStyle w:val="InternetLink"/>
                  <w:rFonts w:ascii="Arial Narrow;sans-serif" w:hAnsi="Arial Narrow;sans-serif"/>
                  <w:b w:val="false"/>
                  <w:color w:val="0000FF"/>
                  <w:sz w:val="20"/>
                  <w:u w:val="single"/>
                </w:rPr>
                <w:t>Note 11: Supplemental Consolidated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103">
              <w:r>
                <w:rPr>
                  <w:rStyle w:val="InternetLink"/>
                  <w:rFonts w:ascii="Arial Narrow;sans-serif" w:hAnsi="Arial Narrow;sans-serif"/>
                  <w:b w:val="false"/>
                  <w:color w:val="0000FF"/>
                  <w:sz w:val="20"/>
                  <w:u w:val="single"/>
                </w:rPr>
                <w:t>22</w:t>
              </w:r>
            </w:hyperlink>
          </w:p>
        </w:tc>
      </w:tr>
      <w:tr>
        <w:trPr/>
        <w:tc>
          <w:tcPr>
            <w:tcW w:w="92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09">
              <w:r>
                <w:rPr>
                  <w:rStyle w:val="InternetLink"/>
                  <w:rFonts w:ascii="Arial Narrow;sans-serif" w:hAnsi="Arial Narrow;sans-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109">
              <w:r>
                <w:rPr>
                  <w:rStyle w:val="InternetLink"/>
                  <w:rFonts w:ascii="Arial Narrow;sans-serif" w:hAnsi="Arial Narrow;sans-serif"/>
                  <w:b w:val="false"/>
                  <w:color w:val="0000FF"/>
                  <w:sz w:val="20"/>
                  <w:u w:val="single"/>
                </w:rPr>
                <w:t>23</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69">
              <w:r>
                <w:rPr>
                  <w:rStyle w:val="InternetLink"/>
                  <w:rFonts w:ascii="Arial Narrow;sans-serif" w:hAnsi="Arial Narrow;sans-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169">
              <w:r>
                <w:rPr>
                  <w:rStyle w:val="InternetLink"/>
                  <w:rFonts w:ascii="Arial Narrow;sans-serif" w:hAnsi="Arial Narrow;sans-serif"/>
                  <w:b w:val="false"/>
                  <w:color w:val="0000FF"/>
                  <w:sz w:val="20"/>
                  <w:u w:val="single"/>
                </w:rPr>
                <w:t>36</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72">
              <w:r>
                <w:rPr>
                  <w:rStyle w:val="InternetLink"/>
                  <w:rFonts w:ascii="Arial Narrow;sans-serif" w:hAnsi="Arial Narrow;sans-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172">
              <w:r>
                <w:rPr>
                  <w:rStyle w:val="InternetLink"/>
                  <w:rFonts w:ascii="Arial Narrow;sans-serif" w:hAnsi="Arial Narrow;sans-serif"/>
                  <w:b w:val="false"/>
                  <w:color w:val="0000FF"/>
                  <w:sz w:val="20"/>
                  <w:u w:val="single"/>
                </w:rPr>
                <w:t>37</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75">
              <w:r>
                <w:rPr>
                  <w:rStyle w:val="InternetLink"/>
                  <w:rFonts w:ascii="Arial Narrow;sans-serif" w:hAnsi="Arial Narrow;sans-serif"/>
                  <w:b w:val="false"/>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78">
              <w:r>
                <w:rPr>
                  <w:rStyle w:val="InternetLink"/>
                  <w:rFonts w:ascii="Arial Narrow;sans-serif" w:hAnsi="Arial Narrow;sans-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178">
              <w:r>
                <w:rPr>
                  <w:rStyle w:val="InternetLink"/>
                  <w:rFonts w:ascii="Arial Narrow;sans-serif" w:hAnsi="Arial Narrow;sans-serif"/>
                  <w:b w:val="false"/>
                  <w:color w:val="0000FF"/>
                  <w:sz w:val="20"/>
                  <w:u w:val="single"/>
                </w:rPr>
                <w:t>37</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81">
              <w:r>
                <w:rPr>
                  <w:rStyle w:val="InternetLink"/>
                  <w:rFonts w:ascii="Arial Narrow;sans-serif" w:hAnsi="Arial Narrow;sans-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181">
              <w:r>
                <w:rPr>
                  <w:rStyle w:val="InternetLink"/>
                  <w:rFonts w:ascii="Arial Narrow;sans-serif" w:hAnsi="Arial Narrow;sans-serif"/>
                  <w:b w:val="false"/>
                  <w:color w:val="0000FF"/>
                  <w:sz w:val="20"/>
                  <w:u w:val="single"/>
                </w:rPr>
                <w:t>37</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84">
              <w:r>
                <w:rPr>
                  <w:rStyle w:val="InternetLink"/>
                  <w:rFonts w:ascii="Arial Narrow;sans-serif" w:hAnsi="Arial Narrow;sans-serif"/>
                  <w:b w:val="false"/>
                  <w:color w:val="0000FF"/>
                  <w:sz w:val="20"/>
                  <w:u w:val="single"/>
                </w:rPr>
                <w:t>Item 2. Unregistered Sale of Equity Security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184">
              <w:r>
                <w:rPr>
                  <w:rStyle w:val="InternetLink"/>
                  <w:rFonts w:ascii="Arial Narrow;sans-serif" w:hAnsi="Arial Narrow;sans-serif"/>
                  <w:b w:val="false"/>
                  <w:color w:val="0000FF"/>
                  <w:sz w:val="20"/>
                  <w:u w:val="single"/>
                </w:rPr>
                <w:t>38</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87">
              <w:r>
                <w:rPr>
                  <w:rStyle w:val="InternetLink"/>
                  <w:rFonts w:ascii="Arial Narrow;sans-serif" w:hAnsi="Arial Narrow;sans-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187">
              <w:r>
                <w:rPr>
                  <w:rStyle w:val="InternetLink"/>
                  <w:rFonts w:ascii="Arial Narrow;sans-serif" w:hAnsi="Arial Narrow;sans-serif"/>
                  <w:b w:val="false"/>
                  <w:color w:val="0000FF"/>
                  <w:sz w:val="20"/>
                  <w:u w:val="single"/>
                </w:rPr>
                <w:t>39</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f6da168fb04b03a384684fe01dd78d_190">
              <w:r>
                <w:rPr>
                  <w:rStyle w:val="InternetLink"/>
                  <w:rFonts w:ascii="Arial Narrow;sans-serif" w:hAnsi="Arial Narrow;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f6da168fb04b03a384684fe01dd78d_190">
              <w:r>
                <w:rPr>
                  <w:rStyle w:val="InternetLink"/>
                  <w:rFonts w:ascii="Arial Narrow;sans-serif" w:hAnsi="Arial Narrow;sans-serif"/>
                  <w:b w:val="false"/>
                  <w:color w:val="0000FF"/>
                  <w:sz w:val="20"/>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0"/>
        </w:rPr>
      </w:pPr>
      <w:r>
        <w:rPr>
          <w:rFonts w:ascii="Arial Narrow;sans-serif" w:hAnsi="Arial Narrow;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 xml:space="preserve">EZCORP, Inc. </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BALANCE SHEETS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92"/>
        <w:gridCol w:w="1961"/>
        <w:gridCol w:w="1969"/>
        <w:gridCol w:w="181"/>
        <w:gridCol w:w="766"/>
        <w:gridCol w:w="109"/>
        <w:gridCol w:w="109"/>
        <w:gridCol w:w="109"/>
        <w:gridCol w:w="109"/>
        <w:gridCol w:w="181"/>
        <w:gridCol w:w="766"/>
        <w:gridCol w:w="109"/>
        <w:gridCol w:w="109"/>
        <w:gridCol w:w="109"/>
        <w:gridCol w:w="109"/>
        <w:gridCol w:w="183"/>
        <w:gridCol w:w="776"/>
        <w:gridCol w:w="158"/>
      </w:tblGrid>
      <w:tr>
        <w:trPr/>
        <w:tc>
          <w:tcPr>
            <w:tcW w:w="239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632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444" w:type="dxa"/>
            <w:gridSpan w:val="6"/>
            <w:tcBorders/>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710,730 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629,646 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644,163 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286,828 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assets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1,457,678 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1,330,827 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1,347,878 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149,972 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144,851 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152,866 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312,903 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718,636 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645,073 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655,647 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9)</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 million; issued and outstanding: 52,214,761 as of June 30, 2023; 53,685,333 as of June 30, 2022; and 53,454,885 as of September 30, 2022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345,330 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402,006 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739,042 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685,754 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692,231 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1,457,678 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1,330,827 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1,347,878 </w:t>
            </w:r>
          </w:p>
        </w:tc>
        <w:tc>
          <w:tcPr>
            <w:tcW w:w="15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br/>
        <w:t xml:space="preserve">See accompanying notes to unaudited interim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OPERATIONS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center"/>
        <w:rPr/>
      </w:pPr>
      <w:r>
        <w:rPr/>
      </w:r>
    </w:p>
    <w:tbl>
      <w:tblPr>
        <w:tblW w:w="8279" w:type="dxa"/>
        <w:jc w:val="left"/>
        <w:tblInd w:w="0" w:type="dxa"/>
        <w:tblLayout w:type="fixed"/>
        <w:tblCellMar>
          <w:top w:w="28" w:type="dxa"/>
          <w:left w:w="28" w:type="dxa"/>
          <w:bottom w:w="28" w:type="dxa"/>
          <w:right w:w="28" w:type="dxa"/>
        </w:tblCellMar>
      </w:tblPr>
      <w:tblGrid>
        <w:gridCol w:w="1272"/>
        <w:gridCol w:w="1116"/>
        <w:gridCol w:w="1121"/>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Nine Months Ended</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2022</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255,812 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778,562 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652,818 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450,464 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390,547 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128,173 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115,891 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374,873 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330,509 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60,038 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(income)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Income before income taxes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54,552 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18,222 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42,823 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share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COMPREHENSIVE INCOME</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left"/>
        <w:rPr/>
      </w:pPr>
      <w:r>
        <w:rPr/>
      </w:r>
    </w:p>
    <w:tbl>
      <w:tblPr>
        <w:tblW w:w="7754" w:type="dxa"/>
        <w:jc w:val="left"/>
        <w:tblInd w:w="0" w:type="dxa"/>
        <w:tblLayout w:type="fixed"/>
        <w:tblCellMar>
          <w:top w:w="28" w:type="dxa"/>
          <w:left w:w="28" w:type="dxa"/>
          <w:bottom w:w="28" w:type="dxa"/>
          <w:right w:w="28" w:type="dxa"/>
        </w:tblCellMar>
      </w:tblPr>
      <w:tblGrid>
        <w:gridCol w:w="1186"/>
        <w:gridCol w:w="1044"/>
        <w:gridCol w:w="1054"/>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comprehensive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Comprehensive income </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26,323 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8,888 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54,963 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46,201 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STOCKHOLDERS’ EQUITY</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10205" w:type="dxa"/>
        <w:jc w:val="left"/>
        <w:tblInd w:w="0" w:type="dxa"/>
        <w:tblLayout w:type="fixed"/>
        <w:tblCellMar>
          <w:top w:w="28" w:type="dxa"/>
          <w:left w:w="28" w:type="dxa"/>
          <w:bottom w:w="28" w:type="dxa"/>
          <w:right w:w="28" w:type="dxa"/>
        </w:tblCellMar>
      </w:tblPr>
      <w:tblGrid>
        <w:gridCol w:w="779"/>
        <w:gridCol w:w="550"/>
        <w:gridCol w:w="551"/>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70"/>
        <w:gridCol w:w="852"/>
        <w:gridCol w:w="163"/>
        <w:gridCol w:w="109"/>
        <w:gridCol w:w="109"/>
        <w:gridCol w:w="109"/>
        <w:gridCol w:w="109"/>
        <w:gridCol w:w="109"/>
        <w:gridCol w:w="109"/>
        <w:gridCol w:w="109"/>
        <w:gridCol w:w="109"/>
        <w:gridCol w:w="109"/>
        <w:gridCol w:w="251"/>
        <w:gridCol w:w="897"/>
        <w:gridCol w:w="218"/>
      </w:tblGrid>
      <w:tr>
        <w:trPr/>
        <w:tc>
          <w:tcPr>
            <w:tcW w:w="77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Stockholders’ Equity</w:t>
            </w:r>
          </w:p>
        </w:tc>
      </w:tr>
      <w:tr>
        <w:trPr/>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2022</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56,425 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(55,669)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692,231 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equity consideration for acquisition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16,778 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2022</w:t>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55,848 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343,012 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414,929 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(53,165)</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705,335 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62"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1,855 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1,855</w:t>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16,148</w:t>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(3,951)</w:t>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r>
      <w:tr>
        <w:trPr/>
        <w:tc>
          <w:tcPr>
            <w:tcW w:w="1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2023</w:t>
            </w:r>
          </w:p>
        </w:tc>
        <w:tc>
          <w:tcPr>
            <w:tcW w:w="7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(37,017)</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712,588 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6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3,135 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3,135 </w:t>
            </w:r>
          </w:p>
        </w:tc>
        <w:tc>
          <w:tcPr>
            <w:tcW w:w="2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8,101 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18,222 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June 30, 2023</w:t>
            </w:r>
          </w:p>
        </w:tc>
        <w:tc>
          <w:tcPr>
            <w:tcW w:w="76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55,185</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552 </w:t>
            </w:r>
          </w:p>
        </w:tc>
        <w:tc>
          <w:tcPr>
            <w:tcW w:w="1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344,857 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422,549 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(28,916)</w:t>
            </w:r>
          </w:p>
        </w:tc>
        <w:tc>
          <w:tcPr>
            <w:tcW w:w="1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739,042 </w:t>
            </w:r>
          </w:p>
        </w:tc>
        <w:tc>
          <w:tcPr>
            <w:tcW w:w="2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9"/>
        <w:gridCol w:w="549"/>
        <w:gridCol w:w="551"/>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70"/>
        <w:gridCol w:w="852"/>
        <w:gridCol w:w="163"/>
        <w:gridCol w:w="109"/>
        <w:gridCol w:w="109"/>
        <w:gridCol w:w="109"/>
        <w:gridCol w:w="109"/>
        <w:gridCol w:w="109"/>
        <w:gridCol w:w="109"/>
        <w:gridCol w:w="109"/>
        <w:gridCol w:w="109"/>
        <w:gridCol w:w="109"/>
        <w:gridCol w:w="251"/>
        <w:gridCol w:w="897"/>
        <w:gridCol w:w="219"/>
      </w:tblGrid>
      <w:tr>
        <w:trPr/>
        <w:tc>
          <w:tcPr>
            <w:tcW w:w="77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Stockholders’ Equity</w:t>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2021</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(58,415)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672,238 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Cumulative effect of adoption of ASU 2020-06</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(37,406)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2021</w:t>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56,314 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339,955 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369,359 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(55,376)</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654,501 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57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460 </w:t>
            </w:r>
          </w:p>
        </w:tc>
        <w:tc>
          <w:tcPr>
            <w:tcW w:w="21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consideration for other investment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2022</w:t>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56,656 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341,913 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384,246 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(51,710)</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675,016 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62"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1,850 </w:t>
            </w:r>
          </w:p>
        </w:tc>
        <w:tc>
          <w:tcPr>
            <w:tcW w:w="21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loss</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June 30, 2022</w:t>
            </w:r>
          </w:p>
        </w:tc>
        <w:tc>
          <w:tcPr>
            <w:tcW w:w="76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56,656</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343,763 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396,461 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(55,037)</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685,754 </w:t>
            </w:r>
          </w:p>
        </w:tc>
        <w:tc>
          <w:tcPr>
            <w:tcW w:w="2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ind w:left="0" w:right="0" w:firstLine="72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CASH FLOWS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7568" w:type="dxa"/>
        <w:jc w:val="left"/>
        <w:tblInd w:w="0" w:type="dxa"/>
        <w:tblLayout w:type="fixed"/>
        <w:tblCellMar>
          <w:top w:w="28" w:type="dxa"/>
          <w:left w:w="28" w:type="dxa"/>
          <w:bottom w:w="28" w:type="dxa"/>
          <w:right w:w="28" w:type="dxa"/>
        </w:tblCellMar>
      </w:tblPr>
      <w:tblGrid>
        <w:gridCol w:w="1926"/>
        <w:gridCol w:w="1697"/>
        <w:gridCol w:w="1701"/>
        <w:gridCol w:w="181"/>
        <w:gridCol w:w="646"/>
        <w:gridCol w:w="109"/>
        <w:gridCol w:w="109"/>
        <w:gridCol w:w="109"/>
        <w:gridCol w:w="109"/>
        <w:gridCol w:w="181"/>
        <w:gridCol w:w="646"/>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deferred financing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Service charges and fees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notes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(70,547)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Repurchase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(decrease) in cash, cash equivalents and restricted cash</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32,154 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(32,668)</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 at end of period</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246,523 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230,956 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497F"/>
          <w:sz w:val="28"/>
        </w:rPr>
        <w:t xml:space="preserve">Notes to Interim Condensed Consolidated Financial Statements </w:t>
        <w:br/>
      </w:r>
      <w:r>
        <w:rPr>
          <w:rFonts w:ascii="Arial Narrow;sans-serif" w:hAnsi="Arial Narrow;sans-serif"/>
          <w:b/>
          <w:color w:val="00497F"/>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497F"/>
          <w:sz w:val="28"/>
        </w:rPr>
        <w:t>NOTE 1: ORGANIZATION AND SUMMARY OF SIGNIFICANT ACCOUNTING POLICIES</w:t>
      </w:r>
      <w:r>
        <w:rPr>
          <w:color w:val="000000"/>
        </w:rPr>
        <w:t xml:space="preserve">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Inc. (collectively with its subsidiaries, the “Company,” “we,” “us,” or “our”) is a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Basis of Presentation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These Condensed Consolidated Financial Statements should be read in conjunction with the audited consolidated financial statements and related notes contained in our </w:t>
      </w:r>
      <w:r>
        <w:fldChar w:fldCharType="begin"/>
      </w:r>
      <w:r>
        <w:rPr>
          <w:rStyle w:val="InternetLink"/>
          <w:dstrike w:val="false"/>
          <w:strike w:val="false"/>
          <w:sz w:val="20"/>
          <w:u w:val="none"/>
          <w:b w:val="false"/>
          <w:effect w:val="none"/>
          <w:rFonts w:ascii="Arial Narrow;sans-serif" w:hAnsi="Arial Narrow;sans-serif"/>
          <w:color w:val="000000"/>
        </w:rPr>
        <w:instrText xml:space="preserve"> HYPERLINK "https://www.sec.gov/ix?doc=/Archives/edgar/data/876523/000087652322000071/ezpw-20220930.htm" \l "i217f6b0b6bcd49c4bdbf4d1738ef426e_172"</w:instrText>
      </w:r>
      <w:r>
        <w:rPr>
          <w:rStyle w:val="InternetLink"/>
          <w:dstrike w:val="false"/>
          <w:strike w:val="false"/>
          <w:sz w:val="20"/>
          <w:u w:val="none"/>
          <w:b w:val="false"/>
          <w:effect w:val="none"/>
          <w:rFonts w:ascii="Arial Narrow;sans-serif" w:hAnsi="Arial Narrow;sans-serif"/>
          <w:color w:val="000000"/>
        </w:rPr>
        <w:fldChar w:fldCharType="separate"/>
      </w:r>
      <w:r>
        <w:rPr>
          <w:rStyle w:val="InternetLink"/>
          <w:rFonts w:ascii="Arial Narrow;sans-serif" w:hAnsi="Arial Narrow;sans-serif"/>
          <w:b w:val="false"/>
          <w:strike w:val="false"/>
          <w:dstrike w:val="false"/>
          <w:color w:val="000000"/>
          <w:sz w:val="20"/>
          <w:u w:val="none"/>
          <w:effect w:val="none"/>
        </w:rPr>
        <w:t xml:space="preserve">Annual Report on Form 10-K for the year ended September 30, </w:t>
      </w:r>
      <w:r>
        <w:rPr>
          <w:rStyle w:val="InternetLink"/>
          <w:dstrike w:val="false"/>
          <w:strike w:val="false"/>
          <w:sz w:val="20"/>
          <w:u w:val="none"/>
          <w:b w:val="false"/>
          <w:effect w:val="none"/>
          <w:rFonts w:ascii="Arial Narrow;sans-serif" w:hAnsi="Arial Narrow;sans-serif"/>
          <w:color w:val="000000"/>
        </w:rPr>
        <w:fldChar w:fldCharType="end"/>
      </w:r>
      <w:r>
        <w:rPr>
          <w:rFonts w:ascii="Arial Narrow;sans-serif" w:hAnsi="Arial Narrow;sans-serif"/>
          <w:b w:val="false"/>
          <w:color w:val="000000"/>
          <w:sz w:val="20"/>
        </w:rPr>
        <w:t>2022, filed with the Securities and Exchange Commission (“SEC”) on November 16, 2022 (“2022 Annual Report”).</w:t>
      </w:r>
    </w:p>
    <w:p>
      <w:pPr>
        <w:pStyle w:val="TextBody"/>
        <w:bidi w:val="0"/>
        <w:spacing w:lineRule="auto" w:line="288" w:before="180" w:after="283"/>
        <w:jc w:val="left"/>
        <w:rPr/>
      </w:pPr>
      <w:r>
        <w:rPr>
          <w:rFonts w:ascii="Arial Narrow;sans-serif" w:hAnsi="Arial Narrow;sans-serif"/>
          <w:b w:val="false"/>
          <w:color w:val="000000"/>
          <w:sz w:val="20"/>
        </w:rPr>
        <w:t xml:space="preserve">In the opinion of management, the accompanying Condensed Consolidated Financial Statements include all adjustments, consisting of normal recurring adjustments, considered necessary for a fair presentation. Financial results for the three and nine-month periods ended June 30, 2023, are not necessarily indicative of results that may be expected for the fiscal year ending September 30, 2023 or any other period due, in part, to seasonal variations. There have been no changes that have had a material impact in significant accounting policies as described in our 2022 </w:t>
      </w:r>
      <w:r>
        <w:fldChar w:fldCharType="begin"/>
      </w:r>
      <w:r>
        <w:rPr>
          <w:rStyle w:val="InternetLink"/>
          <w:dstrike w:val="false"/>
          <w:strike w:val="false"/>
          <w:sz w:val="20"/>
          <w:u w:val="none"/>
          <w:b w:val="false"/>
          <w:effect w:val="none"/>
          <w:rFonts w:ascii="Arial Narrow;sans-serif" w:hAnsi="Arial Narrow;sans-serif"/>
          <w:color w:val="000000"/>
        </w:rPr>
        <w:instrText xml:space="preserve"> HYPERLINK "https://www.sec.gov/ix?doc=/Archives/edgar/data/876523/000087652322000071/ezpw-20220930.htm" \l "i217f6b0b6bcd49c4bdbf4d1738ef426e_172"</w:instrText>
      </w:r>
      <w:r>
        <w:rPr>
          <w:rStyle w:val="InternetLink"/>
          <w:dstrike w:val="false"/>
          <w:strike w:val="false"/>
          <w:sz w:val="20"/>
          <w:u w:val="none"/>
          <w:b w:val="false"/>
          <w:effect w:val="none"/>
          <w:rFonts w:ascii="Arial Narrow;sans-serif" w:hAnsi="Arial Narrow;sans-serif"/>
          <w:color w:val="000000"/>
        </w:rPr>
        <w:fldChar w:fldCharType="separate"/>
      </w:r>
      <w:r>
        <w:rPr>
          <w:rStyle w:val="InternetLink"/>
          <w:rFonts w:ascii="Arial Narrow;sans-serif" w:hAnsi="Arial Narrow;sans-serif"/>
          <w:b w:val="false"/>
          <w:strike w:val="false"/>
          <w:dstrike w:val="false"/>
          <w:color w:val="000000"/>
          <w:sz w:val="20"/>
          <w:u w:val="none"/>
          <w:effect w:val="none"/>
        </w:rPr>
        <w:t>Annual Report</w:t>
      </w:r>
      <w:r>
        <w:rPr>
          <w:rStyle w:val="InternetLink"/>
          <w:dstrike w:val="false"/>
          <w:strike w:val="false"/>
          <w:sz w:val="20"/>
          <w:u w:val="none"/>
          <w:b w:val="false"/>
          <w:effect w:val="none"/>
          <w:rFonts w:ascii="Arial Narrow;sans-serif" w:hAnsi="Arial Narrow;sans-serif"/>
          <w:color w:val="000000"/>
        </w:rPr>
        <w:fldChar w:fldCharType="end"/>
      </w:r>
      <w:r>
        <w:rPr>
          <w:rFonts w:ascii="Arial Narrow;sans-serif" w:hAnsi="Arial Narrow;sans-serif"/>
          <w:b w:val="false"/>
          <w:color w:val="000000"/>
          <w:sz w:val="20"/>
        </w:rPr>
        <w: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Principles of Consolidation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Condensed Consolidated Financial Statements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 </w:t>
      </w:r>
    </w:p>
    <w:p>
      <w:pPr>
        <w:pStyle w:val="TextBody"/>
        <w:bidi w:val="0"/>
        <w:spacing w:lineRule="auto" w:line="288" w:before="180" w:after="283"/>
        <w:jc w:val="left"/>
        <w:rPr/>
      </w:pPr>
      <w:r>
        <w:rPr>
          <w:rFonts w:ascii="Arial Narrow;sans-serif" w:hAnsi="Arial Narrow;sans-serif"/>
          <w:b/>
          <w:color w:val="000000"/>
          <w:sz w:val="20"/>
        </w:rPr>
        <w:t>Use of Estimates and Assumptions</w:t>
      </w:r>
      <w:r>
        <w:rPr>
          <w:color w:val="000000"/>
        </w:rPr>
        <w:t xml:space="preserve"> </w:t>
      </w:r>
    </w:p>
    <w:p>
      <w:pPr>
        <w:pStyle w:val="TextBody"/>
        <w:bidi w:val="0"/>
        <w:spacing w:lineRule="auto" w:line="288" w:before="180" w:after="283"/>
        <w:jc w:val="left"/>
        <w:rPr/>
      </w:pPr>
      <w:r>
        <w:rPr>
          <w:rFonts w:ascii="Arial Narrow;sans-serif" w:hAnsi="Arial Narrow;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br/>
        <w:br/>
      </w:r>
      <w:r>
        <w:rPr>
          <w:rFonts w:ascii="Arial Narrow;sans-serif" w:hAnsi="Arial Narrow;sans-serif"/>
          <w:b/>
          <w:color w:val="000000"/>
          <w:sz w:val="20"/>
        </w:rPr>
        <w:t>Recently Issued Accounting Pronouncements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reviewed all recently issued accounting pronouncements and concluded that they were either not applicable or not expected to have a material impact on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2: GOODWILL</w:t>
      </w:r>
    </w:p>
    <w:p>
      <w:pPr>
        <w:pStyle w:val="TextBody"/>
        <w:bidi w:val="0"/>
        <w:spacing w:lineRule="auto" w:line="288" w:before="180" w:after="180"/>
        <w:jc w:val="both"/>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following table summarizes the changes in the carrying amount of goodwill by segment and in total:</w:t>
      </w:r>
    </w:p>
    <w:tbl>
      <w:tblPr>
        <w:tblW w:w="7140" w:type="dxa"/>
        <w:jc w:val="left"/>
        <w:tblInd w:w="0" w:type="dxa"/>
        <w:tblLayout w:type="fixed"/>
        <w:tblCellMar>
          <w:top w:w="28" w:type="dxa"/>
          <w:left w:w="28" w:type="dxa"/>
          <w:bottom w:w="28" w:type="dxa"/>
          <w:right w:w="28" w:type="dxa"/>
        </w:tblCellMar>
      </w:tblPr>
      <w:tblGrid>
        <w:gridCol w:w="1079"/>
        <w:gridCol w:w="951"/>
        <w:gridCol w:w="954"/>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2023</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2022</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41,325 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286,828 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June 30, 2023</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254,971 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47,149 </w:t>
            </w:r>
          </w:p>
        </w:tc>
        <w:tc>
          <w:tcPr>
            <w:tcW w:w="1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302,120 </w:t>
            </w:r>
          </w:p>
        </w:tc>
        <w:tc>
          <w:tcPr>
            <w:tcW w:w="16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140" w:type="dxa"/>
        <w:jc w:val="left"/>
        <w:tblInd w:w="0" w:type="dxa"/>
        <w:tblLayout w:type="fixed"/>
        <w:tblCellMar>
          <w:top w:w="28" w:type="dxa"/>
          <w:left w:w="28" w:type="dxa"/>
          <w:bottom w:w="28" w:type="dxa"/>
          <w:right w:w="28" w:type="dxa"/>
        </w:tblCellMar>
      </w:tblPr>
      <w:tblGrid>
        <w:gridCol w:w="1079"/>
        <w:gridCol w:w="951"/>
        <w:gridCol w:w="954"/>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2022</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2021</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41,287 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285,758 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Measurement period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June 30, 2022</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245,503 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41,295 </w:t>
            </w:r>
          </w:p>
        </w:tc>
        <w:tc>
          <w:tcPr>
            <w:tcW w:w="19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286,798 </w:t>
            </w:r>
          </w:p>
        </w:tc>
        <w:tc>
          <w:tcPr>
            <w:tcW w:w="16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During the first quarter of fiscal 2023, we acquired nine pawn stores located in Houston, Texas and one luxury pawn store in Las Vegas, Nevada for total cash consideration of </w:t>
      </w:r>
      <w:r>
        <w:rPr>
          <w:rFonts w:ascii="Arial Narrow;sans-serif" w:hAnsi="Arial Narrow;sans-serif"/>
          <w:b w:val="false"/>
          <w:color w:val="000000"/>
          <w:sz w:val="20"/>
        </w:rPr>
        <w:t>$13.0 million</w:t>
      </w:r>
      <w:r>
        <w:rPr>
          <w:rFonts w:ascii="Arial Narrow;sans-serif" w:hAnsi="Arial Narrow;sans-serif"/>
          <w:b w:val="false"/>
          <w:color w:val="000000"/>
          <w:sz w:val="20"/>
          <w:shd w:fill="FFFFFF" w:val="clear"/>
        </w:rPr>
        <w:t>, inclusive of all ancillary arrangements, of which $9.5 million was recorded as goodwill. These acquisitions expand our position in these strategic markets, a</w:t>
      </w:r>
      <w:r>
        <w:rPr>
          <w:rFonts w:ascii="Arial Narrow;sans-serif" w:hAnsi="Arial Narrow;sans-serif"/>
          <w:b w:val="false"/>
          <w:color w:val="000000"/>
          <w:sz w:val="20"/>
        </w:rPr>
        <w:t xml:space="preserve">nd the luxury pawn transaction </w:t>
      </w:r>
      <w:r>
        <w:rPr>
          <w:rFonts w:ascii="Arial Narrow;sans-serif" w:hAnsi="Arial Narrow;sans-serif"/>
          <w:b w:val="false"/>
          <w:color w:val="000000"/>
          <w:sz w:val="20"/>
          <w:shd w:fill="FFFFFF" w:val="clear"/>
        </w:rPr>
        <w:t xml:space="preserve">expands our offerings by providing a dedicated and </w:t>
      </w:r>
      <w:r>
        <w:rPr>
          <w:rFonts w:ascii="Arial Narrow;sans-serif" w:hAnsi="Arial Narrow;sans-serif"/>
          <w:b w:val="false"/>
          <w:color w:val="000000"/>
          <w:sz w:val="20"/>
        </w:rPr>
        <w:t>targeted</w:t>
      </w:r>
      <w:r>
        <w:rPr>
          <w:color w:val="000000"/>
          <w:shd w:fill="FFFFFF" w:val="clear"/>
        </w:rPr>
        <w:t xml:space="preserve"> </w:t>
      </w:r>
      <w:r>
        <w:rPr>
          <w:rFonts w:ascii="Arial Narrow;sans-serif" w:hAnsi="Arial Narrow;sans-serif"/>
          <w:b w:val="false"/>
          <w:color w:val="000000"/>
          <w:sz w:val="20"/>
          <w:shd w:fill="FFFFFF" w:val="clear"/>
        </w:rPr>
        <w:t>focus on higher-end products. These acquisitions were immaterial, individually and in the aggregate, and we have therefore omitted or aggregated certain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 xml:space="preserve">NOTE 3: EARNINGS PER SHARE </w:t>
      </w:r>
    </w:p>
    <w:p>
      <w:pPr>
        <w:pStyle w:val="TextBody"/>
        <w:bidi w:val="0"/>
        <w:spacing w:lineRule="auto" w:line="288" w:before="180" w:after="283"/>
        <w:jc w:val="left"/>
        <w:rPr/>
      </w:pPr>
      <w:r>
        <w:rPr>
          <w:rFonts w:ascii="Arial Narrow;sans-serif" w:hAnsi="Arial Narrow;sans-serif"/>
          <w:b w:val="false"/>
          <w:color w:val="000000"/>
          <w:sz w:val="20"/>
        </w:rPr>
        <w:t xml:space="preserve">The following table reconciles the number of common shares used to compute basic and diluted </w:t>
      </w:r>
      <w:r>
        <w:rPr>
          <w:rFonts w:ascii="Arial Narrow;sans-serif" w:hAnsi="Arial Narrow;sans-serif"/>
          <w:b w:val="false"/>
          <w:color w:val="000000"/>
          <w:sz w:val="20"/>
          <w:shd w:fill="FFFFFF" w:val="clear"/>
        </w:rPr>
        <w:t>earnings</w:t>
      </w:r>
      <w:r>
        <w:rPr>
          <w:color w:val="000000"/>
        </w:rPr>
        <w:t xml:space="preserve"> </w:t>
      </w:r>
      <w:r>
        <w:rPr>
          <w:rFonts w:ascii="Arial Narrow;sans-serif" w:hAnsi="Arial Narrow;sans-serif"/>
          <w:b w:val="false"/>
          <w:color w:val="000000"/>
          <w:sz w:val="20"/>
        </w:rPr>
        <w:t>per share attributable to EZCORP Inc., shareholders:</w:t>
      </w:r>
    </w:p>
    <w:tbl>
      <w:tblPr>
        <w:tblW w:w="10205" w:type="dxa"/>
        <w:jc w:val="left"/>
        <w:tblInd w:w="0" w:type="dxa"/>
        <w:tblLayout w:type="fixed"/>
        <w:tblCellMar>
          <w:top w:w="28" w:type="dxa"/>
          <w:left w:w="28" w:type="dxa"/>
          <w:bottom w:w="28" w:type="dxa"/>
          <w:right w:w="28" w:type="dxa"/>
        </w:tblCellMar>
      </w:tblPr>
      <w:tblGrid>
        <w:gridCol w:w="2095"/>
        <w:gridCol w:w="1815"/>
        <w:gridCol w:w="1823"/>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56"/>
      </w:tblGrid>
      <w:tr>
        <w:trPr/>
        <w:tc>
          <w:tcPr>
            <w:tcW w:w="209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5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Basic earnings per common share: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 basic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common share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0.76 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Diluted earnings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basic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 Convertible Notes interest expense,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 diluted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20,866 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48,421 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55,367 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56,656 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56,465 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 awards - effect of dilution**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Convertible Notes - effect of dilution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diluted</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86,825 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79,559 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82,349 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common share</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0.59 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Potential common shares excluded from the calculation of diluted earnings per common share above: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Convertible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top w:val="single" w:sz="8" w:space="0" w:color="929292"/>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52" w:type="dxa"/>
            <w:gridSpan w:val="2"/>
            <w:tcBorders>
              <w:top w:val="single" w:sz="8" w:space="0" w:color="929292"/>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1,705 </w:t>
            </w:r>
          </w:p>
        </w:tc>
        <w:tc>
          <w:tcPr>
            <w:tcW w:w="109" w:type="dxa"/>
            <w:tcBorders>
              <w:top w:val="single" w:sz="8" w:space="0" w:color="929292"/>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29292"/>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1,825 </w:t>
            </w:r>
          </w:p>
        </w:tc>
        <w:tc>
          <w:tcPr>
            <w:tcW w:w="109" w:type="dxa"/>
            <w:tcBorders>
              <w:top w:val="single" w:sz="8" w:space="0" w:color="929292"/>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29292"/>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8,051 </w:t>
            </w:r>
          </w:p>
        </w:tc>
        <w:tc>
          <w:tcPr>
            <w:tcW w:w="109" w:type="dxa"/>
            <w:tcBorders>
              <w:top w:val="single" w:sz="8" w:space="0" w:color="929292"/>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29292"/>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2,066 </w:t>
            </w:r>
          </w:p>
        </w:tc>
        <w:tc>
          <w:tcPr>
            <w:tcW w:w="156" w:type="dxa"/>
            <w:tcBorders>
              <w:top w:val="single" w:sz="8" w:space="0" w:color="929292"/>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The nine months ended June 30, 2023 includes $5.4 million gain on the partial extinguishment of debt, associated with the 2025 Convertible Notes, which was recorded to “Interest expense” in the Company’s condensed consolidated statement of operations. See Note 7: Debt for additional information.</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time-based share-based awards and performance based awards for which targets for fiscal year tranches have been achieved and vesting is subject only to achievement of service conditions.</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See Note 7: Debt for conversion rate of the 2024 Convertible Notes, 2025 Convertible Notes, and 2029 Convertible Notes.</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antidilutive share-based awards as well as performance-based share-based awards that are contingently issuable, but for which the condition for issuance has not been met as of the end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4: LEASES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determine if a contract contains a lease at inception. Our lease portfolio consists primarily of operating leases for pawn store locations and corporate offices with lease terms ranging from three to ten years and finance leases for vehicles with lease terms of five years.</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presents balances of our lease assets and liabilities and their balance sheet locations for both operating and financing leases:</w:t>
      </w:r>
    </w:p>
    <w:tbl>
      <w:tblPr>
        <w:tblW w:w="10205" w:type="dxa"/>
        <w:jc w:val="left"/>
        <w:tblInd w:w="0" w:type="dxa"/>
        <w:tblLayout w:type="fixed"/>
        <w:tblCellMar>
          <w:top w:w="28" w:type="dxa"/>
          <w:left w:w="28" w:type="dxa"/>
          <w:bottom w:w="28" w:type="dxa"/>
          <w:right w:w="28" w:type="dxa"/>
        </w:tblCellMar>
      </w:tblPr>
      <w:tblGrid>
        <w:gridCol w:w="783"/>
        <w:gridCol w:w="680"/>
        <w:gridCol w:w="682"/>
        <w:gridCol w:w="1259"/>
        <w:gridCol w:w="1239"/>
        <w:gridCol w:w="1245"/>
        <w:gridCol w:w="195"/>
        <w:gridCol w:w="696"/>
        <w:gridCol w:w="116"/>
        <w:gridCol w:w="109"/>
        <w:gridCol w:w="109"/>
        <w:gridCol w:w="109"/>
        <w:gridCol w:w="195"/>
        <w:gridCol w:w="696"/>
        <w:gridCol w:w="116"/>
        <w:gridCol w:w="109"/>
        <w:gridCol w:w="109"/>
        <w:gridCol w:w="109"/>
        <w:gridCol w:w="266"/>
        <w:gridCol w:w="951"/>
        <w:gridCol w:w="159"/>
        <w:gridCol w:w="109"/>
        <w:gridCol w:w="164"/>
      </w:tblGrid>
      <w:tr>
        <w:trPr/>
        <w:tc>
          <w:tcPr>
            <w:tcW w:w="78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Sheet Location</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assets:</w:t>
            </w:r>
          </w:p>
        </w:tc>
        <w:tc>
          <w:tcPr>
            <w:tcW w:w="3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217,506 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assets</w:t>
            </w:r>
          </w:p>
        </w:tc>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assets</w:t>
            </w:r>
          </w:p>
        </w:tc>
        <w:tc>
          <w:tcPr>
            <w:tcW w:w="374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245,176 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217,506 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221,586 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743"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743"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743"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liabilities:</w:t>
            </w:r>
          </w:p>
        </w:tc>
        <w:tc>
          <w:tcPr>
            <w:tcW w:w="3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3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53,358 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lease liabilities</w:t>
            </w:r>
          </w:p>
        </w:tc>
        <w:tc>
          <w:tcPr>
            <w:tcW w:w="374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57,391 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53,358 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52,371 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w:t>
            </w:r>
          </w:p>
        </w:tc>
        <w:tc>
          <w:tcPr>
            <w:tcW w:w="3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197,499 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lease liabilities</w:t>
            </w:r>
          </w:p>
        </w:tc>
        <w:tc>
          <w:tcPr>
            <w:tcW w:w="374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199,144 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175,489 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180,904 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3743"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256,535 </w:t>
            </w:r>
          </w:p>
        </w:tc>
        <w:tc>
          <w:tcPr>
            <w:tcW w:w="11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228,847 </w:t>
            </w:r>
          </w:p>
        </w:tc>
        <w:tc>
          <w:tcPr>
            <w:tcW w:w="11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233,275 </w:t>
            </w:r>
          </w:p>
        </w:tc>
        <w:tc>
          <w:tcPr>
            <w:tcW w:w="15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provides major components of our lease costs:</w:t>
      </w:r>
    </w:p>
    <w:tbl>
      <w:tblPr>
        <w:tblW w:w="6990" w:type="dxa"/>
        <w:jc w:val="left"/>
        <w:tblInd w:w="0" w:type="dxa"/>
        <w:tblLayout w:type="fixed"/>
        <w:tblCellMar>
          <w:top w:w="28" w:type="dxa"/>
          <w:left w:w="28" w:type="dxa"/>
          <w:bottom w:w="28" w:type="dxa"/>
          <w:right w:w="28" w:type="dxa"/>
        </w:tblCellMar>
      </w:tblPr>
      <w:tblGrid>
        <w:gridCol w:w="911"/>
        <w:gridCol w:w="804"/>
        <w:gridCol w:w="805"/>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lease cost: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lease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cost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22,889 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66,287 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61,615 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Financing lease cost: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financing lease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financing 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financing lease cost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cost</w:t>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23,042 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21,088 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66,549 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61,615 </w:t>
            </w:r>
          </w:p>
        </w:tc>
        <w:tc>
          <w:tcPr>
            <w:tcW w:w="154"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 Narrow;sans-serif" w:hAnsi="Arial Narrow;sans-serif"/>
          <w:b w:val="false"/>
          <w:color w:val="000000"/>
          <w:sz w:val="20"/>
        </w:rPr>
        <w:br/>
      </w:r>
      <w:r>
        <w:rPr>
          <w:rFonts w:ascii="Arial Narrow;sans-serif" w:hAnsi="Arial Narrow;sans-serif"/>
          <w:b w:val="false"/>
          <w:color w:val="000000"/>
          <w:sz w:val="16"/>
        </w:rPr>
        <w:t>* Includes a reduction for sublease rental income of $1.0 million and $0.9 million for the three months ended June 30, 2023 and 2022, respectively, and $2.8 million and $2.6 million for the nine months ended June 30, 2023 and 2022, respectively.</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Lease expense is recognized on a straight-line basis over the lease term with variable lease expense recognized in the period in which the costs are incurred. The components of lease expense are included in “Store” and “General and Administrative” expense, based on the underlying lease use. Cash paid for operating leases was $19.5 million and $18.4 million for the three months ended June 30, 2023 and 2022, respectively, and $56.9 million and $54.0 million for the nine months ended June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weighted-average term and discount rates for leases are as follows:</w:t>
      </w:r>
    </w:p>
    <w:tbl>
      <w:tblPr>
        <w:tblW w:w="5039" w:type="dxa"/>
        <w:jc w:val="left"/>
        <w:tblInd w:w="0" w:type="dxa"/>
        <w:tblLayout w:type="fixed"/>
        <w:tblCellMar>
          <w:top w:w="28" w:type="dxa"/>
          <w:left w:w="28" w:type="dxa"/>
          <w:bottom w:w="28" w:type="dxa"/>
          <w:right w:w="28" w:type="dxa"/>
        </w:tblCellMar>
      </w:tblPr>
      <w:tblGrid>
        <w:gridCol w:w="1129"/>
        <w:gridCol w:w="994"/>
        <w:gridCol w:w="996"/>
        <w:gridCol w:w="247"/>
        <w:gridCol w:w="249"/>
        <w:gridCol w:w="283"/>
        <w:gridCol w:w="128"/>
        <w:gridCol w:w="128"/>
        <w:gridCol w:w="128"/>
        <w:gridCol w:w="210"/>
        <w:gridCol w:w="211"/>
        <w:gridCol w:w="336"/>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remaining lease term (years):</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discount rate:</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8.52 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8.20 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Arial Narrow;sans-serif" w:hAnsi="Arial Narrow;sans-serif"/>
          <w:b w:val="false"/>
          <w:color w:val="000000"/>
          <w:sz w:val="16"/>
        </w:rPr>
        <w:br/>
      </w:r>
      <w:r>
        <w:rPr>
          <w:rFonts w:ascii="Arial Narrow;sans-serif" w:hAnsi="Arial Narrow;sans-serif"/>
          <w:b w:val="false"/>
          <w:color w:val="000000"/>
          <w:sz w:val="20"/>
        </w:rPr>
        <w:t>As of June 30, 2023, maturities of lease liabilities under ASC 842 by fiscal year were as follows:</w:t>
      </w:r>
    </w:p>
    <w:tbl>
      <w:tblPr>
        <w:tblW w:w="5770" w:type="dxa"/>
        <w:jc w:val="left"/>
        <w:tblInd w:w="0" w:type="dxa"/>
        <w:tblLayout w:type="fixed"/>
        <w:tblCellMar>
          <w:top w:w="28" w:type="dxa"/>
          <w:left w:w="28" w:type="dxa"/>
          <w:bottom w:w="28" w:type="dxa"/>
          <w:right w:w="28" w:type="dxa"/>
        </w:tblCellMar>
      </w:tblPr>
      <w:tblGrid>
        <w:gridCol w:w="1009"/>
        <w:gridCol w:w="888"/>
        <w:gridCol w:w="892"/>
        <w:gridCol w:w="252"/>
        <w:gridCol w:w="901"/>
        <w:gridCol w:w="152"/>
        <w:gridCol w:w="109"/>
        <w:gridCol w:w="109"/>
        <w:gridCol w:w="109"/>
        <w:gridCol w:w="293"/>
        <w:gridCol w:w="804"/>
        <w:gridCol w:w="252"/>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Financing Leases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2023</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19,064 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2024</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74,063 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2025</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64,559 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313,024 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portion representing imputed interest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net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254,418 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2,117 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56,919 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 term net lease liabilities</w:t>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197,499 </w:t>
            </w:r>
          </w:p>
        </w:tc>
        <w:tc>
          <w:tcPr>
            <w:tcW w:w="1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1,645 </w:t>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recorded $55.2 million and $55.3 million in non-cash additions to our operating right-of-use assets and lease liabilities for the nine months ended June 30, 2023 and June 30, 2022, respectively. We recorded $2.1 million in non-cash additions to our finance right-of-use assets and leases liabilities for the nine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5: STRATEGIC INVESTMENTS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Cash Converters International Limited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ownership in Cash Converters International Limited (“Cash Converters”) for the periods presented:</w:t>
      </w:r>
    </w:p>
    <w:tbl>
      <w:tblPr>
        <w:tblW w:w="7053" w:type="dxa"/>
        <w:jc w:val="left"/>
        <w:tblInd w:w="0" w:type="dxa"/>
        <w:tblLayout w:type="fixed"/>
        <w:tblCellMar>
          <w:top w:w="28" w:type="dxa"/>
          <w:left w:w="28" w:type="dxa"/>
          <w:bottom w:w="28" w:type="dxa"/>
          <w:right w:w="28" w:type="dxa"/>
        </w:tblCellMar>
      </w:tblPr>
      <w:tblGrid>
        <w:gridCol w:w="505"/>
        <w:gridCol w:w="444"/>
        <w:gridCol w:w="445"/>
        <w:gridCol w:w="439"/>
        <w:gridCol w:w="439"/>
        <w:gridCol w:w="441"/>
        <w:gridCol w:w="449"/>
        <w:gridCol w:w="449"/>
        <w:gridCol w:w="451"/>
        <w:gridCol w:w="458"/>
        <w:gridCol w:w="458"/>
        <w:gridCol w:w="366"/>
        <w:gridCol w:w="369"/>
        <w:gridCol w:w="369"/>
        <w:gridCol w:w="971"/>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Date of purchase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Purchase amount</w:t>
            </w:r>
          </w:p>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 purchased</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 owned</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Ownership percentage</w:t>
            </w:r>
          </w:p>
        </w:tc>
      </w:tr>
      <w:tr>
        <w:trPr/>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October 1, 2021</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$2,500</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13,000,000 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236,702,991 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March 10, 2022</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5,500,000 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242,239,157 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38.6 </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April 5, 2022</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$2,500</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13,000,000 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255,239,157 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September 15, 2022</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5,700,000 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260,939,157 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41.6 </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2, 2022</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13,000,000 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273,939,157 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43.7 </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October 2021, April 2022, November 2022 and April 2023, we received cash dividends of $1.7 million, $1.7 million, $1.8 million and $1.8 million, respectively, from Cash Converters.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present summary financial information for Cash Converters most recently reported results at December 31, 2022 after translation to U.S. dollars:</w:t>
      </w:r>
    </w:p>
    <w:tbl>
      <w:tblPr>
        <w:tblW w:w="4809" w:type="dxa"/>
        <w:jc w:val="left"/>
        <w:tblInd w:w="0" w:type="dxa"/>
        <w:tblLayout w:type="fixed"/>
        <w:tblCellMar>
          <w:top w:w="28" w:type="dxa"/>
          <w:left w:w="28" w:type="dxa"/>
          <w:bottom w:w="28" w:type="dxa"/>
          <w:right w:w="28" w:type="dxa"/>
        </w:tblCellMar>
      </w:tblPr>
      <w:tblGrid>
        <w:gridCol w:w="928"/>
        <w:gridCol w:w="816"/>
        <w:gridCol w:w="821"/>
        <w:gridCol w:w="181"/>
        <w:gridCol w:w="646"/>
        <w:gridCol w:w="109"/>
        <w:gridCol w:w="109"/>
        <w:gridCol w:w="109"/>
        <w:gridCol w:w="109"/>
        <w:gridCol w:w="181"/>
        <w:gridCol w:w="64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287,480 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348,338 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shareholders’ equity</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287,480 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348,338 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r>
    </w:p>
    <w:tbl>
      <w:tblPr>
        <w:tblW w:w="3372" w:type="dxa"/>
        <w:jc w:val="left"/>
        <w:tblInd w:w="0" w:type="dxa"/>
        <w:tblLayout w:type="fixed"/>
        <w:tblCellMar>
          <w:top w:w="28" w:type="dxa"/>
          <w:left w:w="28" w:type="dxa"/>
          <w:bottom w:w="28" w:type="dxa"/>
          <w:right w:w="28" w:type="dxa"/>
        </w:tblCellMar>
      </w:tblPr>
      <w:tblGrid>
        <w:gridCol w:w="407"/>
        <w:gridCol w:w="358"/>
        <w:gridCol w:w="360"/>
        <w:gridCol w:w="194"/>
        <w:gridCol w:w="613"/>
        <w:gridCol w:w="117"/>
        <w:gridCol w:w="117"/>
        <w:gridCol w:w="117"/>
        <w:gridCol w:w="117"/>
        <w:gridCol w:w="194"/>
        <w:gridCol w:w="613"/>
        <w:gridCol w:w="165"/>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Half-Year Ended December 31,</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revenues</w:t>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98,768 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63,800 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profit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Arial Narrow;sans-serif" w:hAnsi="Arial Narrow;sans-serif"/>
          <w:b w:val="false"/>
          <w:color w:val="212529"/>
          <w:sz w:val="20"/>
        </w:rPr>
        <w:t xml:space="preserve">During the three and nine months ended June 30, 2023, we recorded our share of income of $1.5 million and a $29.4 million loss on our share of losses from Cash Converters, respectively, included in </w:t>
      </w:r>
      <w:r>
        <w:rPr>
          <w:color w:val="000000"/>
        </w:rPr>
        <w:t>“</w:t>
      </w:r>
      <w:r>
        <w:rPr>
          <w:rFonts w:ascii="Arial Narrow;sans-serif" w:hAnsi="Arial Narrow;sans-serif"/>
          <w:b w:val="false"/>
          <w:color w:val="000000"/>
          <w:sz w:val="20"/>
        </w:rPr>
        <w:t>Equity in net (income) loss of unconsolidated affiliates”</w:t>
      </w:r>
      <w:r>
        <w:rPr>
          <w:color w:val="212529"/>
        </w:rPr>
        <w:t xml:space="preserve"> </w:t>
      </w:r>
      <w:r>
        <w:rPr>
          <w:rFonts w:ascii="Arial Narrow;sans-serif" w:hAnsi="Arial Narrow;sans-serif"/>
          <w:b w:val="false"/>
          <w:color w:val="212529"/>
          <w:sz w:val="20"/>
        </w:rPr>
        <w:t xml:space="preserve">in the condensed consolidated statements of operations. For the nine months ended June 30, 2023, the $29.4 million loss includes $32.4 million of our share of their non-cash goodwill impairment charge. </w:t>
      </w:r>
    </w:p>
    <w:p>
      <w:pPr>
        <w:pStyle w:val="TextBody"/>
        <w:bidi w:val="0"/>
        <w:spacing w:lineRule="auto" w:line="288" w:before="140" w:after="283"/>
        <w:jc w:val="left"/>
        <w:rPr>
          <w:rFonts w:ascii="Arial Narrow;sans-serif" w:hAnsi="Arial Narrow;sans-serif"/>
          <w:b w:val="false"/>
          <w:color w:val="212529"/>
          <w:sz w:val="20"/>
        </w:rPr>
      </w:pPr>
      <w:r>
        <w:rPr>
          <w:rFonts w:ascii="Arial Narrow;sans-serif" w:hAnsi="Arial Narrow;sans-serif"/>
          <w:b w:val="false"/>
          <w:color w:val="212529"/>
          <w:sz w:val="20"/>
        </w:rPr>
        <w:t>See Note 6: Fair Value Measurements for the fair value and carrying value of our investment in Cash Converters.</w:t>
      </w:r>
    </w:p>
    <w:p>
      <w:pPr>
        <w:pStyle w:val="TextBody"/>
        <w:bidi w:val="0"/>
        <w:spacing w:lineRule="auto" w:line="288" w:before="180" w:after="283"/>
        <w:jc w:val="left"/>
        <w:rPr>
          <w:rFonts w:ascii="Arial Narrow;sans-serif" w:hAnsi="Arial Narrow;sans-serif"/>
          <w:b/>
          <w:color w:val="212529"/>
          <w:sz w:val="20"/>
        </w:rPr>
      </w:pPr>
      <w:r>
        <w:rPr>
          <w:rFonts w:ascii="Arial Narrow;sans-serif" w:hAnsi="Arial Narrow;sans-serif"/>
          <w:b/>
          <w:color w:val="212529"/>
          <w:sz w:val="20"/>
        </w:rPr>
        <w:t>Founders One, LLC</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October 2021, we invested $15.0 million in exchange for a non-redeemable voting participating preferred equity interest in Founders One, LLC (“Founders”), a then newly-formed entity with one other member. Founders used that $15.0 million to acquire an equity interest in Simple Management Group, Inc. (“SMG”). </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On December 2, 2022, we contributed an additional $15.0 million to Founders associated with our preferred interest, which proceeds were used by Founders to acquire additional common stock in SMG. In addition, we loaned $15.0 million to Founders in exchange for a Demand Promissory Note secured by the common interest in Founders held by the other member.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We have an interest in Founders, a variable interest entity, but because the Company is not the primary beneficiary, we do not consolidate Founders. Further, as we are not the appointed manager, we do not have the ability to direct the activities of the investment entity that most significantly impact its economic performance. Consequently, our equity investment in Founders is accounted for utilizing the measurement alternative within Accounting Standards Codification (“ASC”) 321, Investments — Equity Securities. Our $30.0 million carrying value of the investment and $15.0 million Demand Promissory Note are included in “Other investments” and “Prepaid expenses and other current assets” in our consolidated balance sheets, respectively. Our maximum exposure for losses related to our investment in Founders is our $30.0 million equity investment and $15.0 million Demand Promissory Note plus accrued and unpaid interest.</w:t>
      </w:r>
    </w:p>
    <w:p>
      <w:pPr>
        <w:pStyle w:val="TextBody"/>
        <w:bidi w:val="0"/>
        <w:spacing w:lineRule="auto" w:line="288" w:before="180" w:after="180"/>
        <w:jc w:val="left"/>
        <w:rPr>
          <w:rFonts w:ascii="Arial Narrow;sans-serif" w:hAnsi="Arial Narrow;sans-serif"/>
          <w:b w:val="false"/>
          <w:color w:val="212529"/>
          <w:sz w:val="20"/>
        </w:rPr>
      </w:pPr>
      <w:r>
        <w:rPr>
          <w:rFonts w:ascii="Arial Narrow;sans-serif" w:hAnsi="Arial Narrow;sans-serif"/>
          <w:b w:val="false"/>
          <w:color w:val="212529"/>
          <w:sz w:val="20"/>
        </w:rPr>
        <w:t>See Note 6: Fair Value Measurements for the fair values and carrying values of our investment in and loan to Founders,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6: FAIR VALUE MEASUREMENTS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Level 1 — Quoted market prices in active markets for identical assets or liabilities.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Level 2 — Other observable market-based inputs or unobservable inputs that are corroborated by market data.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Level 3 — Unobservable inputs that are not corroborated by market data.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elected not to measure at fair value any eligible items for which fair value measurement is optional.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were no transfers in or out of Level 1, Level 2 or Level 3 for financial assets or liabilities measured at fair value on a recurring basis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Financial Assets and Liabilities Not Measured at Fair Value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tables below present our estimates of fair value of financial assets and liabilities that were not measured at fair value:</w:t>
      </w:r>
    </w:p>
    <w:tbl>
      <w:tblPr>
        <w:tblW w:w="9466" w:type="dxa"/>
        <w:jc w:val="left"/>
        <w:tblInd w:w="0" w:type="dxa"/>
        <w:tblLayout w:type="fixed"/>
        <w:tblCellMar>
          <w:top w:w="28" w:type="dxa"/>
          <w:left w:w="28" w:type="dxa"/>
          <w:bottom w:w="28" w:type="dxa"/>
          <w:right w:w="28" w:type="dxa"/>
        </w:tblCellMar>
      </w:tblPr>
      <w:tblGrid>
        <w:gridCol w:w="1187"/>
        <w:gridCol w:w="1045"/>
        <w:gridCol w:w="1052"/>
        <w:gridCol w:w="109"/>
        <w:gridCol w:w="109"/>
        <w:gridCol w:w="109"/>
        <w:gridCol w:w="239"/>
        <w:gridCol w:w="756"/>
        <w:gridCol w:w="144"/>
        <w:gridCol w:w="109"/>
        <w:gridCol w:w="109"/>
        <w:gridCol w:w="109"/>
        <w:gridCol w:w="214"/>
        <w:gridCol w:w="677"/>
        <w:gridCol w:w="129"/>
        <w:gridCol w:w="109"/>
        <w:gridCol w:w="109"/>
        <w:gridCol w:w="109"/>
        <w:gridCol w:w="181"/>
        <w:gridCol w:w="406"/>
        <w:gridCol w:w="109"/>
        <w:gridCol w:w="109"/>
        <w:gridCol w:w="109"/>
        <w:gridCol w:w="109"/>
        <w:gridCol w:w="181"/>
        <w:gridCol w:w="571"/>
        <w:gridCol w:w="109"/>
        <w:gridCol w:w="109"/>
        <w:gridCol w:w="109"/>
        <w:gridCol w:w="109"/>
        <w:gridCol w:w="181"/>
        <w:gridCol w:w="496"/>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2.89% promissory note receivable due 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12.00% promissory note receivable from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10,247 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102,433 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94,586 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228,294 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9451" w:type="dxa"/>
        <w:jc w:val="left"/>
        <w:tblInd w:w="0" w:type="dxa"/>
        <w:tblLayout w:type="fixed"/>
        <w:tblCellMar>
          <w:top w:w="28" w:type="dxa"/>
          <w:left w:w="28" w:type="dxa"/>
          <w:bottom w:w="28" w:type="dxa"/>
          <w:right w:w="28" w:type="dxa"/>
        </w:tblCellMar>
      </w:tblPr>
      <w:tblGrid>
        <w:gridCol w:w="1155"/>
        <w:gridCol w:w="1017"/>
        <w:gridCol w:w="1023"/>
        <w:gridCol w:w="109"/>
        <w:gridCol w:w="109"/>
        <w:gridCol w:w="109"/>
        <w:gridCol w:w="220"/>
        <w:gridCol w:w="787"/>
        <w:gridCol w:w="132"/>
        <w:gridCol w:w="109"/>
        <w:gridCol w:w="109"/>
        <w:gridCol w:w="109"/>
        <w:gridCol w:w="197"/>
        <w:gridCol w:w="704"/>
        <w:gridCol w:w="118"/>
        <w:gridCol w:w="109"/>
        <w:gridCol w:w="109"/>
        <w:gridCol w:w="109"/>
        <w:gridCol w:w="181"/>
        <w:gridCol w:w="406"/>
        <w:gridCol w:w="109"/>
        <w:gridCol w:w="109"/>
        <w:gridCol w:w="109"/>
        <w:gridCol w:w="109"/>
        <w:gridCol w:w="181"/>
        <w:gridCol w:w="646"/>
        <w:gridCol w:w="109"/>
        <w:gridCol w:w="109"/>
        <w:gridCol w:w="109"/>
        <w:gridCol w:w="109"/>
        <w:gridCol w:w="181"/>
        <w:gridCol w:w="49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2.89% promissory note receivable due 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47,973 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142,404 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170,117 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144,555 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10171" w:type="dxa"/>
        <w:jc w:val="left"/>
        <w:tblInd w:w="0" w:type="dxa"/>
        <w:tblLayout w:type="fixed"/>
        <w:tblCellMar>
          <w:top w:w="28" w:type="dxa"/>
          <w:left w:w="28" w:type="dxa"/>
          <w:bottom w:w="28" w:type="dxa"/>
          <w:right w:w="28" w:type="dxa"/>
        </w:tblCellMar>
      </w:tblPr>
      <w:tblGrid>
        <w:gridCol w:w="1155"/>
        <w:gridCol w:w="1017"/>
        <w:gridCol w:w="1023"/>
        <w:gridCol w:w="109"/>
        <w:gridCol w:w="109"/>
        <w:gridCol w:w="109"/>
        <w:gridCol w:w="278"/>
        <w:gridCol w:w="995"/>
        <w:gridCol w:w="166"/>
        <w:gridCol w:w="109"/>
        <w:gridCol w:w="109"/>
        <w:gridCol w:w="109"/>
        <w:gridCol w:w="278"/>
        <w:gridCol w:w="994"/>
        <w:gridCol w:w="167"/>
        <w:gridCol w:w="109"/>
        <w:gridCol w:w="109"/>
        <w:gridCol w:w="109"/>
        <w:gridCol w:w="181"/>
        <w:gridCol w:w="406"/>
        <w:gridCol w:w="109"/>
        <w:gridCol w:w="109"/>
        <w:gridCol w:w="109"/>
        <w:gridCol w:w="109"/>
        <w:gridCol w:w="181"/>
        <w:gridCol w:w="646"/>
        <w:gridCol w:w="109"/>
        <w:gridCol w:w="109"/>
        <w:gridCol w:w="109"/>
        <w:gridCol w:w="109"/>
        <w:gridCol w:w="181"/>
        <w:gridCol w:w="49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2.89% promissory note receivable due 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170,328 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147,488 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Due to the short-term nature of cash and cash equivalents, pawn loans and pawn service charges receivable, we estimate that the carrying value approximates fair value. We consider our cash and cash equivalents, including money market accounts, to be measured using Level 1 inputs and our pawn loans, pawn service charges receivable and other debt to be measured using Level 3 inputs. Significant increases or decreases in the underlying assumptions used to value pawn loans, pawn service charges receivable, fees and interest receivable and other debt could significantly increase or decrease these fair value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remeasures its acquisition-related contingent obligation associated with the acquisition in June 2021 of PLO del Bajio S. de R.S. de C.V., which owned stores operating under the name “Cash Apoyo Efectivo,” at the end of each reporting period. This remeasurement resulted in a $2.6 million and $5.1 million reduction of the obligation with an offset recorded to “Other” as an operating item in our condensed consolidated statements of operations during the three and nine months ended June 30, 2023, respectively. There is no remaining obligation in our Consolidated Balance Sheet as of June 30, 2023. The key assumptions used to determine the fair value of acquisition-related contingent consideration are estimated by management, not observable in the market and, therefore, considered Level 3 inputs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March 2019, we received $1.1 million in previously escrowed seller funds as a result of settling certain indemnification claims with the seller of GPMX. In April 2019, we loaned the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The fair value of the note approximated its carrying value as of June 30,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2022, we loaned $15.0 million to Founders in exchange for a Demand Promissory Note secured by the common interest in Founders held by the other member. The note bears interest at the rate of 12.00% per annum, and all principal and accrued interest is due on demand. The fair value of the note approximated its carrying value as of June 30,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pStyle w:val="TextBody"/>
        <w:bidi w:val="0"/>
        <w:spacing w:lineRule="auto" w:line="288" w:before="180" w:after="283"/>
        <w:jc w:val="left"/>
        <w:rPr/>
      </w:pPr>
      <w:r>
        <w:rPr>
          <w:rFonts w:ascii="Arial Narrow;sans-serif" w:hAnsi="Arial Narrow;sans-serif"/>
          <w:b w:val="false"/>
          <w:color w:val="000000"/>
          <w:sz w:val="20"/>
        </w:rPr>
        <w:t xml:space="preserve">The $39.2 million in “Other investments” as of June 30, 2023, includes $30.0 million related to our investment in Founders and $6.2 million related to our investment in </w:t>
      </w:r>
      <w:r>
        <w:rPr>
          <w:rFonts w:ascii="Arial Narrow;sans-serif" w:hAnsi="Arial Narrow;sans-serif"/>
          <w:b w:val="false"/>
          <w:color w:val="000000"/>
          <w:sz w:val="20"/>
          <w:shd w:fill="FFFFFF" w:val="clear"/>
        </w:rPr>
        <w:t>Rich Data Corporation (</w:t>
      </w:r>
      <w:r>
        <w:rPr>
          <w:color w:val="000000"/>
        </w:rPr>
        <w:t>“</w:t>
      </w:r>
      <w:r>
        <w:rPr>
          <w:rFonts w:ascii="Arial Narrow;sans-serif" w:hAnsi="Arial Narrow;sans-serif"/>
          <w:b w:val="false"/>
          <w:color w:val="000000"/>
          <w:sz w:val="20"/>
          <w:shd w:fill="FFFFFF" w:val="clear"/>
        </w:rPr>
        <w:t>RDC</w:t>
      </w:r>
      <w:r>
        <w:rPr>
          <w:color w:val="000000"/>
        </w:rPr>
        <w:t>”</w:t>
      </w:r>
      <w:r>
        <w:rPr>
          <w:rFonts w:ascii="Arial Narrow;sans-serif" w:hAnsi="Arial Narrow;sans-serif"/>
          <w:b w:val="false"/>
          <w:color w:val="000000"/>
          <w:sz w:val="20"/>
          <w:shd w:fill="FFFFFF" w:val="clear"/>
        </w:rPr>
        <w:t>)</w:t>
      </w:r>
      <w:r>
        <w:rPr>
          <w:rFonts w:ascii="Arial Narrow;sans-serif" w:hAnsi="Arial Narrow;sans-serif"/>
          <w:b w:val="false"/>
          <w:color w:val="000000"/>
          <w:sz w:val="20"/>
        </w:rPr>
        <w:t>. We believe the investment’s fair value approximated its carrying value although such fair value is highly variable and includes significant unobservable inputs. The $18.0 million “Other investments” as of June 30, 2022, includes $15.0 million related to our investment in Founders.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determined the fair value of the 2024, 2025 and 2029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7: DEBT</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debt instruments outstanding:</w:t>
      </w:r>
    </w:p>
    <w:tbl>
      <w:tblPr>
        <w:tblW w:w="11461" w:type="dxa"/>
        <w:jc w:val="left"/>
        <w:tblInd w:w="0" w:type="dxa"/>
        <w:tblLayout w:type="fixed"/>
        <w:tblCellMar>
          <w:top w:w="28" w:type="dxa"/>
          <w:left w:w="28" w:type="dxa"/>
          <w:bottom w:w="28" w:type="dxa"/>
          <w:right w:w="28" w:type="dxa"/>
        </w:tblCellMar>
      </w:tblPr>
      <w:tblGrid>
        <w:gridCol w:w="337"/>
        <w:gridCol w:w="244"/>
        <w:gridCol w:w="245"/>
        <w:gridCol w:w="181"/>
        <w:gridCol w:w="646"/>
        <w:gridCol w:w="109"/>
        <w:gridCol w:w="109"/>
        <w:gridCol w:w="109"/>
        <w:gridCol w:w="109"/>
        <w:gridCol w:w="181"/>
        <w:gridCol w:w="496"/>
        <w:gridCol w:w="109"/>
        <w:gridCol w:w="109"/>
        <w:gridCol w:w="109"/>
        <w:gridCol w:w="109"/>
        <w:gridCol w:w="181"/>
        <w:gridCol w:w="646"/>
        <w:gridCol w:w="109"/>
        <w:gridCol w:w="109"/>
        <w:gridCol w:w="109"/>
        <w:gridCol w:w="109"/>
        <w:gridCol w:w="181"/>
        <w:gridCol w:w="646"/>
        <w:gridCol w:w="109"/>
        <w:gridCol w:w="109"/>
        <w:gridCol w:w="109"/>
        <w:gridCol w:w="109"/>
        <w:gridCol w:w="181"/>
        <w:gridCol w:w="496"/>
        <w:gridCol w:w="109"/>
        <w:gridCol w:w="109"/>
        <w:gridCol w:w="109"/>
        <w:gridCol w:w="109"/>
        <w:gridCol w:w="181"/>
        <w:gridCol w:w="646"/>
        <w:gridCol w:w="109"/>
        <w:gridCol w:w="109"/>
        <w:gridCol w:w="109"/>
        <w:gridCol w:w="109"/>
        <w:gridCol w:w="181"/>
        <w:gridCol w:w="646"/>
        <w:gridCol w:w="109"/>
        <w:gridCol w:w="109"/>
        <w:gridCol w:w="109"/>
        <w:gridCol w:w="109"/>
        <w:gridCol w:w="181"/>
        <w:gridCol w:w="496"/>
        <w:gridCol w:w="109"/>
        <w:gridCol w:w="109"/>
        <w:gridCol w:w="109"/>
        <w:gridCol w:w="109"/>
        <w:gridCol w:w="181"/>
        <w:gridCol w:w="64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2022</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367,762 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(8,076)</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359,686 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316,250 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(3,729)</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312,521 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316,250 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312,903 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contractual maturities related to the debt instruments as of June 30, 2023:</w:t>
      </w:r>
    </w:p>
    <w:tbl>
      <w:tblPr>
        <w:tblW w:w="8380" w:type="dxa"/>
        <w:jc w:val="left"/>
        <w:tblInd w:w="0" w:type="dxa"/>
        <w:tblLayout w:type="fixed"/>
        <w:tblCellMar>
          <w:top w:w="28" w:type="dxa"/>
          <w:left w:w="28" w:type="dxa"/>
          <w:bottom w:w="28" w:type="dxa"/>
          <w:right w:w="28" w:type="dxa"/>
        </w:tblCellMar>
      </w:tblPr>
      <w:tblGrid>
        <w:gridCol w:w="499"/>
        <w:gridCol w:w="439"/>
        <w:gridCol w:w="441"/>
        <w:gridCol w:w="325"/>
        <w:gridCol w:w="1160"/>
        <w:gridCol w:w="195"/>
        <w:gridCol w:w="109"/>
        <w:gridCol w:w="109"/>
        <w:gridCol w:w="109"/>
        <w:gridCol w:w="325"/>
        <w:gridCol w:w="1160"/>
        <w:gridCol w:w="195"/>
        <w:gridCol w:w="109"/>
        <w:gridCol w:w="109"/>
        <w:gridCol w:w="109"/>
        <w:gridCol w:w="352"/>
        <w:gridCol w:w="1113"/>
        <w:gridCol w:w="214"/>
        <w:gridCol w:w="109"/>
        <w:gridCol w:w="109"/>
        <w:gridCol w:w="109"/>
        <w:gridCol w:w="181"/>
        <w:gridCol w:w="64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 of Contractual Maturities</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2029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Total </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2023</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2024</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2025</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32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9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1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21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367,762 </w:t>
            </w:r>
          </w:p>
        </w:tc>
        <w:tc>
          <w:tcPr>
            <w:tcW w:w="15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2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interest expense related to the Convertible Notes for the three and nine months ended June 30, 2023 and 2022:</w:t>
      </w:r>
    </w:p>
    <w:tbl>
      <w:tblPr>
        <w:tblW w:w="6870" w:type="dxa"/>
        <w:jc w:val="left"/>
        <w:tblInd w:w="0" w:type="dxa"/>
        <w:tblLayout w:type="fixed"/>
        <w:tblCellMar>
          <w:top w:w="28" w:type="dxa"/>
          <w:left w:w="28" w:type="dxa"/>
          <w:bottom w:w="28" w:type="dxa"/>
          <w:right w:w="28" w:type="dxa"/>
        </w:tblCellMar>
      </w:tblPr>
      <w:tblGrid>
        <w:gridCol w:w="949"/>
        <w:gridCol w:w="837"/>
        <w:gridCol w:w="839"/>
        <w:gridCol w:w="181"/>
        <w:gridCol w:w="496"/>
        <w:gridCol w:w="109"/>
        <w:gridCol w:w="109"/>
        <w:gridCol w:w="109"/>
        <w:gridCol w:w="109"/>
        <w:gridCol w:w="181"/>
        <w:gridCol w:w="496"/>
        <w:gridCol w:w="109"/>
        <w:gridCol w:w="109"/>
        <w:gridCol w:w="109"/>
        <w:gridCol w:w="109"/>
        <w:gridCol w:w="181"/>
        <w:gridCol w:w="571"/>
        <w:gridCol w:w="109"/>
        <w:gridCol w:w="109"/>
        <w:gridCol w:w="109"/>
        <w:gridCol w:w="109"/>
        <w:gridCol w:w="181"/>
        <w:gridCol w:w="49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extinguishment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extinguishment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1,189 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10,523 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3,564 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80" w:after="283"/>
        <w:jc w:val="left"/>
        <w:rPr>
          <w:rFonts w:ascii="Arial Narrow;sans-serif" w:hAnsi="Arial Narrow;sans-serif"/>
          <w:b/>
          <w:color w:val="252525"/>
          <w:sz w:val="20"/>
        </w:rPr>
      </w:pPr>
      <w:r>
        <w:rPr>
          <w:rFonts w:ascii="Arial Narrow;sans-serif" w:hAnsi="Arial Narrow;sans-serif"/>
          <w:b/>
          <w:color w:val="252525"/>
          <w:sz w:val="20"/>
        </w:rPr>
        <w:t>3.750% Convertible Senior Notes Due 2029</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December 2022, we issued $230.0 million aggregate principal amount of 3.750% Convertible Senior Notes Due 2029 (the “2029 Convertible Notes”), for which $230.0 million remains outstanding as of June 30, 2023. The 2029 Convertible Notes were issued pursuant to an indenture dated December 12, 2022 (the “2022 Indenture”) by and between the Company and Truist Bank, as trustee. The 2029 Convertible Notes were issued in a private offering under Rule 144A under the Securities Act of 1933. The 2029 Convertible Notes pay interest semi-annually in arrears at a rate of 3.750% per annum on June 15 and December 15 of each year, commencing June 15, 2023, and mature on December 15, 2029 (the “2029 Maturity Date”), unless converted, redeemed or repurchased in accordance with the terms prior to such date. At maturity, the holders of the 2029 Convertible Notes will be entitled to receive cash equal to the principal of the 2029 Convertible Notes plus accrued interest.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effective interest rate for the three and nine months ended June 30, 2023 was approximately 4.28%. As of June 30, 2023, the remaining unamortized debt issuance costs will be amortized using the effective interest method through the 2029 Maturity Date assuming no early conversion.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2029 Convertible Notes are convertible based on an initial conversion rate of 89.0313 shares of Class A Common Stock per $1,000 principal amount (equivalent to an initial conversion price of $11.23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not redeem the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2029 Convertible Notes to be redeemed, plus accrued and unpaid interest to, but excluding, the redemption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stock trading price condition and other triggers are measured on a quarter-by-quarter basis and were not met as of June 30, 2023. As of June 30, 2023, the if-converted value of the 2029 Convertible Notes did not exceed the principal amount.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Note Repurchases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2022, the Company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recognized a $3.5 million loss on extinguishment of debt recorded to “Interest expense” in the Company’s condensed consolidated statement of operations.</w:t>
      </w:r>
    </w:p>
    <w:p>
      <w:pPr>
        <w:pStyle w:val="TextBody"/>
        <w:bidi w:val="0"/>
        <w:spacing w:lineRule="auto" w:line="288" w:before="180" w:after="283"/>
        <w:jc w:val="left"/>
        <w:rPr>
          <w:rFonts w:ascii="Arial Narrow;sans-serif" w:hAnsi="Arial Narrow;sans-serif"/>
          <w:b/>
          <w:color w:val="252525"/>
          <w:sz w:val="20"/>
        </w:rPr>
      </w:pPr>
      <w:r>
        <w:rPr>
          <w:rFonts w:ascii="Arial Narrow;sans-serif" w:hAnsi="Arial Narrow;sans-serif"/>
          <w:b/>
          <w:color w:val="252525"/>
          <w:sz w:val="20"/>
        </w:rPr>
        <w:t>2.375% 2025 Convertible Senior Notes Due 2025</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May 2018, we issued $172.5 million aggregate principal amount of 2.375% Convertible Senior Notes Due 2025 (the “2025 Convertible Notes”), for which $103.4 million remains outstanding as of June 30, 2023.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 </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effective interest rate for the three and nine months ended June 30, 2023 was approximately 2.88% for the 2025 Convertible Notes. As of June 30, 2023, the remaining unamortized debt issuance costs will be amortized using the effective interest method through the 2025 Maturity Date assuming no early conversion. </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 </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not redeem the 2025 Convertible Notes prior to May 1, 2022. 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stock trading price condition and other triggers are measured on a quarter-by-quarter basis and were not met as of June 30, 2023. As of June 30, 2023, the if-converted value of the 2025 Convertible Notes did not exceed the principal amount.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76" w:before="0" w:after="0"/>
        <w:jc w:val="left"/>
        <w:rPr>
          <w:rFonts w:ascii="Arial Narrow;sans-serif" w:hAnsi="Arial Narrow;sans-serif"/>
          <w:b/>
          <w:color w:val="252525"/>
          <w:sz w:val="20"/>
        </w:rPr>
      </w:pPr>
      <w:r>
        <w:rPr>
          <w:rFonts w:ascii="Arial Narrow;sans-serif" w:hAnsi="Arial Narrow;sans-serif"/>
          <w:b/>
          <w:color w:val="252525"/>
          <w:sz w:val="20"/>
        </w:rPr>
        <w:t>2.875% Convertible Senior Notes Due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July 2017, we issued $143.75 million aggregate principal amount of 2.875% Convertible Senior Notes Due 2024 (the “2024 Convertible Notes”), for which $34.4 million remains outstanding as of June 30, 2023.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effective interest rate for the three and nine months ended June 30, 2023 was approximately 3.35%. As of June 30, 2023, the remaining unamortized debt issuance costs will be amortized using the effective interest method through the 2024 Maturity Date assuming no early conversion.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2024 Convertible Notes are convertible based on an initial conversion rate of 100 shares of Class A Common Stock per $1,000 principal amount (equivalent to an initial conversion price of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2024 Convertible Notes to be redeemed, plus accrued and unpaid interest to, but excluding, the redemption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stock trading price condition and other triggers are measured on a quarter-by-quarter basis and were not met as of June 30, 2023. As of June 30, 2023, the if-converted value of the 2024 Convertible Notes did not exceed the principal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8: COMMON STOCK AND STOCK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Common Stock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May 3, 2022, the Company’s Board of Directors (the “Board”) authorized the repurchase of up to $50 million of our Class A Common Stock over three years (the “Common Stock Repurchase Program”). Execution of the program will be responsive to fluctuating market conditions and valuations, liquidity needs and the expected return on investment compared to other opportunities.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As of June 30, 2023, the Company has repurchased and retired 1,275,646 shares of our Class A Common Stock for $11.0 million under the Common Stock Repurchase Program, of which $3.0 million was repurchased during the quarter ended June 30, 2023. The repurchase amount is allocated between “Additional paid-in capital” and “Retained earnings” in our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Other Common Stock Repurchases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December 2022, the Company used approximately $5.0 million of the net proceeds from the 2029 Convertible Notes offering to repurchase for cash 578,703 shares of its Class A common stock from purchasers of the notes in privately negotiated transactions. Such transactions were authorized separately from, and not considered a part of, the publicly announced share repurchase program discussed above. The repurchase amount is allocated between “Additional paid-in capital” and “Retained earnings” in our condensed consolidated balance sheets.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Stock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stock compensation activity:</w:t>
      </w:r>
    </w:p>
    <w:tbl>
      <w:tblPr>
        <w:tblW w:w="5158" w:type="dxa"/>
        <w:jc w:val="left"/>
        <w:tblInd w:w="0" w:type="dxa"/>
        <w:tblLayout w:type="fixed"/>
        <w:tblCellMar>
          <w:top w:w="28" w:type="dxa"/>
          <w:left w:w="28" w:type="dxa"/>
          <w:bottom w:w="28" w:type="dxa"/>
          <w:right w:w="28" w:type="dxa"/>
        </w:tblCellMar>
      </w:tblPr>
      <w:tblGrid>
        <w:gridCol w:w="1042"/>
        <w:gridCol w:w="918"/>
        <w:gridCol w:w="920"/>
        <w:gridCol w:w="435"/>
        <w:gridCol w:w="436"/>
        <w:gridCol w:w="196"/>
        <w:gridCol w:w="109"/>
        <w:gridCol w:w="109"/>
        <w:gridCol w:w="109"/>
        <w:gridCol w:w="212"/>
        <w:gridCol w:w="505"/>
        <w:gridCol w:w="167"/>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Weighted</w:t>
              <w:br/>
              <w:t>Average</w:t>
              <w:br/>
              <w:t>Grant Date</w:t>
              <w:br/>
              <w:t>Fair Value</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as of September 30, 2022</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2,113,323 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Granted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1,008,180 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Released </w:t>
            </w:r>
            <w:r>
              <w:rPr>
                <w:rFonts w:ascii="Arial Narrow;sans-serif" w:hAnsi="Arial Narrow;sans-serif"/>
                <w:b w:val="false"/>
                <w:color w:val="000000"/>
                <w:sz w:val="13"/>
              </w:rPr>
              <w:t>(a)</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(480,238)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Cancelled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Outstanding as of June 30, 2023</w:t>
            </w:r>
          </w:p>
        </w:tc>
        <w:tc>
          <w:tcPr>
            <w:tcW w:w="871"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2,563,236 </w:t>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0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6.81 </w:t>
            </w:r>
          </w:p>
        </w:tc>
        <w:tc>
          <w:tcPr>
            <w:tcW w:w="16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(a) 114,311 shares were withheld to satisfy related income tax withholding.</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9: CONTINGENCIES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Currently, and from time to time, we are involved in various claims, disputes, lawsuits, investigations, and legal and regulatory proceedings, including the matter described below.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pStyle w:val="TextBody"/>
        <w:bidi w:val="0"/>
        <w:spacing w:lineRule="auto" w:line="288" w:before="180" w:after="283"/>
        <w:jc w:val="left"/>
        <w:rPr/>
      </w:pPr>
      <w:r>
        <w:rPr>
          <w:rFonts w:ascii="Arial Narrow;sans-serif" w:hAnsi="Arial Narrow;sans-serif"/>
          <w:b w:val="false"/>
          <w:color w:val="000000"/>
          <w:sz w:val="20"/>
        </w:rPr>
        <w:t xml:space="preserve">On October 14, 2021, Andrew Kowlessar filed an action in the Circuit Court of the 17th Judicial Circuit in and for Broward County, Florida styled </w:t>
      </w:r>
      <w:r>
        <w:rPr>
          <w:rFonts w:ascii="Arial Narrow;sans-serif" w:hAnsi="Arial Narrow;sans-serif"/>
          <w:b w:val="false"/>
          <w:i/>
          <w:color w:val="000000"/>
          <w:sz w:val="20"/>
        </w:rPr>
        <w:t>Andrew Kowlessar, individually and on behalf of all others similarly situated vs. EZCORP, Inc. d/b/a Value Pawn &amp; Jewelry</w:t>
      </w:r>
      <w:r>
        <w:rPr>
          <w:rFonts w:ascii="Arial Narrow;sans-serif" w:hAnsi="Arial Narrow;sans-serif"/>
          <w:b w:val="false"/>
          <w:color w:val="000000"/>
          <w:sz w:val="20"/>
        </w:rPr>
        <w:t xml:space="preserve">. The matter subsequently was amended and removed to the United States District Court of the Southern District of Florida as </w:t>
      </w:r>
      <w:r>
        <w:rPr>
          <w:rFonts w:ascii="Arial Narrow;sans-serif" w:hAnsi="Arial Narrow;sans-serif"/>
          <w:b w:val="false"/>
          <w:i/>
          <w:color w:val="000000"/>
          <w:sz w:val="20"/>
        </w:rPr>
        <w:t>Andrew Kowlessar, individually and on behalf of all others similarly situated vs. EZPAWN Florida, Inc. d/b/a Value Pawn &amp; Jewelry</w:t>
      </w:r>
      <w:r>
        <w:rPr>
          <w:rFonts w:ascii="Arial Narrow;sans-serif" w:hAnsi="Arial Narrow;sans-serif"/>
          <w:b w:val="false"/>
          <w:color w:val="000000"/>
          <w:sz w:val="20"/>
        </w:rPr>
        <w:t xml:space="preserve">. In May 2022, the federal court action was dismissed and the case was refiled in the Circuit Court of the Eleventh Judicial Circuit in and for Miami-Dade County, Florida. The complaint, brought under Section 501.059, Florida Statutes, the Florida Telephone Solicitation Act (“Act”), alleges certain text messages were sent in violation of the Act. On June 16, 2022, the parties agreed to a settlement of all asserted claims and entered into a Settlement Agreement and Release, which was approved by the court on October 24, 2022. The Company recorded a $2.0 million charge during the quarter ended June 30, 2022, the final payment of which was made on April 21, 2023 to the third party claims administrator for disbursement in final satisfaction of claims and related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ind w:left="0" w:right="0" w:firstLine="720"/>
        <w:jc w:val="left"/>
        <w:rPr>
          <w:rFonts w:ascii="Arial Narrow;sans-serif" w:hAnsi="Arial Narrow;sans-serif"/>
          <w:b/>
          <w:color w:val="00497F"/>
          <w:sz w:val="28"/>
        </w:rPr>
      </w:pPr>
      <w:r>
        <w:rPr>
          <w:rFonts w:ascii="Arial Narrow;sans-serif" w:hAnsi="Arial Narrow;sans-serif"/>
          <w:b/>
          <w:color w:val="00497F"/>
          <w:sz w:val="28"/>
        </w:rPr>
        <w:t>NOTE 10: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operations are primarily managed on a geographical basis and are comprised of three reportable segments. The factors for determining our reportable segments include the manner in which our chief operating decision maker evaluates performance for purposes of allocating resources and assessing performance.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currently report our segments as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 Pawn — all pawn activities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Latin America Pawn — all pawn activities in Mexico and other parts of Latin America;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Other Investments — primarily our equity interest in the net income (loss) of Cash Converters along with our investment in Founders and RDC.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are no inter-segment revenues presented below, and the amounts below were determined in accordance with the same accounting principles used in our condensed consolidated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present revenue for each reportable segment, disaggregated revenue within our three reportable segments and Corporate, segment profits and segment contribution.</w:t>
      </w:r>
    </w:p>
    <w:tbl>
      <w:tblPr>
        <w:tblW w:w="10205" w:type="dxa"/>
        <w:jc w:val="left"/>
        <w:tblInd w:w="0" w:type="dxa"/>
        <w:tblLayout w:type="fixed"/>
        <w:tblCellMar>
          <w:top w:w="28" w:type="dxa"/>
          <w:left w:w="28" w:type="dxa"/>
          <w:bottom w:w="28" w:type="dxa"/>
          <w:right w:w="28" w:type="dxa"/>
        </w:tblCellMar>
      </w:tblPr>
      <w:tblGrid>
        <w:gridCol w:w="823"/>
        <w:gridCol w:w="660"/>
        <w:gridCol w:w="632"/>
        <w:gridCol w:w="181"/>
        <w:gridCol w:w="646"/>
        <w:gridCol w:w="109"/>
        <w:gridCol w:w="109"/>
        <w:gridCol w:w="109"/>
        <w:gridCol w:w="109"/>
        <w:gridCol w:w="250"/>
        <w:gridCol w:w="789"/>
        <w:gridCol w:w="150"/>
        <w:gridCol w:w="109"/>
        <w:gridCol w:w="109"/>
        <w:gridCol w:w="109"/>
        <w:gridCol w:w="264"/>
        <w:gridCol w:w="728"/>
        <w:gridCol w:w="160"/>
        <w:gridCol w:w="109"/>
        <w:gridCol w:w="109"/>
        <w:gridCol w:w="109"/>
        <w:gridCol w:w="205"/>
        <w:gridCol w:w="734"/>
        <w:gridCol w:w="123"/>
        <w:gridCol w:w="109"/>
        <w:gridCol w:w="109"/>
        <w:gridCol w:w="109"/>
        <w:gridCol w:w="212"/>
        <w:gridCol w:w="702"/>
        <w:gridCol w:w="128"/>
        <w:gridCol w:w="109"/>
        <w:gridCol w:w="109"/>
        <w:gridCol w:w="109"/>
        <w:gridCol w:w="196"/>
        <w:gridCol w:w="701"/>
        <w:gridCol w:w="177"/>
      </w:tblGrid>
      <w:tr>
        <w:trPr/>
        <w:tc>
          <w:tcPr>
            <w:tcW w:w="82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0"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2023</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45,803 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147,980 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147,980 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184,092 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71,705 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255,812 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255,812 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95,069 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95,069 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110,192 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38,578 </w:t>
            </w:r>
          </w:p>
        </w:tc>
        <w:tc>
          <w:tcPr>
            <w:tcW w:w="1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148,785 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148,785 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or disposal of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9,714 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43,541 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43,541 </w:t>
            </w:r>
          </w:p>
        </w:tc>
        <w:tc>
          <w:tcPr>
            <w:tcW w:w="12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(22,231)</w:t>
            </w:r>
          </w:p>
        </w:tc>
        <w:tc>
          <w:tcPr>
            <w:tcW w:w="12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21,310 </w:t>
            </w:r>
          </w:p>
        </w:tc>
        <w:tc>
          <w:tcPr>
            <w:tcW w:w="17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36"/>
        <w:gridCol w:w="674"/>
        <w:gridCol w:w="647"/>
        <w:gridCol w:w="181"/>
        <w:gridCol w:w="571"/>
        <w:gridCol w:w="109"/>
        <w:gridCol w:w="109"/>
        <w:gridCol w:w="109"/>
        <w:gridCol w:w="109"/>
        <w:gridCol w:w="252"/>
        <w:gridCol w:w="797"/>
        <w:gridCol w:w="152"/>
        <w:gridCol w:w="109"/>
        <w:gridCol w:w="109"/>
        <w:gridCol w:w="109"/>
        <w:gridCol w:w="266"/>
        <w:gridCol w:w="733"/>
        <w:gridCol w:w="162"/>
        <w:gridCol w:w="109"/>
        <w:gridCol w:w="109"/>
        <w:gridCol w:w="109"/>
        <w:gridCol w:w="206"/>
        <w:gridCol w:w="738"/>
        <w:gridCol w:w="124"/>
        <w:gridCol w:w="109"/>
        <w:gridCol w:w="109"/>
        <w:gridCol w:w="109"/>
        <w:gridCol w:w="213"/>
        <w:gridCol w:w="707"/>
        <w:gridCol w:w="128"/>
        <w:gridCol w:w="109"/>
        <w:gridCol w:w="109"/>
        <w:gridCol w:w="109"/>
        <w:gridCol w:w="196"/>
        <w:gridCol w:w="701"/>
        <w:gridCol w:w="177"/>
      </w:tblGrid>
      <w:tr>
        <w:trPr/>
        <w:tc>
          <w:tcPr>
            <w:tcW w:w="83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2022</w:t>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34,329 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20,969 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158,752 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57,069 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215,842 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215,842 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24,282 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31,126 </w:t>
            </w:r>
          </w:p>
        </w:tc>
        <w:tc>
          <w:tcPr>
            <w:tcW w:w="1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129,508 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129,508 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23,394 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89,430 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89,430 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6,097 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1,760 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37,611 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861"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37,611 </w:t>
            </w:r>
          </w:p>
        </w:tc>
        <w:tc>
          <w:tcPr>
            <w:tcW w:w="12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(24,529)</w:t>
            </w:r>
          </w:p>
        </w:tc>
        <w:tc>
          <w:tcPr>
            <w:tcW w:w="12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13,082 </w:t>
            </w:r>
          </w:p>
        </w:tc>
        <w:tc>
          <w:tcPr>
            <w:tcW w:w="17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797"/>
        <w:gridCol w:w="639"/>
        <w:gridCol w:w="613"/>
        <w:gridCol w:w="181"/>
        <w:gridCol w:w="646"/>
        <w:gridCol w:w="109"/>
        <w:gridCol w:w="109"/>
        <w:gridCol w:w="109"/>
        <w:gridCol w:w="109"/>
        <w:gridCol w:w="239"/>
        <w:gridCol w:w="853"/>
        <w:gridCol w:w="143"/>
        <w:gridCol w:w="109"/>
        <w:gridCol w:w="109"/>
        <w:gridCol w:w="109"/>
        <w:gridCol w:w="243"/>
        <w:gridCol w:w="770"/>
        <w:gridCol w:w="148"/>
        <w:gridCol w:w="109"/>
        <w:gridCol w:w="109"/>
        <w:gridCol w:w="109"/>
        <w:gridCol w:w="206"/>
        <w:gridCol w:w="737"/>
        <w:gridCol w:w="124"/>
        <w:gridCol w:w="109"/>
        <w:gridCol w:w="109"/>
        <w:gridCol w:w="109"/>
        <w:gridCol w:w="213"/>
        <w:gridCol w:w="707"/>
        <w:gridCol w:w="128"/>
        <w:gridCol w:w="109"/>
        <w:gridCol w:w="109"/>
        <w:gridCol w:w="109"/>
        <w:gridCol w:w="196"/>
        <w:gridCol w:w="701"/>
        <w:gridCol w:w="177"/>
      </w:tblGrid>
      <w:tr>
        <w:trPr/>
        <w:tc>
          <w:tcPr>
            <w:tcW w:w="79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2023</w:t>
            </w:r>
          </w:p>
        </w:tc>
      </w:tr>
      <w:tr>
        <w:trPr/>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135,043 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464,274 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464,274 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71,397 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279,442 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279,442 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567,448 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211,067 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778,562 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778,562 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93,587 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297,285 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297,285 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337,883 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112,534 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450,464 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450,464 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86,365 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307,004 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307,004 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 (loss)</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109,342 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25,239 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(29,367)</w:t>
            </w:r>
          </w:p>
        </w:tc>
        <w:tc>
          <w:tcPr>
            <w:tcW w:w="1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105,214 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9"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7"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105,214 </w:t>
            </w:r>
          </w:p>
        </w:tc>
        <w:tc>
          <w:tcPr>
            <w:tcW w:w="124" w:type="dxa"/>
            <w:tcBorders>
              <w:bottom w:val="single" w:sz="1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(66,706)</w:t>
            </w:r>
          </w:p>
        </w:tc>
        <w:tc>
          <w:tcPr>
            <w:tcW w:w="128" w:type="dxa"/>
            <w:tcBorders>
              <w:bottom w:val="single" w:sz="1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38,508 </w:t>
            </w:r>
          </w:p>
        </w:tc>
        <w:tc>
          <w:tcPr>
            <w:tcW w:w="177" w:type="dxa"/>
            <w:tcBorders>
              <w:bottom w:val="single" w:sz="1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16"/>
        <w:gridCol w:w="653"/>
        <w:gridCol w:w="625"/>
        <w:gridCol w:w="181"/>
        <w:gridCol w:w="646"/>
        <w:gridCol w:w="109"/>
        <w:gridCol w:w="109"/>
        <w:gridCol w:w="109"/>
        <w:gridCol w:w="109"/>
        <w:gridCol w:w="236"/>
        <w:gridCol w:w="842"/>
        <w:gridCol w:w="141"/>
        <w:gridCol w:w="109"/>
        <w:gridCol w:w="109"/>
        <w:gridCol w:w="109"/>
        <w:gridCol w:w="264"/>
        <w:gridCol w:w="725"/>
        <w:gridCol w:w="160"/>
        <w:gridCol w:w="109"/>
        <w:gridCol w:w="109"/>
        <w:gridCol w:w="109"/>
        <w:gridCol w:w="205"/>
        <w:gridCol w:w="732"/>
        <w:gridCol w:w="123"/>
        <w:gridCol w:w="109"/>
        <w:gridCol w:w="109"/>
        <w:gridCol w:w="109"/>
        <w:gridCol w:w="211"/>
        <w:gridCol w:w="699"/>
        <w:gridCol w:w="127"/>
        <w:gridCol w:w="109"/>
        <w:gridCol w:w="109"/>
        <w:gridCol w:w="109"/>
        <w:gridCol w:w="196"/>
        <w:gridCol w:w="701"/>
        <w:gridCol w:w="178"/>
      </w:tblGrid>
      <w:tr>
        <w:trPr/>
        <w:tc>
          <w:tcPr>
            <w:tcW w:w="8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1"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2022</w:t>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103,463 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399,610 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399,610 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232,999 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167,996 </w:t>
            </w:r>
          </w:p>
        </w:tc>
        <w:tc>
          <w:tcPr>
            <w:tcW w:w="1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652,818 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652,818 </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245,524 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89,334 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390,547 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390,547 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66,727 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261,944 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261,944 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46,487 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expense (income)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98,037 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17,342 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1,535 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116,914 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116,914 </w:t>
            </w:r>
          </w:p>
        </w:tc>
        <w:tc>
          <w:tcPr>
            <w:tcW w:w="12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(62,362)</w:t>
            </w:r>
          </w:p>
        </w:tc>
        <w:tc>
          <w:tcPr>
            <w:tcW w:w="12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54,552 </w:t>
            </w:r>
          </w:p>
        </w:tc>
        <w:tc>
          <w:tcPr>
            <w:tcW w:w="17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separately identified net earning assets by segment:</w:t>
      </w:r>
    </w:p>
    <w:tbl>
      <w:tblPr>
        <w:tblW w:w="8264" w:type="dxa"/>
        <w:jc w:val="left"/>
        <w:tblInd w:w="0" w:type="dxa"/>
        <w:tblLayout w:type="fixed"/>
        <w:tblCellMar>
          <w:top w:w="28" w:type="dxa"/>
          <w:left w:w="28" w:type="dxa"/>
          <w:bottom w:w="28" w:type="dxa"/>
          <w:right w:w="28" w:type="dxa"/>
        </w:tblCellMar>
      </w:tblPr>
      <w:tblGrid>
        <w:gridCol w:w="504"/>
        <w:gridCol w:w="444"/>
        <w:gridCol w:w="446"/>
        <w:gridCol w:w="181"/>
        <w:gridCol w:w="646"/>
        <w:gridCol w:w="109"/>
        <w:gridCol w:w="109"/>
        <w:gridCol w:w="109"/>
        <w:gridCol w:w="109"/>
        <w:gridCol w:w="315"/>
        <w:gridCol w:w="995"/>
        <w:gridCol w:w="190"/>
        <w:gridCol w:w="109"/>
        <w:gridCol w:w="109"/>
        <w:gridCol w:w="109"/>
        <w:gridCol w:w="242"/>
        <w:gridCol w:w="543"/>
        <w:gridCol w:w="146"/>
        <w:gridCol w:w="109"/>
        <w:gridCol w:w="109"/>
        <w:gridCol w:w="109"/>
        <w:gridCol w:w="316"/>
        <w:gridCol w:w="708"/>
        <w:gridCol w:w="190"/>
        <w:gridCol w:w="109"/>
        <w:gridCol w:w="109"/>
        <w:gridCol w:w="109"/>
        <w:gridCol w:w="181"/>
        <w:gridCol w:w="64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40,034 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2022</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44,475 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30,882 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11: SUPPLEMENTAL CONSOLIDATED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information on net amounts included in our condensed consolidated balance sheets:</w:t>
      </w:r>
    </w:p>
    <w:tbl>
      <w:tblPr>
        <w:tblW w:w="8332" w:type="dxa"/>
        <w:jc w:val="left"/>
        <w:tblInd w:w="0" w:type="dxa"/>
        <w:tblLayout w:type="fixed"/>
        <w:tblCellMar>
          <w:top w:w="28" w:type="dxa"/>
          <w:left w:w="28" w:type="dxa"/>
          <w:bottom w:w="28" w:type="dxa"/>
          <w:right w:w="28" w:type="dxa"/>
        </w:tblCellMar>
      </w:tblPr>
      <w:tblGrid>
        <w:gridCol w:w="1502"/>
        <w:gridCol w:w="1325"/>
        <w:gridCol w:w="1328"/>
        <w:gridCol w:w="197"/>
        <w:gridCol w:w="704"/>
        <w:gridCol w:w="118"/>
        <w:gridCol w:w="109"/>
        <w:gridCol w:w="109"/>
        <w:gridCol w:w="109"/>
        <w:gridCol w:w="197"/>
        <w:gridCol w:w="704"/>
        <w:gridCol w:w="118"/>
        <w:gridCol w:w="109"/>
        <w:gridCol w:w="109"/>
        <w:gridCol w:w="109"/>
        <w:gridCol w:w="274"/>
        <w:gridCol w:w="978"/>
        <w:gridCol w:w="233"/>
      </w:tblGrid>
      <w:tr>
        <w:trPr/>
        <w:tc>
          <w:tcPr>
            <w:tcW w:w="150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2022</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pawn service charges receivable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47,071 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44,192 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(10,277)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34,959 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32,000 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33,476 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inventory</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157,590 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136,475 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153,673 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reserves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154,944 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132,713 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151,615 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 notes receivable and other</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 prepaid and receivable</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17,923 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44,925 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29,822 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34,694 </w:t>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gross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335,296 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298,502 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306,667 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depreciation</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(273,447)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(246,997)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(249,942)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61,849 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51,505 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56,725 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24,056 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Incentive accrual</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17,403 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payroll related expenses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9,592 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sales and VAT taxes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income taxes payable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liabilities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15,151 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19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74,458 </w:t>
            </w:r>
          </w:p>
        </w:tc>
        <w:tc>
          <w:tcPr>
            <w:tcW w:w="11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76,566 </w:t>
            </w:r>
          </w:p>
        </w:tc>
        <w:tc>
          <w:tcPr>
            <w:tcW w:w="11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84,509 </w:t>
            </w:r>
          </w:p>
        </w:tc>
        <w:tc>
          <w:tcPr>
            <w:tcW w:w="23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color w:val="000000"/>
        </w:rPr>
      </w:pPr>
      <w:r>
        <w:rPr>
          <w:color w:val="000000"/>
        </w:rPr>
        <w:t>            </w:t>
      </w:r>
    </w:p>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disclosure of Consolidated Statements of Cash Flows information:</w:t>
      </w:r>
    </w:p>
    <w:tbl>
      <w:tblPr>
        <w:tblW w:w="5633" w:type="dxa"/>
        <w:jc w:val="left"/>
        <w:tblInd w:w="0" w:type="dxa"/>
        <w:tblLayout w:type="fixed"/>
        <w:tblCellMar>
          <w:top w:w="28" w:type="dxa"/>
          <w:left w:w="28" w:type="dxa"/>
          <w:bottom w:w="28" w:type="dxa"/>
          <w:right w:w="28" w:type="dxa"/>
        </w:tblCellMar>
      </w:tblPr>
      <w:tblGrid>
        <w:gridCol w:w="1226"/>
        <w:gridCol w:w="1080"/>
        <w:gridCol w:w="1083"/>
        <w:gridCol w:w="181"/>
        <w:gridCol w:w="646"/>
        <w:gridCol w:w="109"/>
        <w:gridCol w:w="109"/>
        <w:gridCol w:w="109"/>
        <w:gridCol w:w="109"/>
        <w:gridCol w:w="181"/>
        <w:gridCol w:w="64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Supplemental disclosure of cash flow information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230,956 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 forfeited and transferred to inventory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consideration for other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equity consideration for acquisition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 earn-out contingency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acquisition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MANAGEMENT’S DISCUSSION AND ANALYSIS OF FINANCIAL CONDITION AND RESULTS OF OPERATIONS</w:t>
      </w:r>
    </w:p>
    <w:p>
      <w:pPr>
        <w:pStyle w:val="TextBody"/>
        <w:bidi w:val="0"/>
        <w:spacing w:lineRule="auto" w:line="288" w:before="180" w:after="283"/>
        <w:jc w:val="left"/>
        <w:rPr/>
      </w:pPr>
      <w:r>
        <w:rPr>
          <w:rFonts w:ascii="Arial Narrow;sans-serif" w:hAnsi="Arial Narrow;sans-serif"/>
          <w:b w:val="false"/>
          <w:color w:val="000000"/>
          <w:sz w:val="20"/>
        </w:rPr>
        <w:t>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those anticipated in these forward-looking statements. See “</w:t>
      </w:r>
      <w:hyperlink r:id="rId3">
        <w:r>
          <w:rPr>
            <w:rStyle w:val="InternetLink"/>
            <w:rFonts w:ascii="Arial Narrow;sans-serif" w:hAnsi="Arial Narrow;sans-serif"/>
            <w:b w:val="false"/>
            <w:strike w:val="false"/>
            <w:dstrike w:val="false"/>
            <w:color w:val="000000"/>
            <w:sz w:val="20"/>
            <w:u w:val="none"/>
            <w:effect w:val="none"/>
          </w:rPr>
          <w:t>Part I, Item 1A — Risk Factors</w:t>
        </w:r>
      </w:hyperlink>
      <w:r>
        <w:rPr>
          <w:rFonts w:ascii="Arial Narrow;sans-serif" w:hAnsi="Arial Narrow;sans-serif"/>
          <w:b w:val="false"/>
          <w:color w:val="000000"/>
          <w:sz w:val="20"/>
        </w:rPr>
        <w:t>”</w:t>
      </w:r>
      <w:hyperlink r:id="rId4">
        <w:r>
          <w:rPr>
            <w:rStyle w:val="InternetLink"/>
            <w:rFonts w:ascii="Arial Narrow;sans-serif" w:hAnsi="Arial Narrow;sans-serif"/>
            <w:b w:val="false"/>
            <w:strike w:val="false"/>
            <w:dstrike w:val="false"/>
            <w:color w:val="000000"/>
            <w:sz w:val="20"/>
            <w:u w:val="none"/>
            <w:effect w:val="none"/>
          </w:rPr>
          <w:t xml:space="preserve"> of our Annual Report on Form 10-K for the year ended September 30, </w:t>
        </w:r>
      </w:hyperlink>
      <w:r>
        <w:rPr>
          <w:rFonts w:ascii="Arial Narrow;sans-serif" w:hAnsi="Arial Narrow;sans-serif"/>
          <w:b w:val="false"/>
          <w:color w:val="000000"/>
          <w:sz w:val="20"/>
        </w:rPr>
        <w:t>2022, as supplemented by the information set forth in “Part I, Item 3 — Quantitative and Qualitative Disclosures about Market Risk” and “Part II, Item 1A — Risk Factors” of this Report, for a discussion of certain risks, uncertainties and assumptions associated with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Business 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or goods purchased directly from customers.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exist to serve our customers’ short-term cash needs, helping them to live and enjoy their lives. We are focused on three strategic pillars:</w:t>
      </w:r>
    </w:p>
    <w:tbl>
      <w:tblPr>
        <w:tblW w:w="10205" w:type="dxa"/>
        <w:jc w:val="center"/>
        <w:tblInd w:w="0" w:type="dxa"/>
        <w:tblLayout w:type="fixed"/>
        <w:tblCellMar>
          <w:top w:w="28" w:type="dxa"/>
          <w:left w:w="28" w:type="dxa"/>
          <w:bottom w:w="28" w:type="dxa"/>
          <w:right w:w="28" w:type="dxa"/>
        </w:tblCellMar>
      </w:tblPr>
      <w:tblGrid>
        <w:gridCol w:w="1001"/>
        <w:gridCol w:w="878"/>
        <w:gridCol w:w="883"/>
        <w:gridCol w:w="2175"/>
        <w:gridCol w:w="2172"/>
        <w:gridCol w:w="3096"/>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Strengthen the Core</w:t>
            </w:r>
          </w:p>
        </w:tc>
        <w:tc>
          <w:tcPr>
            <w:tcW w:w="7443"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Relentless focus on superior execution and operational excellence in our core pawn business</w:t>
            </w:r>
          </w:p>
        </w:tc>
      </w:tr>
      <w:tr>
        <w:trPr/>
        <w:tc>
          <w:tcPr>
            <w:tcW w:w="276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Cost Efficiency and Simplification</w:t>
            </w:r>
          </w:p>
        </w:tc>
        <w:tc>
          <w:tcPr>
            <w:tcW w:w="7443"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Shape a culture of cost efficiency through ongoing focus on simplification and optimization</w:t>
            </w:r>
          </w:p>
        </w:tc>
      </w:tr>
      <w:tr>
        <w:trPr/>
        <w:tc>
          <w:tcPr>
            <w:tcW w:w="2762"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Innovate and Grow</w:t>
            </w:r>
          </w:p>
        </w:tc>
        <w:tc>
          <w:tcPr>
            <w:tcW w:w="7443" w:type="dxa"/>
            <w:gridSpan w:val="3"/>
            <w:tcBorders>
              <w:top w:val="single" w:sz="8" w:space="0" w:color="FFFFFF"/>
              <w:left w:val="single" w:sz="8" w:space="0" w:color="FFFFFF"/>
              <w:bottom w:val="single" w:sz="8" w:space="0" w:color="FFFFFF"/>
              <w:right w:val="single" w:sz="8" w:space="0" w:color="FFFFFF"/>
            </w:tcBorders>
            <w:shd w:fill="80C9FF" w:val="clear"/>
            <w:tcMar>
              <w:top w:w="30" w:type="dxa"/>
              <w:bottom w:w="3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Broaden customer engagement to service more customers more frequently in more locations</w:t>
            </w:r>
          </w:p>
        </w:tc>
      </w:tr>
    </w:tbl>
    <w:p>
      <w:pPr>
        <w:pStyle w:val="TextBody"/>
        <w:bidi w:val="0"/>
        <w:spacing w:lineRule="auto" w:line="288" w:before="260" w:after="283"/>
        <w:jc w:val="left"/>
        <w:rPr>
          <w:rFonts w:ascii="Arial Narrow;sans-serif" w:hAnsi="Arial Narrow;sans-serif"/>
          <w:b/>
          <w:color w:val="000000"/>
          <w:sz w:val="24"/>
        </w:rPr>
      </w:pPr>
      <w:r>
        <w:rPr>
          <w:rFonts w:ascii="Arial Narrow;sans-serif" w:hAnsi="Arial Narrow;sans-serif"/>
          <w:b/>
          <w:color w:val="000000"/>
          <w:sz w:val="24"/>
        </w:rPr>
        <w:t>Pawn Activities</w:t>
      </w:r>
    </w:p>
    <w:p>
      <w:pPr>
        <w:pStyle w:val="TextBody"/>
        <w:bidi w:val="0"/>
        <w:spacing w:lineRule="auto" w:line="288" w:before="180" w:after="60"/>
        <w:jc w:val="left"/>
        <w:rPr>
          <w:rFonts w:ascii="Arial Narrow;sans-serif" w:hAnsi="Arial Narrow;sans-serif"/>
          <w:b w:val="false"/>
          <w:color w:val="000000"/>
          <w:sz w:val="20"/>
        </w:rPr>
      </w:pPr>
      <w:r>
        <w:rPr>
          <w:rFonts w:ascii="Arial Narrow;sans-serif" w:hAnsi="Arial Narrow;sans-serif"/>
          <w:b w:val="false"/>
          <w:color w:val="000000"/>
          <w:sz w:val="20"/>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or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ability to offer quality second-hand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Growth and Expansion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Seasonality and Quarterly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In Mexico, we saw similar downward pressure in loan balances during the quarter due to a recent change in law related to company profit sharing payments to employees. We believe this change will impact pawn loan balances in May and June going forward. As a net effect of these and other factors and excluding discrete charges, our consolidated income/loss before tax is generally highest in our first fiscal quarter (October through December) and lowest in our third fiscal quarter (April through June).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 Narrow;sans-serif" w:hAnsi="Arial Narrow;sans-serif"/>
          <w:b/>
          <w:color w:val="365F91"/>
          <w:sz w:val="28"/>
        </w:rPr>
      </w:pPr>
      <w:r>
        <w:rPr>
          <w:rFonts w:ascii="Arial Narrow;sans-serif" w:hAnsi="Arial Narrow;sans-serif"/>
          <w:b/>
          <w:color w:val="365F91"/>
          <w:sz w:val="28"/>
        </w:rPr>
        <w:t>Financial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remain focused on optimizing our balance of pawn loans outstanding (“PLO”) and the resulting higher PSC. The following chart presents sources of gross profit, including PSC, merchandise sales gross profit (“Merchandise sales GP”) and jewelry scrapping gross profit (“Jewelry Scrapping GP”) for the three and nine months ended June 30, 2023 and 2022:</w:t>
      </w:r>
    </w:p>
    <w:p>
      <w:pPr>
        <w:pStyle w:val="TextBody"/>
        <w:bidi w:val="0"/>
        <w:spacing w:before="120" w:after="283"/>
        <w:jc w:val="center"/>
        <w:rPr/>
      </w:pPr>
      <w:r>
        <w:rPr/>
        <w:drawing>
          <wp:inline distT="0" distB="0" distL="0" distR="0">
            <wp:extent cx="6381750" cy="309562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5"/>
                    <a:stretch>
                      <a:fillRect/>
                    </a:stretch>
                  </pic:blipFill>
                  <pic:spPr bwMode="auto">
                    <a:xfrm>
                      <a:off x="0" y="0"/>
                      <a:ext cx="6381750" cy="3095625"/>
                    </a:xfrm>
                    <a:prstGeom prst="rect">
                      <a:avLst/>
                    </a:prstGeom>
                  </pic:spPr>
                </pic:pic>
              </a:graphicData>
            </a:graphic>
          </wp:inline>
        </w:drawing>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chart presents sources of gross profit by geographic disbursement for the three and nine months ended June 30, 2023 and 2022:</w:t>
      </w:r>
    </w:p>
    <w:p>
      <w:pPr>
        <w:pStyle w:val="TextBody"/>
        <w:bidi w:val="0"/>
        <w:spacing w:before="120" w:after="283"/>
        <w:jc w:val="center"/>
        <w:rPr/>
      </w:pPr>
      <w:r>
        <w:rPr/>
        <w:drawing>
          <wp:inline distT="0" distB="0" distL="0" distR="0">
            <wp:extent cx="6381750" cy="3095625"/>
            <wp:effectExtent l="0" t="0" r="0" b="0"/>
            <wp:docPr id="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 descr=""/>
                    <pic:cNvPicPr>
                      <a:picLocks noChangeAspect="1" noChangeArrowheads="1"/>
                    </pic:cNvPicPr>
                  </pic:nvPicPr>
                  <pic:blipFill>
                    <a:blip r:embed="rId6"/>
                    <a:stretch>
                      <a:fillRect/>
                    </a:stretch>
                  </pic:blipFill>
                  <pic:spPr bwMode="auto">
                    <a:xfrm>
                      <a:off x="0" y="0"/>
                      <a:ext cx="6381750" cy="3095625"/>
                    </a:xfrm>
                    <a:prstGeom prst="rect">
                      <a:avLst/>
                    </a:prstGeom>
                  </pic:spPr>
                </pic:pic>
              </a:graphicData>
            </a:graphic>
          </wp:inline>
        </w:drawing>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365F91"/>
          <w:sz w:val="28"/>
        </w:rPr>
      </w:pPr>
      <w:r>
        <w:rPr>
          <w:rFonts w:ascii="Arial Narrow;sans-serif" w:hAnsi="Arial Narrow;sans-serif"/>
          <w:b/>
          <w:color w:val="365F91"/>
          <w:sz w:val="28"/>
        </w:rPr>
        <w:t>Results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Non-GAAP Constant Currency and Same Store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supplement our condensed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and nine months ended June 30, 2023 and June 30, 2022 were as follows:</w:t>
      </w:r>
    </w:p>
    <w:tbl>
      <w:tblPr>
        <w:tblW w:w="6884" w:type="dxa"/>
        <w:jc w:val="left"/>
        <w:tblInd w:w="0" w:type="dxa"/>
        <w:tblLayout w:type="fixed"/>
        <w:tblCellMar>
          <w:top w:w="28" w:type="dxa"/>
          <w:left w:w="28" w:type="dxa"/>
          <w:bottom w:w="28" w:type="dxa"/>
          <w:right w:w="28" w:type="dxa"/>
        </w:tblCellMar>
      </w:tblPr>
      <w:tblGrid>
        <w:gridCol w:w="499"/>
        <w:gridCol w:w="438"/>
        <w:gridCol w:w="442"/>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28"/>
        <w:gridCol w:w="193"/>
        <w:gridCol w:w="161"/>
        <w:gridCol w:w="161"/>
        <w:gridCol w:w="161"/>
        <w:gridCol w:w="161"/>
        <w:gridCol w:w="228"/>
        <w:gridCol w:w="193"/>
        <w:gridCol w:w="227"/>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 Narrow;sans-serif" w:hAnsi="Arial Narrow;sans-serif"/>
          <w:b/>
          <w:color w:val="000000"/>
          <w:sz w:val="24"/>
        </w:rPr>
      </w:pPr>
      <w:r>
        <w:rPr>
          <w:rFonts w:ascii="Arial Narrow;sans-serif" w:hAnsi="Arial Narrow;sans-serif"/>
          <w:b/>
          <w:color w:val="000000"/>
          <w:sz w:val="24"/>
        </w:rPr>
        <w:t>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manage our business and report our financial results in three reportable segments: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 Pawn — Represents all pawn activities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Latin America Pawn — Represents all pawn activities in Mexico and other parts of Latin America;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Other Investments — Represents our equity interest in the net income of Cash Converters along with our investments in Founders and RDC.</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Store Count by Segment</w:t>
      </w:r>
    </w:p>
    <w:tbl>
      <w:tblPr>
        <w:tblW w:w="6358" w:type="dxa"/>
        <w:jc w:val="left"/>
        <w:tblInd w:w="0" w:type="dxa"/>
        <w:tblLayout w:type="fixed"/>
        <w:tblCellMar>
          <w:top w:w="28" w:type="dxa"/>
          <w:left w:w="28" w:type="dxa"/>
          <w:bottom w:w="28" w:type="dxa"/>
          <w:right w:w="28" w:type="dxa"/>
        </w:tblCellMar>
      </w:tblPr>
      <w:tblGrid>
        <w:gridCol w:w="544"/>
        <w:gridCol w:w="477"/>
        <w:gridCol w:w="479"/>
        <w:gridCol w:w="280"/>
        <w:gridCol w:w="280"/>
        <w:gridCol w:w="280"/>
        <w:gridCol w:w="192"/>
        <w:gridCol w:w="192"/>
        <w:gridCol w:w="192"/>
        <w:gridCol w:w="499"/>
        <w:gridCol w:w="499"/>
        <w:gridCol w:w="501"/>
        <w:gridCol w:w="192"/>
        <w:gridCol w:w="192"/>
        <w:gridCol w:w="192"/>
        <w:gridCol w:w="192"/>
        <w:gridCol w:w="109"/>
        <w:gridCol w:w="312"/>
        <w:gridCol w:w="312"/>
        <w:gridCol w:w="442"/>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3"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2023</w:t>
            </w:r>
          </w:p>
        </w:tc>
        <w:tc>
          <w:tcPr>
            <w:tcW w:w="1175" w:type="dxa"/>
            <w:gridSpan w:val="4"/>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2023</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2023</w:t>
            </w:r>
          </w:p>
        </w:tc>
        <w:tc>
          <w:tcPr>
            <w:tcW w:w="56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528 </w:t>
            </w:r>
          </w:p>
        </w:tc>
        <w:tc>
          <w:tcPr>
            <w:tcW w:w="28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684 </w:t>
            </w:r>
          </w:p>
        </w:tc>
        <w:tc>
          <w:tcPr>
            <w:tcW w:w="5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1,212 </w:t>
            </w:r>
          </w:p>
        </w:tc>
        <w:tc>
          <w:tcPr>
            <w:tcW w:w="4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tbl>
      <w:tblPr>
        <w:tblW w:w="6358" w:type="dxa"/>
        <w:jc w:val="left"/>
        <w:tblInd w:w="0" w:type="dxa"/>
        <w:tblLayout w:type="fixed"/>
        <w:tblCellMar>
          <w:top w:w="28" w:type="dxa"/>
          <w:left w:w="28" w:type="dxa"/>
          <w:bottom w:w="28" w:type="dxa"/>
          <w:right w:w="28" w:type="dxa"/>
        </w:tblCellMar>
      </w:tblPr>
      <w:tblGrid>
        <w:gridCol w:w="544"/>
        <w:gridCol w:w="477"/>
        <w:gridCol w:w="479"/>
        <w:gridCol w:w="280"/>
        <w:gridCol w:w="280"/>
        <w:gridCol w:w="280"/>
        <w:gridCol w:w="192"/>
        <w:gridCol w:w="192"/>
        <w:gridCol w:w="192"/>
        <w:gridCol w:w="499"/>
        <w:gridCol w:w="499"/>
        <w:gridCol w:w="501"/>
        <w:gridCol w:w="192"/>
        <w:gridCol w:w="192"/>
        <w:gridCol w:w="192"/>
        <w:gridCol w:w="192"/>
        <w:gridCol w:w="109"/>
        <w:gridCol w:w="312"/>
        <w:gridCol w:w="312"/>
        <w:gridCol w:w="442"/>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3"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2022</w:t>
            </w:r>
          </w:p>
        </w:tc>
        <w:tc>
          <w:tcPr>
            <w:tcW w:w="1175" w:type="dxa"/>
            <w:gridSpan w:val="4"/>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2022</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2022</w:t>
            </w:r>
          </w:p>
        </w:tc>
        <w:tc>
          <w:tcPr>
            <w:tcW w:w="560"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519 </w:t>
            </w:r>
          </w:p>
        </w:tc>
        <w:tc>
          <w:tcPr>
            <w:tcW w:w="280"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644 </w:t>
            </w:r>
          </w:p>
        </w:tc>
        <w:tc>
          <w:tcPr>
            <w:tcW w:w="50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1,163 </w:t>
            </w:r>
          </w:p>
        </w:tc>
        <w:tc>
          <w:tcPr>
            <w:tcW w:w="442"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48" w:type="dxa"/>
        <w:jc w:val="left"/>
        <w:tblInd w:w="0" w:type="dxa"/>
        <w:tblLayout w:type="fixed"/>
        <w:tblCellMar>
          <w:top w:w="28" w:type="dxa"/>
          <w:left w:w="28" w:type="dxa"/>
          <w:bottom w:w="28" w:type="dxa"/>
          <w:right w:w="28" w:type="dxa"/>
        </w:tblCellMar>
      </w:tblPr>
      <w:tblGrid>
        <w:gridCol w:w="843"/>
        <w:gridCol w:w="740"/>
        <w:gridCol w:w="742"/>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2023</w:t>
            </w:r>
          </w:p>
        </w:tc>
        <w:tc>
          <w:tcPr>
            <w:tcW w:w="1175" w:type="dxa"/>
            <w:gridSpan w:val="4"/>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2022</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sold, combined or closed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2023</w:t>
            </w:r>
          </w:p>
        </w:tc>
        <w:tc>
          <w:tcPr>
            <w:tcW w:w="56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528 </w:t>
            </w:r>
          </w:p>
        </w:tc>
        <w:tc>
          <w:tcPr>
            <w:tcW w:w="28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684 </w:t>
            </w:r>
          </w:p>
        </w:tc>
        <w:tc>
          <w:tcPr>
            <w:tcW w:w="5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1,212 </w:t>
            </w:r>
          </w:p>
        </w:tc>
        <w:tc>
          <w:tcPr>
            <w:tcW w:w="4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08" w:type="dxa"/>
        <w:jc w:val="left"/>
        <w:tblInd w:w="0" w:type="dxa"/>
        <w:tblLayout w:type="fixed"/>
        <w:tblCellMar>
          <w:top w:w="28" w:type="dxa"/>
          <w:left w:w="28" w:type="dxa"/>
          <w:bottom w:w="28" w:type="dxa"/>
          <w:right w:w="28" w:type="dxa"/>
        </w:tblCellMar>
      </w:tblPr>
      <w:tblGrid>
        <w:gridCol w:w="647"/>
        <w:gridCol w:w="568"/>
        <w:gridCol w:w="570"/>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2022</w:t>
            </w:r>
          </w:p>
        </w:tc>
        <w:tc>
          <w:tcPr>
            <w:tcW w:w="1175" w:type="dxa"/>
            <w:gridSpan w:val="4"/>
            <w:tcBorders/>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2021</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2022</w:t>
            </w:r>
          </w:p>
        </w:tc>
        <w:tc>
          <w:tcPr>
            <w:tcW w:w="560"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519 </w:t>
            </w:r>
          </w:p>
        </w:tc>
        <w:tc>
          <w:tcPr>
            <w:tcW w:w="280"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644 </w:t>
            </w:r>
          </w:p>
        </w:tc>
        <w:tc>
          <w:tcPr>
            <w:tcW w:w="50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1,163 </w:t>
            </w:r>
          </w:p>
        </w:tc>
        <w:tc>
          <w:tcPr>
            <w:tcW w:w="442"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76" w:before="180" w:after="283"/>
        <w:jc w:val="left"/>
        <w:rPr>
          <w:rFonts w:ascii="Arial Narrow;sans-serif" w:hAnsi="Arial Narrow;sans-serif"/>
          <w:b/>
          <w:i/>
          <w:color w:val="000000"/>
          <w:sz w:val="20"/>
        </w:rPr>
      </w:pPr>
      <w:r>
        <w:rPr>
          <w:rFonts w:ascii="Arial Narrow;sans-serif" w:hAnsi="Arial Narrow;sans-serif"/>
          <w:b/>
          <w:i/>
          <w:color w:val="000000"/>
          <w:sz w:val="20"/>
        </w:rPr>
        <w:t>Three Months Ended June 30, 2023 vs. Three Months Ended June 30, 2022</w:t>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These tables, as well as the discussion that follows, should be read in conjunction with the accompanying Condensed Consolidated Financial Statements and related notes. </w:t>
      </w:r>
    </w:p>
    <w:p>
      <w:pPr>
        <w:pStyle w:val="TextBody"/>
        <w:bidi w:val="0"/>
        <w:spacing w:lineRule="auto" w:line="276" w:before="180" w:after="283"/>
        <w:jc w:val="left"/>
        <w:rPr>
          <w:rFonts w:ascii="Arial Narrow;sans-serif" w:hAnsi="Arial Narrow;sans-serif"/>
          <w:b/>
          <w:color w:val="000000"/>
          <w:sz w:val="20"/>
        </w:rPr>
      </w:pPr>
      <w:r>
        <w:rPr>
          <w:rFonts w:ascii="Arial Narrow;sans-serif" w:hAnsi="Arial Narrow;sans-serif"/>
          <w:b/>
          <w:color w:val="000000"/>
          <w:sz w:val="20"/>
        </w:rPr>
        <w:t>U.S.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our U.S. Pawn segment:</w:t>
      </w:r>
    </w:p>
    <w:tbl>
      <w:tblPr>
        <w:tblW w:w="7125" w:type="dxa"/>
        <w:jc w:val="left"/>
        <w:tblInd w:w="0" w:type="dxa"/>
        <w:tblLayout w:type="fixed"/>
        <w:tblCellMar>
          <w:top w:w="28" w:type="dxa"/>
          <w:left w:w="28" w:type="dxa"/>
          <w:bottom w:w="28" w:type="dxa"/>
          <w:right w:w="28" w:type="dxa"/>
        </w:tblCellMar>
      </w:tblPr>
      <w:tblGrid>
        <w:gridCol w:w="1319"/>
        <w:gridCol w:w="1162"/>
        <w:gridCol w:w="1164"/>
        <w:gridCol w:w="181"/>
        <w:gridCol w:w="646"/>
        <w:gridCol w:w="241"/>
        <w:gridCol w:w="109"/>
        <w:gridCol w:w="109"/>
        <w:gridCol w:w="109"/>
        <w:gridCol w:w="181"/>
        <w:gridCol w:w="646"/>
        <w:gridCol w:w="241"/>
        <w:gridCol w:w="109"/>
        <w:gridCol w:w="109"/>
        <w:gridCol w:w="109"/>
        <w:gridCol w:w="202"/>
        <w:gridCol w:w="202"/>
        <w:gridCol w:w="286"/>
      </w:tblGrid>
      <w:tr>
        <w:trPr/>
        <w:tc>
          <w:tcPr>
            <w:tcW w:w="13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102,177 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39,378 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38,120 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(200)bps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142%</w:t>
            </w:r>
          </w:p>
        </w:tc>
      </w:tr>
      <w:tr>
        <w:trPr/>
        <w:tc>
          <w:tcPr>
            <w:tcW w:w="36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122%</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(200)bps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r>
      <w:tr>
        <w:trPr/>
        <w:tc>
          <w:tcPr>
            <w:tcW w:w="36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110,192 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98,361 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27"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32,298 </w:t>
            </w:r>
          </w:p>
        </w:tc>
        <w:tc>
          <w:tcPr>
            <w:tcW w:w="24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29,753 </w:t>
            </w:r>
          </w:p>
        </w:tc>
        <w:tc>
          <w:tcPr>
            <w:tcW w:w="24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6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32,299 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29,754 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4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earning assets (a)</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293,787 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261,511 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turnover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(b)</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includes pawn loans and inventory.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bidi w:val="0"/>
        <w:spacing w:lineRule="auto" w:line="288" w:before="180" w:after="283"/>
        <w:jc w:val="left"/>
        <w:rPr/>
      </w:pPr>
      <w:r>
        <w:rPr>
          <w:rFonts w:ascii="Arial Narrow;sans-serif" w:hAnsi="Arial Narrow;sans-serif"/>
          <w:b w:val="false"/>
          <w:color w:val="000000"/>
          <w:sz w:val="20"/>
          <w:shd w:fill="FFFF00" w:val="clear"/>
        </w:rPr>
        <w:br/>
      </w:r>
      <w:r>
        <w:rPr>
          <w:rFonts w:ascii="Arial Narrow;sans-serif" w:hAnsi="Arial Narrow;sans-serif"/>
          <w:b w:val="false"/>
          <w:color w:val="000000"/>
          <w:sz w:val="20"/>
        </w:rPr>
        <w:br/>
        <w:t xml:space="preserve">PLO ended the quarter at $178.9 million, up 12% (9% on a same store basis).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 was up 16% and gross profit increased 12%, reflecting increased PSC and higher merchandise sales.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16% as a result of higher average PLO.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9% and gross margin decreased to 39% from 41%, within our target range. Aged general merchandise was 1.0% of total general merchandise inventory.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inventory increased 13%, as expected with the growth in PLO. Inventory turnover increased to 2.6x from 2.5x.</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14%, primarily due to increased labor in-line with store activity, higher store count and, to a lesser extent, expenses related to our loyalty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9% to $32.3 million, due to the changes noted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store count increased by one de novo store during this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0000"/>
          <w:sz w:val="20"/>
        </w:rPr>
        <w:t>Latin America Pawn</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Latin America Pawn segment, including constant currency results, after translation to U.S. dollars from its functional currencies noted above under “Results of Operations — Non-GAAP Constant Currency and Same Store Financial Information.”</w:t>
      </w:r>
    </w:p>
    <w:tbl>
      <w:tblPr>
        <w:tblW w:w="10205" w:type="dxa"/>
        <w:jc w:val="left"/>
        <w:tblInd w:w="0" w:type="dxa"/>
        <w:tblLayout w:type="fixed"/>
        <w:tblCellMar>
          <w:top w:w="28" w:type="dxa"/>
          <w:left w:w="28" w:type="dxa"/>
          <w:bottom w:w="28" w:type="dxa"/>
          <w:right w:w="28" w:type="dxa"/>
        </w:tblCellMar>
      </w:tblPr>
      <w:tblGrid>
        <w:gridCol w:w="1016"/>
        <w:gridCol w:w="850"/>
        <w:gridCol w:w="851"/>
        <w:gridCol w:w="181"/>
        <w:gridCol w:w="571"/>
        <w:gridCol w:w="241"/>
        <w:gridCol w:w="109"/>
        <w:gridCol w:w="109"/>
        <w:gridCol w:w="109"/>
        <w:gridCol w:w="181"/>
        <w:gridCol w:w="571"/>
        <w:gridCol w:w="241"/>
        <w:gridCol w:w="109"/>
        <w:gridCol w:w="109"/>
        <w:gridCol w:w="109"/>
        <w:gridCol w:w="328"/>
        <w:gridCol w:w="328"/>
        <w:gridCol w:w="329"/>
        <w:gridCol w:w="109"/>
        <w:gridCol w:w="109"/>
        <w:gridCol w:w="109"/>
        <w:gridCol w:w="281"/>
        <w:gridCol w:w="888"/>
        <w:gridCol w:w="375"/>
        <w:gridCol w:w="109"/>
        <w:gridCol w:w="109"/>
        <w:gridCol w:w="109"/>
        <w:gridCol w:w="485"/>
        <w:gridCol w:w="485"/>
        <w:gridCol w:w="695"/>
      </w:tblGrid>
      <w:tr>
        <w:trPr/>
        <w:tc>
          <w:tcPr>
            <w:tcW w:w="101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w:t>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2023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2022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2023 (Constant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22,984 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45,803 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41,616 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13,533 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12,340 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(56)%</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(119)%</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38,578 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31,126 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35,343 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26,757 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2,084 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(2,145)</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9,364 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8,647 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51%</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w:t>
            </w:r>
          </w:p>
        </w:tc>
      </w:tr>
      <w:tr>
        <w:trPr/>
        <w:tc>
          <w:tcPr>
            <w:tcW w:w="27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9,714 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6,097 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59%</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9,023 </w:t>
            </w:r>
          </w:p>
        </w:tc>
        <w:tc>
          <w:tcPr>
            <w:tcW w:w="3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48%</w:t>
            </w:r>
          </w:p>
        </w:tc>
      </w:tr>
      <w:tr>
        <w:trPr/>
        <w:tc>
          <w:tcPr>
            <w:tcW w:w="271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earning assets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90,536 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79,982 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turnover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(b)</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includes pawn loans and inventory.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bl>
    <w:tbl>
      <w:tblPr>
        <w:tblW w:w="5080" w:type="dxa"/>
        <w:jc w:val="left"/>
        <w:tblInd w:w="0" w:type="dxa"/>
        <w:tblLayout w:type="fixed"/>
        <w:tblCellMar>
          <w:top w:w="28" w:type="dxa"/>
          <w:left w:w="28" w:type="dxa"/>
          <w:bottom w:w="28" w:type="dxa"/>
          <w:right w:w="28" w:type="dxa"/>
        </w:tblCellMar>
      </w:tblPr>
      <w:tblGrid>
        <w:gridCol w:w="790"/>
        <w:gridCol w:w="698"/>
        <w:gridCol w:w="701"/>
        <w:gridCol w:w="344"/>
        <w:gridCol w:w="344"/>
        <w:gridCol w:w="346"/>
        <w:gridCol w:w="109"/>
        <w:gridCol w:w="109"/>
        <w:gridCol w:w="109"/>
        <w:gridCol w:w="447"/>
        <w:gridCol w:w="447"/>
        <w:gridCol w:w="636"/>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2023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2023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Same Store data: </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PLO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PSC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Gross Profit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PLO improved to $50.5 million, up 14% (1% on constant currency basis). On a same store basis, PLO increased 11% (decreased 2% on a constant currency basis). PLO balance was lower than expected with a greater pay down during the quarter driven by a change in Mexican law, which significantly increased profit share required to be paid by companies to employees by May 30.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Total revenue was up 26% (15% on constant currency basis), while gross profit increased 24% (14% on a constant currency basis), reflecting increased PSC, higher merchandise sales and improved merchandise sales gross profit.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19% (10% on a constant currency basis) as a result of higher average PLO and yield.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gross margin increased from 29% to 30%. Aged general merchandise increased to 2.4% from 1.3% of total merchandise inventory.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inventory increased 30% (13% on a constant currency basis), as expected with the growth in PLO. Inventory turnover remained strong at 3.4x, down from 3.7x.</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Store expenses increased 26% (14% on a constant currency basis), primarily due to rent linked to inflation, higher store count and, to a lesser extent, expenses related to our loyalty program. Same-store expenses increased 21% (9% on a constant currency basis).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59% (48% on a constant currency basis) to $9.7 million, primarily due to the reversal of contingent consideration liability in connection with a previously completed acquisition, which was recorded to “Other,” and the changes in revenue and store expenses described above.</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store count increased by 12 de novo stores during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Other Investments segment after translation to U.S. dollars from its functional currency of primarily Australian dollars:</w:t>
      </w:r>
    </w:p>
    <w:tbl>
      <w:tblPr>
        <w:tblW w:w="6281" w:type="dxa"/>
        <w:jc w:val="left"/>
        <w:tblInd w:w="0" w:type="dxa"/>
        <w:tblLayout w:type="fixed"/>
        <w:tblCellMar>
          <w:top w:w="28" w:type="dxa"/>
          <w:left w:w="28" w:type="dxa"/>
          <w:bottom w:w="28" w:type="dxa"/>
          <w:right w:w="28" w:type="dxa"/>
        </w:tblCellMar>
      </w:tblPr>
      <w:tblGrid>
        <w:gridCol w:w="1128"/>
        <w:gridCol w:w="994"/>
        <w:gridCol w:w="998"/>
        <w:gridCol w:w="205"/>
        <w:gridCol w:w="564"/>
        <w:gridCol w:w="124"/>
        <w:gridCol w:w="124"/>
        <w:gridCol w:w="124"/>
        <w:gridCol w:w="124"/>
        <w:gridCol w:w="205"/>
        <w:gridCol w:w="564"/>
        <w:gridCol w:w="124"/>
        <w:gridCol w:w="109"/>
        <w:gridCol w:w="109"/>
        <w:gridCol w:w="109"/>
        <w:gridCol w:w="198"/>
        <w:gridCol w:w="198"/>
        <w:gridCol w:w="280"/>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loan fees, interest and other</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1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1,538 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expense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(47)%</w:t>
            </w:r>
          </w:p>
        </w:tc>
      </w:tr>
      <w:tr>
        <w:trPr/>
        <w:tc>
          <w:tcPr>
            <w:tcW w:w="3120"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20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1,528 </w:t>
            </w:r>
          </w:p>
        </w:tc>
        <w:tc>
          <w:tcPr>
            <w:tcW w:w="12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1,760 </w:t>
            </w:r>
          </w:p>
        </w:tc>
        <w:tc>
          <w:tcPr>
            <w:tcW w:w="12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bl>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 contribution was $1.5 million, a decrease of $0.2 million due to the decrease in our share of equity in income of Cash Converters.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Items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our consolidated segment contribution discussed above to net income attributable to EZCORP, Inc., including items that affect our consolidated financial results but are not allocated among segments:</w:t>
      </w:r>
    </w:p>
    <w:tbl>
      <w:tblPr>
        <w:tblW w:w="5975" w:type="dxa"/>
        <w:jc w:val="left"/>
        <w:tblInd w:w="0" w:type="dxa"/>
        <w:tblLayout w:type="fixed"/>
        <w:tblCellMar>
          <w:top w:w="28" w:type="dxa"/>
          <w:left w:w="28" w:type="dxa"/>
          <w:bottom w:w="28" w:type="dxa"/>
          <w:right w:w="28" w:type="dxa"/>
        </w:tblCellMar>
      </w:tblPr>
      <w:tblGrid>
        <w:gridCol w:w="727"/>
        <w:gridCol w:w="641"/>
        <w:gridCol w:w="642"/>
        <w:gridCol w:w="190"/>
        <w:gridCol w:w="602"/>
        <w:gridCol w:w="114"/>
        <w:gridCol w:w="114"/>
        <w:gridCol w:w="114"/>
        <w:gridCol w:w="114"/>
        <w:gridCol w:w="190"/>
        <w:gridCol w:w="602"/>
        <w:gridCol w:w="114"/>
        <w:gridCol w:w="109"/>
        <w:gridCol w:w="109"/>
        <w:gridCol w:w="109"/>
        <w:gridCol w:w="434"/>
        <w:gridCol w:w="434"/>
        <w:gridCol w:w="616"/>
      </w:tblGrid>
      <w:tr>
        <w:trPr/>
        <w:tc>
          <w:tcPr>
            <w:tcW w:w="72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(176)%</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7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21,310 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13,082 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9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18,222 </w:t>
            </w:r>
          </w:p>
        </w:tc>
        <w:tc>
          <w:tcPr>
            <w:tcW w:w="11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12,215 </w:t>
            </w:r>
          </w:p>
        </w:tc>
        <w:tc>
          <w:tcPr>
            <w:tcW w:w="11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49%</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 contribution increased $5.9 million or 16% over the prior year quarter primarily due to improved operating results of the U.S. Pawn and Latin America Pawn segments above. </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 decreased $0.8 million or 4%, primarily due to the litigation accrual charge of $2.0 million recorded in prior period, offset by an increase in costs primarily related to our Workday implementation.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 increased $2.3 million, due primarily to our treasury management with increased market interest rates, and, to a lesser extent, loans to certain strategic investees.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Income tax expense increased $2.2 million primarily due to an increase in income before income taxes of $8.2 million this quarter compared to the prior year quarter as a result of improved operating results within the U.S. Pawn segment and the Latin American Pawn segment.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Annual Report on Form 10-K for the year ended September 30, 2022 Note 11: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Nine Months Ended June 30, 2023 vs. Nine Months Ended June 30,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tables below and discussion that follows should be read in conjunction with the accompanying condensed consolidated financial statements and related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U.S.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U.S. Pawn segment:</w:t>
      </w:r>
    </w:p>
    <w:tbl>
      <w:tblPr>
        <w:tblW w:w="7124" w:type="dxa"/>
        <w:jc w:val="left"/>
        <w:tblInd w:w="0" w:type="dxa"/>
        <w:tblLayout w:type="fixed"/>
        <w:tblCellMar>
          <w:top w:w="28" w:type="dxa"/>
          <w:left w:w="28" w:type="dxa"/>
          <w:bottom w:w="28" w:type="dxa"/>
          <w:right w:w="28" w:type="dxa"/>
        </w:tblCellMar>
      </w:tblPr>
      <w:tblGrid>
        <w:gridCol w:w="1318"/>
        <w:gridCol w:w="1162"/>
        <w:gridCol w:w="1164"/>
        <w:gridCol w:w="181"/>
        <w:gridCol w:w="646"/>
        <w:gridCol w:w="241"/>
        <w:gridCol w:w="109"/>
        <w:gridCol w:w="109"/>
        <w:gridCol w:w="109"/>
        <w:gridCol w:w="181"/>
        <w:gridCol w:w="646"/>
        <w:gridCol w:w="241"/>
        <w:gridCol w:w="109"/>
        <w:gridCol w:w="109"/>
        <w:gridCol w:w="109"/>
        <w:gridCol w:w="202"/>
        <w:gridCol w:w="202"/>
        <w:gridCol w:w="286"/>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174,651 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329,231 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296,147 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125,533 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123,817 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(400)bps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117%</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63%</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(500)bps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337,883 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301,120 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220,639 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195,217 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109,340 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98,036 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6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109,342 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98,037 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Pawn service charges increased 19% as a result of higher average PLO for the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11% compared to the prior year. Merchandise sales increase was driven primarily by our continued focus on customer engagement and pricing merchandise to maintain strong inventory turnover. Offsetting the sales increase, merchandise sales gross margin decreased 400 bps, within our target range.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13%, primarily due to increased labor in-line with store activity, higher store count and, to a lesser extent, expenses related to our loyalty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$11.3 million, primarily due to the changes described above.</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Latin America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our Latin America Pawn segment, including constant currency results, after translation to U.S. dollars from functional currencies. See “Results of Operations — Non-GAAP Constant Currency and Same Store Financial Information” above.</w:t>
      </w:r>
    </w:p>
    <w:tbl>
      <w:tblPr>
        <w:tblW w:w="10205" w:type="dxa"/>
        <w:jc w:val="left"/>
        <w:tblInd w:w="0" w:type="dxa"/>
        <w:tblLayout w:type="fixed"/>
        <w:tblCellMar>
          <w:top w:w="28" w:type="dxa"/>
          <w:left w:w="28" w:type="dxa"/>
          <w:bottom w:w="28" w:type="dxa"/>
          <w:right w:w="28" w:type="dxa"/>
        </w:tblCellMar>
      </w:tblPr>
      <w:tblGrid>
        <w:gridCol w:w="1016"/>
        <w:gridCol w:w="850"/>
        <w:gridCol w:w="851"/>
        <w:gridCol w:w="181"/>
        <w:gridCol w:w="571"/>
        <w:gridCol w:w="241"/>
        <w:gridCol w:w="109"/>
        <w:gridCol w:w="109"/>
        <w:gridCol w:w="109"/>
        <w:gridCol w:w="181"/>
        <w:gridCol w:w="571"/>
        <w:gridCol w:w="241"/>
        <w:gridCol w:w="109"/>
        <w:gridCol w:w="109"/>
        <w:gridCol w:w="109"/>
        <w:gridCol w:w="328"/>
        <w:gridCol w:w="328"/>
        <w:gridCol w:w="329"/>
        <w:gridCol w:w="109"/>
        <w:gridCol w:w="109"/>
        <w:gridCol w:w="109"/>
        <w:gridCol w:w="281"/>
        <w:gridCol w:w="888"/>
        <w:gridCol w:w="375"/>
        <w:gridCol w:w="109"/>
        <w:gridCol w:w="109"/>
        <w:gridCol w:w="109"/>
        <w:gridCol w:w="485"/>
        <w:gridCol w:w="485"/>
        <w:gridCol w:w="695"/>
      </w:tblGrid>
      <w:tr>
        <w:trPr/>
        <w:tc>
          <w:tcPr>
            <w:tcW w:w="101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w:t>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2023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2022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2023 (Constant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71,397 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58,348 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67,137 </w:t>
            </w:r>
          </w:p>
        </w:tc>
        <w:tc>
          <w:tcPr>
            <w:tcW w:w="3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135,043 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125,905 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41,456 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30,269 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38,640 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28%</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200bps</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(28)%</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(177)%</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(1,600)bps</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(71)%</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112,534 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89,334 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105,485 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86,365 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80,593 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6,369 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(4,481)</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operating contribution </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24,416 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16,749 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23,004 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 (a)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(1,099)</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85%</w:t>
            </w:r>
          </w:p>
        </w:tc>
      </w:tr>
      <w:tr>
        <w:trPr/>
        <w:tc>
          <w:tcPr>
            <w:tcW w:w="27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25,239 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17,342 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24,103 </w:t>
            </w:r>
          </w:p>
        </w:tc>
        <w:tc>
          <w:tcPr>
            <w:tcW w:w="3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w:t>
            </w:r>
          </w:p>
        </w:tc>
      </w:tr>
      <w:tr>
        <w:trPr/>
        <w:tc>
          <w:tcPr>
            <w:tcW w:w="27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tbl>
      <w:tblPr>
        <w:tblW w:w="5080" w:type="dxa"/>
        <w:jc w:val="left"/>
        <w:tblInd w:w="0" w:type="dxa"/>
        <w:tblLayout w:type="fixed"/>
        <w:tblCellMar>
          <w:top w:w="28" w:type="dxa"/>
          <w:left w:w="28" w:type="dxa"/>
          <w:bottom w:w="28" w:type="dxa"/>
          <w:right w:w="28" w:type="dxa"/>
        </w:tblCellMar>
      </w:tblPr>
      <w:tblGrid>
        <w:gridCol w:w="790"/>
        <w:gridCol w:w="698"/>
        <w:gridCol w:w="701"/>
        <w:gridCol w:w="344"/>
        <w:gridCol w:w="344"/>
        <w:gridCol w:w="346"/>
        <w:gridCol w:w="109"/>
        <w:gridCol w:w="109"/>
        <w:gridCol w:w="109"/>
        <w:gridCol w:w="447"/>
        <w:gridCol w:w="447"/>
        <w:gridCol w:w="636"/>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2023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2023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Same Store data: </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PLO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PSC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13%</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Gross Profit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nine months ended June 30, 2023, our Latin America pawn segment opened twenty-five de novo stores.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22% to $71.4 million (15% to $67.1 million on a constant currency basis) as a result of higher average PLO for the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31% (22% on a constant currency basis) and 25% on a same store basis (17% on a constant currency basis). Merchandise sales increase was driven primarily by our continued focus on customer engagement, pricing merchandise to maintain strong inventory turnover and increase in stores. Merchandise sales gross margin increased 200 bps from 29% to 31% and on a constant currency basis, within our target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by 29% (21% on a constant currency basis) primarily due to higher store count and increased labor in-line with store activity. On a same-store basis, store expenses increased 25% (16% on a constant currency basis) due to rising labor costs resulting from growing transaction volume.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$7.9 million, or 46%, to $25.2 million. This increase was primarily due to the reversal of contingent consideration liability in connection with a previously completed acquisition, which was recorded to “Other,” and the changes in revenue and store expenses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Other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Other Investments segment after translation to U.S. dollars from its functional currency of primarily Australian dollars:</w:t>
      </w:r>
    </w:p>
    <w:tbl>
      <w:tblPr>
        <w:tblW w:w="6684" w:type="dxa"/>
        <w:jc w:val="left"/>
        <w:tblInd w:w="0" w:type="dxa"/>
        <w:tblLayout w:type="fixed"/>
        <w:tblCellMar>
          <w:top w:w="28" w:type="dxa"/>
          <w:left w:w="28" w:type="dxa"/>
          <w:bottom w:w="28" w:type="dxa"/>
          <w:right w:w="28" w:type="dxa"/>
        </w:tblCellMar>
      </w:tblPr>
      <w:tblGrid>
        <w:gridCol w:w="1269"/>
        <w:gridCol w:w="1118"/>
        <w:gridCol w:w="1122"/>
        <w:gridCol w:w="187"/>
        <w:gridCol w:w="636"/>
        <w:gridCol w:w="112"/>
        <w:gridCol w:w="112"/>
        <w:gridCol w:w="112"/>
        <w:gridCol w:w="112"/>
        <w:gridCol w:w="187"/>
        <w:gridCol w:w="512"/>
        <w:gridCol w:w="112"/>
        <w:gridCol w:w="109"/>
        <w:gridCol w:w="109"/>
        <w:gridCol w:w="109"/>
        <w:gridCol w:w="224"/>
        <w:gridCol w:w="224"/>
        <w:gridCol w:w="318"/>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loan fees, interest and other</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(49)%</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(49)%</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(income) of unconsolidated affiliates</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(loss) contribution</w:t>
            </w:r>
          </w:p>
        </w:tc>
        <w:tc>
          <w:tcPr>
            <w:tcW w:w="8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(29,347)</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loss</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r>
      <w:tr>
        <w:trPr/>
        <w:tc>
          <w:tcPr>
            <w:tcW w:w="3509"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(loss) contribution</w:t>
            </w:r>
          </w:p>
        </w:tc>
        <w:tc>
          <w:tcPr>
            <w:tcW w:w="18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(29,367)</w:t>
            </w:r>
          </w:p>
        </w:tc>
        <w:tc>
          <w:tcPr>
            <w:tcW w:w="11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1,535 </w:t>
            </w:r>
          </w:p>
        </w:tc>
        <w:tc>
          <w:tcPr>
            <w:tcW w:w="11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r>
    </w:p>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br/>
        <w:t>Segment loss was $29.4 million, a decrease of $30.9 million from the prior-year nine months ended June 30, 2022, primarily due to the net loss on our share of Cash Converters related to their non-cash goodwill impairment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Other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our consolidated segment contribution discussed above to net income attributable to EZCORP, Inc., including items that affect our consolidated financial results but are not allocated among segments:</w:t>
      </w:r>
    </w:p>
    <w:tbl>
      <w:tblPr>
        <w:tblW w:w="7609" w:type="dxa"/>
        <w:jc w:val="left"/>
        <w:tblInd w:w="0" w:type="dxa"/>
        <w:tblLayout w:type="fixed"/>
        <w:tblCellMar>
          <w:top w:w="28" w:type="dxa"/>
          <w:left w:w="28" w:type="dxa"/>
          <w:bottom w:w="28" w:type="dxa"/>
          <w:right w:w="28" w:type="dxa"/>
        </w:tblCellMar>
      </w:tblPr>
      <w:tblGrid>
        <w:gridCol w:w="1302"/>
        <w:gridCol w:w="1148"/>
        <w:gridCol w:w="1149"/>
        <w:gridCol w:w="181"/>
        <w:gridCol w:w="646"/>
        <w:gridCol w:w="109"/>
        <w:gridCol w:w="109"/>
        <w:gridCol w:w="109"/>
        <w:gridCol w:w="109"/>
        <w:gridCol w:w="181"/>
        <w:gridCol w:w="646"/>
        <w:gridCol w:w="109"/>
        <w:gridCol w:w="109"/>
        <w:gridCol w:w="109"/>
        <w:gridCol w:w="109"/>
        <w:gridCol w:w="434"/>
        <w:gridCol w:w="434"/>
        <w:gridCol w:w="616"/>
      </w:tblGrid>
      <w:tr>
        <w:trPr/>
        <w:tc>
          <w:tcPr>
            <w:tcW w:w="130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or disposal of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from continuing operations before income taxes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28,210 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42,823 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(34)%</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20"/>
        </w:rPr>
        <w:br/>
        <w:br/>
      </w:r>
      <w:r>
        <w:rPr>
          <w:rFonts w:ascii="Arial Narrow;sans-serif" w:hAnsi="Arial Narrow;sans-serif"/>
          <w:b w:val="false"/>
          <w:color w:val="000000"/>
          <w:sz w:val="20"/>
        </w:rPr>
        <w:t>Segment contribution decreased $11.7 million or 10% over the prior year nine months ended June 30, 2022, primarily due to the net loss on our share of losses in Cash Converters’ net results related to their non-cash goodwill impairment charge, partially offset by the improved operating results of the segments above.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 increased $2.5 million or 5%, primarily due to the impact related to the reversal of incentive compensation for the departed CEO in the prior period and to a lesser extent, an overall increase in incentive-based compensation and costs primarily related to our Workday implementation, partially offset by the litigation accrual charge of $2.0 million recorded in prior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increased $5.3 million, primarily driven by the net loss recorded on the partial extinguishments of the 2024 convertible notes and 2025 convertible notes, and higher average total debt outstanding at overall higher average effective interest rates due to the issuance of the 2029 convertible notes during December 2022. See Note 7: Debt to the consolidated financials for further discussion.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decreased $1.4 million, primarily due to a decrease in income before income taxes of $16.0 million for the nine months ended June 30, 2023 compared to the same prior year nine month period offset by an increase in tax expense for the non-deductible loss realized on the refinancing of the convertible notes in the current year.</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Annual Report on Form 10-K for the year ended September 30, 2022 Note 11: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Liquidity and Capital Resources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and Cash Equivalents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cash and equivalents balance was $238.0 million at June 30, 2023 compared to $206.0 million at September 30, 2022. At June 30, 2023, our cash and equivalents were held in cash depository accounts with major banks or invested in high quality, short-term liquid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Flows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table and discussion below presents a summary of the selected sources and uses of our cash:</w:t>
      </w:r>
    </w:p>
    <w:tbl>
      <w:tblPr>
        <w:tblW w:w="8436" w:type="dxa"/>
        <w:jc w:val="left"/>
        <w:tblInd w:w="0" w:type="dxa"/>
        <w:tblLayout w:type="fixed"/>
        <w:tblCellMar>
          <w:top w:w="28" w:type="dxa"/>
          <w:left w:w="28" w:type="dxa"/>
          <w:bottom w:w="28" w:type="dxa"/>
          <w:right w:w="28" w:type="dxa"/>
        </w:tblCellMar>
      </w:tblPr>
      <w:tblGrid>
        <w:gridCol w:w="1844"/>
        <w:gridCol w:w="1625"/>
        <w:gridCol w:w="1630"/>
        <w:gridCol w:w="181"/>
        <w:gridCol w:w="571"/>
        <w:gridCol w:w="109"/>
        <w:gridCol w:w="109"/>
        <w:gridCol w:w="109"/>
        <w:gridCol w:w="109"/>
        <w:gridCol w:w="181"/>
        <w:gridCol w:w="616"/>
        <w:gridCol w:w="109"/>
        <w:gridCol w:w="109"/>
        <w:gridCol w:w="109"/>
        <w:gridCol w:w="109"/>
        <w:gridCol w:w="268"/>
        <w:gridCol w:w="268"/>
        <w:gridCol w:w="380"/>
      </w:tblGrid>
      <w:tr>
        <w:trPr/>
        <w:tc>
          <w:tcPr>
            <w:tcW w:w="1844"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w:t>
              <w:br/>
              <w:t>Change</w:t>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53%</w:t>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cash equivalents and 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509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(decrease) in cash, cash equivalents and restricted cash</w:t>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32,154 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(32,668)</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(198)%</w:t>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r>
    </w:p>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br/>
        <w:t>The increase in cash flows provided by operating activities year-over-year was primarily due to an increase in net income (when considering adjustments for non-cash items affecting net income) as well as changes in working capital primarily related to the timing of payments of accounts payable and prepaid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$11.0 million decrease in cash flows used in investing activities year-over-year was primarily due to a $60.5 million increase in cash inflows from the sale of forfeited collateral, offset by $20.2 million increase in cash flows used to fund acquisitions and strategic investments and an increase of $19.7 million in net pawn lending outflows. Of the $20.2 million increase year-over-year used in funding acquisitions and other investments, the largest amount is $15.0 million related to a note receivable from Founders, as discussed in Note 5: Strategic Investments in Part I, Item 1 - Notes to Interim Condensed Consolidated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$27.8 million increase in cash flows provided by financing activities was primarily related to the December 2022 financing of the 2029 Convertible Notes, in which we issued $230.0 million (less issuance costs) principal amount of 3.750% Convertible Senior Notes Due 2029 offset by the extinguishment of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Further, the Company repurchased and retired 1,037,703 shares of our Class A Common Stock for $9.0 million under the Common Stock Repurchase Program for the nine month period ended June 30,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net effect of these changes was a $32.2 million increase in cash on hand during the current year to date period, resulting in a $246.5 million ending cash and restricted cash balance.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Sources and Uses of Cash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December 2022, we issued $230.0 million aggregate principal amount of 2029 Convertible Notes. In conjunction with the issuance of the 2029 Convertible Notes, we extinguished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See Note 7 of Notes to Interim Condensed Consolidated Financial Statements included in “Part I, Item 1 — Financial Statements.” The shares repurchased in conjunction with the transactions discussed above were authorized separately from, and not considered part of, the publicly announced share repurchase program referred to below.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May 3, 2022, our Board authorized the repurchase of up to $50 million of our Class A Common Stock over three years. As of June 30, 2023, we have repurchased 1,275,646 shares of our Class A Common Stock under the program for $11.0 million. Execution of the program will be responsive to fluctuating market conditions and valuations, liquidity needs and the expected return on investment compared to other opportunities.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See Note 8 of Notes to Interim Condensed Consolidated Financial Statements included in “Part I, Item 1 —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We anticipate that cash flows from operations and cash on hand will be adequate to fund ongoing operations, debt service requirements, tax payments, any future stock repurchases, strategic investments, our contractual </w:t>
      </w:r>
      <w:r>
        <w:rPr>
          <w:rFonts w:ascii="Arial Narrow;sans-serif" w:hAnsi="Arial Narrow;sans-serif"/>
          <w:b w:val="false"/>
          <w:color w:val="000000"/>
          <w:sz w:val="20"/>
          <w:shd w:fill="FFFFFF" w:val="clear"/>
        </w:rPr>
        <w:t xml:space="preserve">obligations, planned de novo store growth, capital expenditures and working capital requirements through the next twelve months. We continue to explore acquisition opportunities, both large and small, and may choose to pursue additional debt, equity or equity-linked financings in the future should the need arise. </w:t>
      </w:r>
      <w:r>
        <w:rPr>
          <w:rFonts w:ascii="Arial Narrow;sans-serif" w:hAnsi="Arial Narrow;sans-serif"/>
          <w:b w:val="false"/>
          <w:color w:val="212529"/>
          <w:sz w:val="20"/>
          <w:shd w:fill="FFFFFF" w:val="clear"/>
        </w:rPr>
        <w:t>Depending on the level of acquisition activity and other factors, our ability to repay our longer-term debt obligations, including the convertible debt maturing in 2024, 2025 and 2029, may require us to refinance these obligations through the issuance of new debt securities, equity securities, convertible securities or through new credit facilities.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Contractual Obligations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“Part II, Item 7 — Management’s Discussion and Analysis of Financial Condition and Results of Operations” of our Annual Report on Form 10-K for the year ended September 30, 2022, we reported that we had $608.0 million in total contractual obligations as of September 30, 2022. There have been no material changes to this total obligation since September 30, 2022, other than the convertible debt refinancing and lease liabilities changes as further discussed in Note 7: Debt and Note 4: Leases, respectively, of Notes to Interim Condensed Consolidated Financial Statements included in “Part I, Item 1 —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responsible for the maintenance, property taxes and insurance at most of our locations. In the fiscal year ended September 30, 2022, these collectively amounted to $15.2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Recently Adopted Accounting Policies and Recently Issued Accounting Pronouncements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reviewed all recently issued accounting pronouncements and concluded that they were either not applicable or not expected to have a material impact on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Cautionary Statement Regarding Risks and Uncertainties that May Affect Future Results</w:t>
      </w:r>
    </w:p>
    <w:p>
      <w:pPr>
        <w:pStyle w:val="TextBody"/>
        <w:bidi w:val="0"/>
        <w:spacing w:lineRule="auto" w:line="288" w:before="180" w:after="283"/>
        <w:jc w:val="left"/>
        <w:rPr/>
      </w:pPr>
      <w:r>
        <w:rPr>
          <w:rFonts w:ascii="Arial Narrow;sans-serif" w:hAnsi="Arial Narrow;sans-serif"/>
          <w:b w:val="false"/>
          <w:color w:val="000000"/>
          <w:sz w:val="20"/>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w:t>
      </w:r>
      <w:hyperlink r:id="rId7">
        <w:r>
          <w:rPr>
            <w:rStyle w:val="InternetLink"/>
            <w:rFonts w:ascii="Arial Narrow;sans-serif" w:hAnsi="Arial Narrow;sans-serif"/>
            <w:b w:val="false"/>
            <w:strike w:val="false"/>
            <w:dstrike w:val="false"/>
            <w:color w:val="000000"/>
            <w:sz w:val="20"/>
            <w:u w:val="none"/>
            <w:effect w:val="none"/>
          </w:rPr>
          <w:t>Part I, Item 1A — Risk Factors</w:t>
        </w:r>
      </w:hyperlink>
      <w:r>
        <w:rPr>
          <w:rFonts w:ascii="Arial Narrow;sans-serif" w:hAnsi="Arial Narrow;sans-serif"/>
          <w:b w:val="false"/>
          <w:color w:val="000000"/>
          <w:sz w:val="20"/>
        </w:rPr>
        <w:t>”</w:t>
      </w:r>
      <w:hyperlink r:id="rId8">
        <w:r>
          <w:rPr>
            <w:rStyle w:val="InternetLink"/>
            <w:rFonts w:ascii="Arial Narrow;sans-serif" w:hAnsi="Arial Narrow;sans-serif"/>
            <w:b w:val="false"/>
            <w:strike w:val="false"/>
            <w:dstrike w:val="false"/>
            <w:color w:val="000000"/>
            <w:sz w:val="20"/>
            <w:u w:val="none"/>
            <w:effect w:val="none"/>
          </w:rPr>
          <w:t xml:space="preserve"> of our Annual Report on Form 10-K for the year ended September 30, </w:t>
        </w:r>
      </w:hyperlink>
      <w:r>
        <w:rPr>
          <w:rFonts w:ascii="Arial Narrow;sans-serif" w:hAnsi="Arial Narrow;sans-serif"/>
          <w:b w:val="false"/>
          <w:color w:val="000000"/>
          <w:sz w:val="20"/>
        </w:rPr>
        <w:t>2022 and “Part II, Item 1A — Risk Factors” of this Report.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3. QUANTITATIVE AND QUALITATIVE DISCLOSURES ABOUT 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2022. There have been no material changes in our reported market risks or risk management policies since the filing of our Annual Report on Form 10-K for the year ended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4.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Under the supervision and with the participation of our Chief Executive Officer and Chief Financial Officer, our management evaluated the effectiveness of the design and operation of our disclosure controls and procedures as of June 30, 2023. Our principal executive officer and principal financial officer have concluded that as of June 30, 2023,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were no changes in our internal control over financial reporting during the quarter ended June 30, 2023 that have materially affected, or are reasonably likely to materially affect, our internal control over financial reporting.</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Inherent Limitations on Internal Controls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 Narrow;sans-serif" w:hAnsi="Arial Narrow;sans-serif"/>
          <w:b/>
          <w:color w:val="00497F"/>
          <w:sz w:val="28"/>
        </w:rPr>
      </w:pPr>
      <w:r>
        <w:rPr>
          <w:rFonts w:ascii="Arial Narrow;sans-serif" w:hAnsi="Arial Narrow;sans-serif"/>
          <w:b/>
          <w:color w:val="00497F"/>
          <w:sz w:val="28"/>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 LEGAL PROCEEDINGS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9: Contingencies of Notes to Interim Condensed Consolidated Financial Statements included in “Part I, 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1A. RISK FACTORS</w:t>
      </w:r>
    </w:p>
    <w:p>
      <w:pPr>
        <w:pStyle w:val="TextBody"/>
        <w:bidi w:val="0"/>
        <w:spacing w:lineRule="auto" w:line="288" w:before="180" w:after="283"/>
        <w:jc w:val="left"/>
        <w:rPr/>
      </w:pPr>
      <w:r>
        <w:rPr>
          <w:rFonts w:ascii="Arial Narrow;sans-serif" w:hAnsi="Arial Narrow;sans-serif"/>
          <w:b w:val="false"/>
          <w:color w:val="000000"/>
          <w:sz w:val="20"/>
        </w:rPr>
        <w:t>Important risk factors that could affect our operations and financial performance, or that could cause results or events to differ from current expectations, are described in “</w:t>
      </w:r>
      <w:hyperlink r:id="rId9">
        <w:r>
          <w:rPr>
            <w:rStyle w:val="InternetLink"/>
            <w:rFonts w:ascii="Arial Narrow;sans-serif" w:hAnsi="Arial Narrow;sans-serif"/>
            <w:b w:val="false"/>
            <w:strike w:val="false"/>
            <w:dstrike w:val="false"/>
            <w:color w:val="000000"/>
            <w:sz w:val="20"/>
            <w:u w:val="none"/>
            <w:effect w:val="none"/>
          </w:rPr>
          <w:t>Part I, Item 1A — Risk Factors</w:t>
        </w:r>
      </w:hyperlink>
      <w:r>
        <w:rPr>
          <w:rFonts w:ascii="Arial Narrow;sans-serif" w:hAnsi="Arial Narrow;sans-serif"/>
          <w:b w:val="false"/>
          <w:color w:val="000000"/>
          <w:sz w:val="20"/>
        </w:rPr>
        <w:t>”</w:t>
      </w:r>
      <w:hyperlink r:id="rId10">
        <w:r>
          <w:rPr>
            <w:rStyle w:val="InternetLink"/>
            <w:rFonts w:ascii="Arial Narrow;sans-serif" w:hAnsi="Arial Narrow;sans-serif"/>
            <w:b w:val="false"/>
            <w:strike w:val="false"/>
            <w:dstrike w:val="false"/>
            <w:color w:val="000000"/>
            <w:sz w:val="20"/>
            <w:u w:val="none"/>
            <w:effect w:val="none"/>
          </w:rPr>
          <w:t xml:space="preserve"> of our Annual Report on Form 10-K for the year ended September 30, </w:t>
        </w:r>
      </w:hyperlink>
      <w:r>
        <w:rPr>
          <w:rFonts w:ascii="Arial Narrow;sans-serif" w:hAnsi="Arial Narrow;sans-serif"/>
          <w:b w:val="false"/>
          <w:color w:val="000000"/>
          <w:sz w:val="20"/>
        </w:rPr>
        <w:t>2022, as supplemented by the information set forth below.</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A recent law change in Australia could adversely impact Cash Converters’ business</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 December 2022, the Australian Parliament passed the Financial Sector Reform Bill 2022, which establishes lending limits on small amount credit contracts. The bill became effective in June 2023, and could adversely impact the financial position or results of operations of Cash Converters, in which the Company has an equity investment. Cash Converters recognized a one-time, non-cash impairment expense of AUD$110.5 million against goodwill in their financial statements for the period ended December 31, 2022 and, based upon our 43.7% ownership of Cash Converters, after translation to USD, we recorded a $32.5 million equity method loss during the quarter ended March 31, 2023. A decline in the operating results of Cash Converters, if any, resulting from the change of law could adversely affect our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Unregistered Sale of Equity Security and Use of Proceeds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provides certain information about our repurchase of shares of Class A Non-voting Common Stock during the quarter ended June 30, 2023.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3"/>
        <w:gridCol w:w="398"/>
        <w:gridCol w:w="399"/>
        <w:gridCol w:w="109"/>
        <w:gridCol w:w="109"/>
        <w:gridCol w:w="109"/>
        <w:gridCol w:w="581"/>
        <w:gridCol w:w="454"/>
        <w:gridCol w:w="456"/>
        <w:gridCol w:w="109"/>
        <w:gridCol w:w="109"/>
        <w:gridCol w:w="109"/>
        <w:gridCol w:w="109"/>
        <w:gridCol w:w="109"/>
        <w:gridCol w:w="295"/>
        <w:gridCol w:w="703"/>
        <w:gridCol w:w="164"/>
        <w:gridCol w:w="109"/>
        <w:gridCol w:w="109"/>
        <w:gridCol w:w="109"/>
        <w:gridCol w:w="823"/>
        <w:gridCol w:w="726"/>
        <w:gridCol w:w="728"/>
        <w:gridCol w:w="109"/>
        <w:gridCol w:w="109"/>
        <w:gridCol w:w="109"/>
        <w:gridCol w:w="488"/>
        <w:gridCol w:w="1615"/>
        <w:gridCol w:w="396"/>
      </w:tblGrid>
      <w:tr>
        <w:trPr/>
        <w:tc>
          <w:tcPr>
            <w:tcW w:w="45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 Repurchases</w:t>
            </w:r>
          </w:p>
        </w:tc>
        <w:tc>
          <w:tcPr>
            <w:tcW w:w="2826" w:type="dxa"/>
            <w:gridSpan w:val="6"/>
            <w:tcBorders/>
          </w:tcPr>
          <w:p>
            <w:pPr>
              <w:pStyle w:val="TableContents"/>
              <w:bidi w:val="0"/>
              <w:spacing w:before="0" w:after="283"/>
              <w:jc w:val="left"/>
              <w:rPr>
                <w:sz w:val="4"/>
                <w:szCs w:val="4"/>
              </w:rPr>
            </w:pPr>
            <w:r>
              <w:rPr>
                <w:sz w:val="4"/>
                <w:szCs w:val="4"/>
              </w:rPr>
            </w:r>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 xml:space="preserve">Total Number of Shares Purchased </w:t>
            </w:r>
            <w:r>
              <w:rPr>
                <w:rFonts w:ascii="Arial Narrow;sans-serif" w:hAnsi="Arial Narrow;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 as Part of Publicly Announced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 xml:space="preserve">Approximate Dollar Value of Shares That May Yet Be Purchased Under the Programs </w:t>
            </w:r>
            <w:r>
              <w:rPr>
                <w:rFonts w:ascii="Arial Narrow;sans-serif" w:hAnsi="Arial Narrow;sans-serif"/>
                <w:b/>
                <w:color w:val="000000"/>
                <w:sz w:val="12"/>
              </w:rPr>
              <w:t>(1)</w:t>
            </w:r>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2"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(in thousands, except number of shares and average price information)</w:t>
            </w:r>
          </w:p>
        </w:tc>
        <w:tc>
          <w:tcPr>
            <w:tcW w:w="2826" w:type="dxa"/>
            <w:gridSpan w:val="6"/>
            <w:tcBorders/>
          </w:tcPr>
          <w:p>
            <w:pPr>
              <w:pStyle w:val="TableContents"/>
              <w:bidi w:val="0"/>
              <w:spacing w:before="0" w:after="283"/>
              <w:jc w:val="left"/>
              <w:rPr>
                <w:sz w:val="4"/>
                <w:szCs w:val="4"/>
              </w:rPr>
            </w:pPr>
            <w:r>
              <w:rPr>
                <w:sz w:val="4"/>
                <w:szCs w:val="4"/>
              </w:rPr>
            </w:r>
          </w:p>
        </w:tc>
      </w:tr>
      <w:tr>
        <w:trPr/>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April 1, 2023 through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113,211 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113,211 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41,003 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May 1, 2023 through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102,225 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102,225 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40,110 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June 1, 2023 through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130,874 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130,874 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39,003 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Quarter ended 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346,310 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346,310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39,003 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
        <w:gridCol w:w="118"/>
        <w:gridCol w:w="109"/>
        <w:gridCol w:w="2880"/>
        <w:gridCol w:w="2880"/>
        <w:gridCol w:w="4085"/>
      </w:tblGrid>
      <w:tr>
        <w:trPr/>
        <w:tc>
          <w:tcPr>
            <w:tcW w:w="1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On May 3, 2022, the Board of Directors approved a share repurchase program, under which we are authorized to repurchase up to $50 million of our Class A Non-Voting common shares over a three-year period. All repurchases under this program were in open market transactions at prevailing market prices and were executed pursuant to a trading plan under Rule 10b5-1 under the Securities Exchange Act of 1934. Execution of the program will be responsive to fluctuating market conditions and valuations, liquidity needs and the expected return on investment compared to other opportunities.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5. Other Information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Insider Trading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May 25, 2023, Matthew Appel, Director, entered into a prearranged trading plan to sell up to 53,303 shares of the Company’s Class A Non-Voting Common Stock between August 23, 2023 and August 30, 2024 pursuant to the terms of the plan. The plan is designed to satisfy the affirmative defense conditions of Rule 10b5-1(c) under the Exchange Act and comply with the Company’s policies regarding stock transactions.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On May 23, 2023, Nicole Swies, Chief Revenue Officer, entered into a prearranged trading plan to sell up to 9,000 shares of the Company’s Class A Non-Voting Common Stock between August 22, 2023 and April 1, 2024 pursuant to the terms of the plan. The plan is designed to satisfy the affirmative defense conditions of Rule 10b5-1(c) under the Exchange Act and comply with the Company’s policies regarding stock transactions.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Other than as described above, no Director or Executive Officer adopted, modified or terminated any contract, instruction, written plan or other trading arrangement relating to the purchase or sale of Company securities during the fiscal quarter ended June 30, 2023.</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left"/>
        <w:rPr>
          <w:rFonts w:ascii="Arial Narrow;sans-serif" w:hAnsi="Arial Narrow;sans-serif"/>
          <w:b/>
          <w:color w:val="00497F"/>
          <w:sz w:val="28"/>
        </w:rPr>
      </w:pPr>
      <w:r>
        <w:rPr>
          <w:rFonts w:ascii="Arial Narrow;sans-serif" w:hAnsi="Arial Narrow;sans-serif"/>
          <w:b/>
          <w:color w:val="00497F"/>
          <w:sz w:val="28"/>
        </w:rPr>
        <w:t>ITEM 6. EXHIBITS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exhibits are filed with, or incorporated by reference into, this report.</w:t>
      </w:r>
    </w:p>
    <w:tbl>
      <w:tblPr>
        <w:tblW w:w="10205" w:type="dxa"/>
        <w:jc w:val="left"/>
        <w:tblInd w:w="0" w:type="dxa"/>
        <w:tblLayout w:type="fixed"/>
        <w:tblCellMar>
          <w:top w:w="28" w:type="dxa"/>
          <w:left w:w="28" w:type="dxa"/>
          <w:bottom w:w="28" w:type="dxa"/>
          <w:right w:w="28" w:type="dxa"/>
        </w:tblCellMar>
      </w:tblPr>
      <w:tblGrid>
        <w:gridCol w:w="238"/>
        <w:gridCol w:w="209"/>
        <w:gridCol w:w="210"/>
        <w:gridCol w:w="1906"/>
        <w:gridCol w:w="1890"/>
        <w:gridCol w:w="1897"/>
        <w:gridCol w:w="109"/>
        <w:gridCol w:w="109"/>
        <w:gridCol w:w="109"/>
        <w:gridCol w:w="160"/>
        <w:gridCol w:w="160"/>
        <w:gridCol w:w="161"/>
        <w:gridCol w:w="176"/>
        <w:gridCol w:w="158"/>
        <w:gridCol w:w="158"/>
        <w:gridCol w:w="200"/>
        <w:gridCol w:w="200"/>
        <w:gridCol w:w="201"/>
        <w:gridCol w:w="223"/>
        <w:gridCol w:w="223"/>
        <w:gridCol w:w="225"/>
        <w:gridCol w:w="109"/>
        <w:gridCol w:w="109"/>
        <w:gridCol w:w="109"/>
        <w:gridCol w:w="277"/>
        <w:gridCol w:w="277"/>
        <w:gridCol w:w="402"/>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Filed Herewith</w:t>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5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Form</w:t>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 No.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31.1</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q310xqex311.htm">
              <w:r>
                <w:rPr>
                  <w:rStyle w:val="InternetLink"/>
                  <w:rFonts w:ascii="Arial Narrow;sans-serif" w:hAnsi="Arial Narrow;sans-serif"/>
                  <w:b w:val="false"/>
                  <w:color w:val="0000FF"/>
                  <w:sz w:val="18"/>
                  <w:u w:val="single"/>
                </w:rPr>
                <w:t>Certification of Principal Executive Officer, pursuant to Rule 13a-14(a) under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31.2</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q310xqex312.htm">
              <w:r>
                <w:rPr>
                  <w:rStyle w:val="InternetLink"/>
                  <w:rFonts w:ascii="Arial Narrow;sans-serif" w:hAnsi="Arial Narrow;sans-serif"/>
                  <w:b w:val="false"/>
                  <w:color w:val="0000FF"/>
                  <w:sz w:val="18"/>
                  <w:u w:val="single"/>
                </w:rPr>
                <w:t>Certification of Principal Financial Officer, pursuant to Rule 13a-14(a) under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32.1†</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q310xqex321.htm">
              <w:r>
                <w:rPr>
                  <w:rStyle w:val="InternetLink"/>
                  <w:rFonts w:ascii="Arial Narrow;sans-serif" w:hAnsi="Arial Narrow;sans-serif"/>
                  <w:b w:val="false"/>
                  <w:color w:val="0000FF"/>
                  <w:sz w:val="18"/>
                  <w:u w:val="single"/>
                </w:rPr>
                <w:t>Certifications of Principal Executive Officer and Principal Financial Officer, pursuant to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101.INS</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(the instance document does not appear in the interactive data files because the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101.SCH</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101.CAL</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101.DEF</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101.LAB</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101.PRE</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in Inline XBRL format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0f6da168fb04b03a384684fe01dd78d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tbl>
      <w:tblPr>
        <w:tblW w:w="3836" w:type="dxa"/>
        <w:jc w:val="left"/>
        <w:tblInd w:w="0" w:type="dxa"/>
        <w:tblLayout w:type="fixed"/>
        <w:tblCellMar>
          <w:top w:w="28" w:type="dxa"/>
          <w:left w:w="28" w:type="dxa"/>
          <w:bottom w:w="28" w:type="dxa"/>
          <w:right w:w="28" w:type="dxa"/>
        </w:tblCellMar>
      </w:tblPr>
      <w:tblGrid>
        <w:gridCol w:w="184"/>
        <w:gridCol w:w="162"/>
        <w:gridCol w:w="164"/>
        <w:gridCol w:w="394"/>
        <w:gridCol w:w="394"/>
        <w:gridCol w:w="396"/>
        <w:gridCol w:w="109"/>
        <w:gridCol w:w="109"/>
        <w:gridCol w:w="109"/>
        <w:gridCol w:w="531"/>
        <w:gridCol w:w="531"/>
        <w:gridCol w:w="753"/>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EZCORP,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Date: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Timothy K. Jugmans</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br/>
              <w:t xml:space="preserve">Chief Financial Officer </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of Lachlan P. Given, Chief Executive Officer,</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Lachlan P. Given, certify that: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EZCORP, Inc.;</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2, 2023 </w:t>
      </w:r>
    </w:p>
    <w:p>
      <w:pPr>
        <w:pStyle w:val="TextBody"/>
        <w:bidi w:val="0"/>
        <w:spacing w:before="120" w:after="283"/>
        <w:jc w:val="left"/>
        <w:rPr/>
      </w:pPr>
      <w:r>
        <w:rPr/>
      </w:r>
    </w:p>
    <w:tbl>
      <w:tblPr>
        <w:tblW w:w="2405" w:type="dxa"/>
        <w:jc w:val="left"/>
        <w:tblInd w:w="0" w:type="dxa"/>
        <w:tblLayout w:type="fixed"/>
        <w:tblCellMar>
          <w:top w:w="28" w:type="dxa"/>
          <w:left w:w="28" w:type="dxa"/>
          <w:bottom w:w="28" w:type="dxa"/>
          <w:right w:w="28" w:type="dxa"/>
        </w:tblCellMar>
      </w:tblPr>
      <w:tblGrid>
        <w:gridCol w:w="124"/>
        <w:gridCol w:w="109"/>
        <w:gridCol w:w="109"/>
        <w:gridCol w:w="219"/>
        <w:gridCol w:w="219"/>
        <w:gridCol w:w="219"/>
        <w:gridCol w:w="219"/>
        <w:gridCol w:w="219"/>
        <w:gridCol w:w="219"/>
        <w:gridCol w:w="219"/>
        <w:gridCol w:w="219"/>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of Timothy K. Jugmans, Chief Financial Officer,</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Timothy K. Jugmans, certify that: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EZCORP, Inc.;</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2, 2023 </w:t>
      </w:r>
    </w:p>
    <w:p>
      <w:pPr>
        <w:pStyle w:val="TextBody"/>
        <w:bidi w:val="0"/>
        <w:spacing w:before="120" w:after="283"/>
        <w:jc w:val="left"/>
        <w:rPr/>
      </w:pPr>
      <w:r>
        <w:rPr/>
      </w:r>
    </w:p>
    <w:tbl>
      <w:tblPr>
        <w:tblW w:w="2412"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220"/>
        <w:gridCol w:w="220"/>
        <w:gridCol w:w="220"/>
        <w:gridCol w:w="220"/>
        <w:gridCol w:w="220"/>
        <w:gridCol w:w="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Lachlan P. Given, Chief Executive Officer, and Timothy K. Jugmans, Chief Financial Officer,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 Section 906 of the Sarbanes-Oxley Act of 2002</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officers of EZCORP, Inc. hereby certify that (a) EZCORP’s Quarterly Report on Form 10-Q for the quarter ended June 30, 2023,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pStyle w:val="TextBody"/>
        <w:bidi w:val="0"/>
        <w:spacing w:before="120" w:after="283"/>
        <w:jc w:val="left"/>
        <w:rPr/>
      </w:pPr>
      <w:r>
        <w:rPr/>
      </w:r>
    </w:p>
    <w:p>
      <w:pPr>
        <w:pStyle w:val="TextBody"/>
        <w:bidi w:val="0"/>
        <w:spacing w:before="120" w:after="283"/>
        <w:jc w:val="left"/>
        <w:rPr/>
      </w:pPr>
      <w:r>
        <w:rPr/>
      </w:r>
    </w:p>
    <w:tbl>
      <w:tblPr>
        <w:tblW w:w="3952" w:type="dxa"/>
        <w:jc w:val="left"/>
        <w:tblInd w:w="0" w:type="dxa"/>
        <w:tblLayout w:type="fixed"/>
        <w:tblCellMar>
          <w:top w:w="28" w:type="dxa"/>
          <w:left w:w="28" w:type="dxa"/>
          <w:bottom w:w="28" w:type="dxa"/>
          <w:right w:w="28" w:type="dxa"/>
        </w:tblCellMar>
      </w:tblPr>
      <w:tblGrid>
        <w:gridCol w:w="683"/>
        <w:gridCol w:w="601"/>
        <w:gridCol w:w="605"/>
        <w:gridCol w:w="219"/>
        <w:gridCol w:w="219"/>
        <w:gridCol w:w="219"/>
        <w:gridCol w:w="219"/>
        <w:gridCol w:w="219"/>
        <w:gridCol w:w="219"/>
        <w:gridCol w:w="219"/>
        <w:gridCol w:w="219"/>
        <w:gridCol w:w="31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2, 2023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Lachlan P. Given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Lachlan P. Given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00" w:after="283"/>
        <w:jc w:val="left"/>
        <w:rPr/>
      </w:pPr>
      <w:r>
        <w:rPr/>
      </w:r>
    </w:p>
    <w:tbl>
      <w:tblPr>
        <w:tblW w:w="4019" w:type="dxa"/>
        <w:jc w:val="left"/>
        <w:tblInd w:w="0" w:type="dxa"/>
        <w:tblLayout w:type="fixed"/>
        <w:tblCellMar>
          <w:top w:w="28" w:type="dxa"/>
          <w:left w:w="28" w:type="dxa"/>
          <w:bottom w:w="28" w:type="dxa"/>
          <w:right w:w="28" w:type="dxa"/>
        </w:tblCellMar>
      </w:tblPr>
      <w:tblGrid>
        <w:gridCol w:w="706"/>
        <w:gridCol w:w="620"/>
        <w:gridCol w:w="623"/>
        <w:gridCol w:w="220"/>
        <w:gridCol w:w="220"/>
        <w:gridCol w:w="220"/>
        <w:gridCol w:w="220"/>
        <w:gridCol w:w="220"/>
        <w:gridCol w:w="220"/>
        <w:gridCol w:w="220"/>
        <w:gridCol w:w="220"/>
        <w:gridCol w:w="310"/>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Date: August 2, 2023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876523/000087652321000068/ezpw-20210930.htm" TargetMode="External"/><Relationship Id="rId4" Type="http://schemas.openxmlformats.org/officeDocument/2006/relationships/hyperlink" Target="http://www.sec.gov/ix?doc=/Archives/edgar/data/876523/000087652321000068/ezpw-20210930.htm" TargetMode="Externa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yperlink" Target="http://www.sec.gov/ix?doc=/Archives/edgar/data/876523/000087652321000068/ezpw-20210930.htm" TargetMode="External"/><Relationship Id="rId8" Type="http://schemas.openxmlformats.org/officeDocument/2006/relationships/hyperlink" Target="http://www.sec.gov/ix?doc=/Archives/edgar/data/876523/000087652321000068/ezpw-20210930.htm" TargetMode="External"/><Relationship Id="rId9" Type="http://schemas.openxmlformats.org/officeDocument/2006/relationships/hyperlink" Target="http://www.sec.gov/ix?doc=/Archives/edgar/data/876523/000087652321000068/ezpw-20210930.htm" TargetMode="External"/><Relationship Id="rId10" Type="http://schemas.openxmlformats.org/officeDocument/2006/relationships/hyperlink" Target="http://www.sec.gov/ix?doc=/Archives/edgar/data/876523/000087652321000068/ezpw-20210930.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18591</Words>
  <Characters>102054</Characters>
  <CharactersWithSpaces>118954</CharactersWithSpaces>
  <Paragraphs>3907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