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w:t>
      </w:r>
      <w:r>
        <w:rPr>
          <w:rFonts w:ascii="Arial" w:cs="Arial" w:eastAsia="Arial" w:hAnsi="Arial"/>
          <w:sz w:val="19"/>
          <w:szCs w:val="19"/>
          <w:b w:val="1"/>
          <w:bCs w:val="1"/>
          <w:color w:val="auto"/>
        </w:rPr>
        <w:t>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90" w:lineRule="exact"/>
        <w:rPr>
          <w:sz w:val="24"/>
          <w:szCs w:val="24"/>
          <w:color w:val="auto"/>
        </w:rPr>
      </w:pPr>
    </w:p>
    <w:p>
      <w:pPr>
        <w:ind w:left="660" w:right="1780" w:hanging="402"/>
        <w:spacing w:after="0" w:line="283" w:lineRule="auto"/>
        <w:tabs>
          <w:tab w:leader="none" w:pos="849"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0" w:lineRule="exact"/>
        <w:rPr>
          <w:sz w:val="24"/>
          <w:szCs w:val="24"/>
          <w:color w:val="auto"/>
        </w:rPr>
      </w:pPr>
    </w:p>
    <w:p>
      <w:pPr>
        <w:ind w:left="840" w:hanging="542"/>
        <w:spacing w:after="0"/>
        <w:tabs>
          <w:tab w:leader="none" w:pos="8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3"/>
        </w:trPr>
        <w:tc>
          <w:tcPr>
            <w:tcW w:w="3020" w:type="dxa"/>
            <w:vAlign w:val="bottom"/>
          </w:tcPr>
          <w:p>
            <w:pPr>
              <w:ind w:left="660"/>
              <w:spacing w:after="0" w:line="202" w:lineRule="exact"/>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2080" w:type="dxa"/>
            <w:vAlign w:val="bottom"/>
            <w:gridSpan w:val="3"/>
          </w:tcPr>
          <w:p>
            <w:pPr>
              <w:spacing w:after="0"/>
              <w:rPr>
                <w:sz w:val="17"/>
                <w:szCs w:val="17"/>
                <w:color w:val="auto"/>
              </w:rPr>
            </w:pPr>
          </w:p>
        </w:tc>
        <w:tc>
          <w:tcPr>
            <w:tcW w:w="4280" w:type="dxa"/>
            <w:vAlign w:val="bottom"/>
          </w:tcPr>
          <w:p>
            <w:pPr>
              <w:spacing w:after="0"/>
              <w:rPr>
                <w:sz w:val="17"/>
                <w:szCs w:val="17"/>
                <w:color w:val="auto"/>
              </w:rPr>
            </w:pPr>
          </w:p>
        </w:tc>
      </w:tr>
      <w:tr>
        <w:trPr>
          <w:trHeight w:val="399"/>
        </w:trPr>
        <w:tc>
          <w:tcPr>
            <w:tcW w:w="3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4"/>
          </w:tcPr>
          <w:p>
            <w:pPr>
              <w:jc w:val="center"/>
              <w:ind w:left="3"/>
              <w:spacing w:after="0"/>
              <w:rPr>
                <w:sz w:val="20"/>
                <w:szCs w:val="20"/>
                <w:color w:val="auto"/>
              </w:rPr>
            </w:pPr>
            <w:r>
              <w:rPr>
                <w:rFonts w:ascii="Arial" w:cs="Arial" w:eastAsia="Arial" w:hAnsi="Arial"/>
                <w:sz w:val="18"/>
                <w:szCs w:val="18"/>
                <w:b w:val="1"/>
                <w:bCs w:val="1"/>
                <w:color w:val="auto"/>
                <w:w w:val="89"/>
              </w:rPr>
              <w:t>Commission File No. 000-19424</w:t>
            </w:r>
          </w:p>
        </w:tc>
        <w:tc>
          <w:tcPr>
            <w:tcW w:w="4280" w:type="dxa"/>
            <w:vAlign w:val="bottom"/>
          </w:tcPr>
          <w:p>
            <w:pPr>
              <w:spacing w:after="0"/>
              <w:rPr>
                <w:sz w:val="24"/>
                <w:szCs w:val="24"/>
                <w:color w:val="auto"/>
              </w:rPr>
            </w:pPr>
          </w:p>
        </w:tc>
      </w:tr>
      <w:tr>
        <w:trPr>
          <w:trHeight w:val="382"/>
        </w:trPr>
        <w:tc>
          <w:tcPr>
            <w:tcW w:w="3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4"/>
          </w:tcPr>
          <w:p>
            <w:pPr>
              <w:jc w:val="center"/>
              <w:ind w:left="23"/>
              <w:spacing w:after="0"/>
              <w:rPr>
                <w:sz w:val="20"/>
                <w:szCs w:val="20"/>
                <w:color w:val="auto"/>
              </w:rPr>
            </w:pPr>
            <w:r>
              <w:rPr>
                <w:rFonts w:ascii="Arial" w:cs="Arial" w:eastAsia="Arial" w:hAnsi="Arial"/>
                <w:sz w:val="29"/>
                <w:szCs w:val="29"/>
                <w:b w:val="1"/>
                <w:bCs w:val="1"/>
                <w:color w:val="auto"/>
                <w:w w:val="98"/>
              </w:rPr>
              <w:t>EZCORP, INC.</w:t>
            </w:r>
          </w:p>
        </w:tc>
        <w:tc>
          <w:tcPr>
            <w:tcW w:w="4280" w:type="dxa"/>
            <w:vAlign w:val="bottom"/>
          </w:tcPr>
          <w:p>
            <w:pPr>
              <w:spacing w:after="0"/>
              <w:rPr>
                <w:sz w:val="24"/>
                <w:szCs w:val="24"/>
                <w:color w:val="auto"/>
              </w:rPr>
            </w:pPr>
          </w:p>
        </w:tc>
      </w:tr>
      <w:tr>
        <w:trPr>
          <w:trHeight w:val="206"/>
        </w:trPr>
        <w:tc>
          <w:tcPr>
            <w:tcW w:w="3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500" w:type="dxa"/>
            <w:vAlign w:val="bottom"/>
            <w:gridSpan w:val="6"/>
          </w:tcPr>
          <w:p>
            <w:pPr>
              <w:jc w:val="center"/>
              <w:ind w:right="3838"/>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51"/>
        </w:trPr>
        <w:tc>
          <w:tcPr>
            <w:tcW w:w="3020" w:type="dxa"/>
            <w:vAlign w:val="bottom"/>
          </w:tcPr>
          <w:p>
            <w:pPr>
              <w:jc w:val="center"/>
              <w:ind w:left="2276"/>
              <w:spacing w:after="0"/>
              <w:rPr>
                <w:sz w:val="20"/>
                <w:szCs w:val="20"/>
                <w:color w:val="auto"/>
              </w:rPr>
            </w:pPr>
            <w:r>
              <w:rPr>
                <w:rFonts w:ascii="Arial" w:cs="Arial" w:eastAsia="Arial" w:hAnsi="Arial"/>
                <w:sz w:val="16"/>
                <w:szCs w:val="16"/>
                <w:b w:val="1"/>
                <w:bCs w:val="1"/>
                <w:color w:val="auto"/>
                <w:w w:val="93"/>
              </w:rPr>
              <w:t>Delaware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jc w:val="center"/>
              <w:ind w:right="1098"/>
              <w:spacing w:after="0"/>
              <w:rPr>
                <w:sz w:val="20"/>
                <w:szCs w:val="20"/>
                <w:color w:val="auto"/>
              </w:rPr>
            </w:pPr>
            <w:r>
              <w:rPr>
                <w:rFonts w:ascii="Arial" w:cs="Arial" w:eastAsia="Arial" w:hAnsi="Arial"/>
                <w:sz w:val="16"/>
                <w:szCs w:val="16"/>
                <w:b w:val="1"/>
                <w:bCs w:val="1"/>
                <w:color w:val="auto"/>
                <w:w w:val="91"/>
              </w:rPr>
              <w:t>74-2540145</w:t>
            </w:r>
          </w:p>
        </w:tc>
      </w:tr>
      <w:tr>
        <w:trPr>
          <w:trHeight w:val="257"/>
        </w:trPr>
        <w:tc>
          <w:tcPr>
            <w:tcW w:w="7140" w:type="dxa"/>
            <w:vAlign w:val="bottom"/>
            <w:gridSpan w:val="7"/>
          </w:tcPr>
          <w:p>
            <w:pPr>
              <w:jc w:val="center"/>
              <w:ind w:right="174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4280" w:type="dxa"/>
            <w:vAlign w:val="bottom"/>
          </w:tcPr>
          <w:p>
            <w:pPr>
              <w:jc w:val="center"/>
              <w:ind w:right="1118"/>
              <w:spacing w:after="0"/>
              <w:rPr>
                <w:sz w:val="20"/>
                <w:szCs w:val="20"/>
                <w:color w:val="auto"/>
              </w:rPr>
            </w:pPr>
            <w:r>
              <w:rPr>
                <w:rFonts w:ascii="Arial" w:cs="Arial" w:eastAsia="Arial" w:hAnsi="Arial"/>
                <w:sz w:val="16"/>
                <w:szCs w:val="16"/>
                <w:color w:val="auto"/>
                <w:w w:val="95"/>
              </w:rPr>
              <w:t>(I.R.S. Employer Identification No.)</w:t>
            </w:r>
          </w:p>
        </w:tc>
      </w:tr>
      <w:tr>
        <w:trPr>
          <w:trHeight w:val="465"/>
        </w:trPr>
        <w:tc>
          <w:tcPr>
            <w:tcW w:w="7140" w:type="dxa"/>
            <w:vAlign w:val="bottom"/>
            <w:gridSpan w:val="7"/>
          </w:tcPr>
          <w:p>
            <w:pPr>
              <w:jc w:val="center"/>
              <w:ind w:right="1760"/>
              <w:spacing w:after="0"/>
              <w:rPr>
                <w:sz w:val="20"/>
                <w:szCs w:val="20"/>
                <w:color w:val="auto"/>
              </w:rPr>
            </w:pPr>
            <w:r>
              <w:rPr>
                <w:rFonts w:ascii="Arial" w:cs="Arial" w:eastAsia="Arial" w:hAnsi="Arial"/>
                <w:sz w:val="18"/>
                <w:szCs w:val="18"/>
                <w:b w:val="1"/>
                <w:bCs w:val="1"/>
                <w:color w:val="auto"/>
                <w:w w:val="90"/>
              </w:rPr>
              <w:t>1901 Capital Parkway, Austin, Texas</w:t>
            </w:r>
          </w:p>
        </w:tc>
        <w:tc>
          <w:tcPr>
            <w:tcW w:w="4280" w:type="dxa"/>
            <w:vAlign w:val="bottom"/>
          </w:tcPr>
          <w:p>
            <w:pPr>
              <w:jc w:val="right"/>
              <w:ind w:right="2458"/>
              <w:spacing w:after="0"/>
              <w:rPr>
                <w:sz w:val="20"/>
                <w:szCs w:val="20"/>
                <w:color w:val="auto"/>
              </w:rPr>
            </w:pPr>
            <w:r>
              <w:rPr>
                <w:rFonts w:ascii="Arial" w:cs="Arial" w:eastAsia="Arial" w:hAnsi="Arial"/>
                <w:sz w:val="18"/>
                <w:szCs w:val="18"/>
                <w:b w:val="1"/>
                <w:bCs w:val="1"/>
                <w:color w:val="auto"/>
              </w:rPr>
              <w:t>78746</w:t>
            </w:r>
          </w:p>
        </w:tc>
      </w:tr>
      <w:tr>
        <w:trPr>
          <w:trHeight w:val="251"/>
        </w:trPr>
        <w:tc>
          <w:tcPr>
            <w:tcW w:w="7140" w:type="dxa"/>
            <w:vAlign w:val="bottom"/>
            <w:gridSpan w:val="7"/>
          </w:tcPr>
          <w:p>
            <w:pPr>
              <w:jc w:val="center"/>
              <w:ind w:right="1740"/>
              <w:spacing w:after="0"/>
              <w:rPr>
                <w:sz w:val="20"/>
                <w:szCs w:val="20"/>
                <w:color w:val="auto"/>
              </w:rPr>
            </w:pPr>
            <w:r>
              <w:rPr>
                <w:rFonts w:ascii="Arial" w:cs="Arial" w:eastAsia="Arial" w:hAnsi="Arial"/>
                <w:sz w:val="16"/>
                <w:szCs w:val="16"/>
                <w:color w:val="auto"/>
                <w:w w:val="93"/>
              </w:rPr>
              <w:t>(Address of principal executive offices)</w:t>
            </w:r>
          </w:p>
        </w:tc>
        <w:tc>
          <w:tcPr>
            <w:tcW w:w="4280" w:type="dxa"/>
            <w:vAlign w:val="bottom"/>
          </w:tcPr>
          <w:p>
            <w:pPr>
              <w:jc w:val="center"/>
              <w:ind w:right="1118"/>
              <w:spacing w:after="0"/>
              <w:rPr>
                <w:sz w:val="20"/>
                <w:szCs w:val="20"/>
                <w:color w:val="auto"/>
              </w:rPr>
            </w:pPr>
            <w:r>
              <w:rPr>
                <w:rFonts w:ascii="Arial" w:cs="Arial" w:eastAsia="Arial" w:hAnsi="Arial"/>
                <w:sz w:val="16"/>
                <w:szCs w:val="16"/>
                <w:color w:val="auto"/>
                <w:w w:val="95"/>
              </w:rPr>
              <w:t>(Zip Code)</w:t>
            </w:r>
          </w:p>
        </w:tc>
      </w:tr>
      <w:tr>
        <w:trPr>
          <w:trHeight w:val="303"/>
        </w:trPr>
        <w:tc>
          <w:tcPr>
            <w:tcW w:w="3020" w:type="dxa"/>
            <w:vAlign w:val="bottom"/>
          </w:tcPr>
          <w:p>
            <w:pPr>
              <w:spacing w:after="0"/>
              <w:rPr>
                <w:sz w:val="24"/>
                <w:szCs w:val="24"/>
                <w:color w:val="auto"/>
              </w:rPr>
            </w:pPr>
          </w:p>
        </w:tc>
        <w:tc>
          <w:tcPr>
            <w:tcW w:w="8400" w:type="dxa"/>
            <w:vAlign w:val="bottom"/>
            <w:gridSpan w:val="7"/>
          </w:tcPr>
          <w:p>
            <w:pPr>
              <w:jc w:val="center"/>
              <w:ind w:right="2938"/>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8"/>
                <w:szCs w:val="18"/>
                <w:color w:val="auto"/>
                <w:w w:val="91"/>
              </w:rPr>
              <w:t>(</w:t>
            </w:r>
            <w:r>
              <w:rPr>
                <w:rFonts w:ascii="Arial" w:cs="Arial" w:eastAsia="Arial" w:hAnsi="Arial"/>
                <w:sz w:val="18"/>
                <w:szCs w:val="18"/>
                <w:b w:val="1"/>
                <w:bCs w:val="1"/>
                <w:color w:val="auto"/>
                <w:w w:val="91"/>
              </w:rPr>
              <w:t>512) 314-3400</w:t>
            </w:r>
          </w:p>
        </w:tc>
      </w:tr>
      <w:tr>
        <w:trPr>
          <w:trHeight w:val="251"/>
        </w:trPr>
        <w:tc>
          <w:tcPr>
            <w:tcW w:w="3020" w:type="dxa"/>
            <w:vAlign w:val="bottom"/>
          </w:tcPr>
          <w:p>
            <w:pPr>
              <w:spacing w:after="0"/>
              <w:rPr>
                <w:sz w:val="21"/>
                <w:szCs w:val="21"/>
                <w:color w:val="auto"/>
              </w:rPr>
            </w:pPr>
          </w:p>
        </w:tc>
        <w:tc>
          <w:tcPr>
            <w:tcW w:w="8400" w:type="dxa"/>
            <w:vAlign w:val="bottom"/>
            <w:gridSpan w:val="7"/>
          </w:tcPr>
          <w:p>
            <w:pPr>
              <w:jc w:val="center"/>
              <w:ind w:right="2918"/>
              <w:spacing w:after="0"/>
              <w:rPr>
                <w:sz w:val="20"/>
                <w:szCs w:val="20"/>
                <w:color w:val="auto"/>
              </w:rPr>
            </w:pPr>
            <w:r>
              <w:rPr>
                <w:rFonts w:ascii="Arial" w:cs="Arial" w:eastAsia="Arial" w:hAnsi="Arial"/>
                <w:sz w:val="16"/>
                <w:szCs w:val="16"/>
                <w:color w:val="auto"/>
                <w:w w:val="91"/>
              </w:rPr>
              <w:t>Securities Registered Pursuant to Section 12(b) of the Act</w:t>
            </w:r>
          </w:p>
        </w:tc>
      </w:tr>
      <w:tr>
        <w:trPr>
          <w:trHeight w:val="351"/>
        </w:trPr>
        <w:tc>
          <w:tcPr>
            <w:tcW w:w="7140" w:type="dxa"/>
            <w:vAlign w:val="bottom"/>
            <w:gridSpan w:val="7"/>
          </w:tcPr>
          <w:p>
            <w:pPr>
              <w:ind w:left="2420"/>
              <w:spacing w:after="0"/>
              <w:rPr>
                <w:sz w:val="20"/>
                <w:szCs w:val="20"/>
                <w:color w:val="auto"/>
              </w:rPr>
            </w:pPr>
            <w:r>
              <w:rPr>
                <w:rFonts w:ascii="Arial" w:cs="Arial" w:eastAsia="Arial" w:hAnsi="Arial"/>
                <w:sz w:val="16"/>
                <w:szCs w:val="16"/>
                <w:color w:val="auto"/>
              </w:rPr>
              <w:t>Title of Each Class</w:t>
            </w:r>
          </w:p>
        </w:tc>
        <w:tc>
          <w:tcPr>
            <w:tcW w:w="4280" w:type="dxa"/>
            <w:vAlign w:val="bottom"/>
          </w:tcPr>
          <w:p>
            <w:pPr>
              <w:jc w:val="center"/>
              <w:ind w:right="778"/>
              <w:spacing w:after="0"/>
              <w:rPr>
                <w:sz w:val="20"/>
                <w:szCs w:val="20"/>
                <w:color w:val="auto"/>
              </w:rPr>
            </w:pPr>
            <w:r>
              <w:rPr>
                <w:rFonts w:ascii="Arial" w:cs="Arial" w:eastAsia="Arial" w:hAnsi="Arial"/>
                <w:sz w:val="16"/>
                <w:szCs w:val="16"/>
                <w:color w:val="auto"/>
                <w:w w:val="91"/>
              </w:rPr>
              <w:t>Name of Each Exchange on Which Registered</w:t>
            </w:r>
          </w:p>
        </w:tc>
      </w:tr>
      <w:tr>
        <w:trPr>
          <w:trHeight w:val="33"/>
        </w:trPr>
        <w:tc>
          <w:tcPr>
            <w:tcW w:w="3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17"/>
        </w:trPr>
        <w:tc>
          <w:tcPr>
            <w:tcW w:w="7140" w:type="dxa"/>
            <w:vAlign w:val="bottom"/>
            <w:gridSpan w:val="7"/>
          </w:tcPr>
          <w:p>
            <w:pPr>
              <w:ind w:left="40"/>
              <w:spacing w:after="0"/>
              <w:rPr>
                <w:sz w:val="20"/>
                <w:szCs w:val="20"/>
                <w:color w:val="auto"/>
              </w:rPr>
            </w:pPr>
            <w:r>
              <w:rPr>
                <w:rFonts w:ascii="Arial" w:cs="Arial" w:eastAsia="Arial" w:hAnsi="Arial"/>
                <w:sz w:val="16"/>
                <w:szCs w:val="16"/>
                <w:b w:val="1"/>
                <w:bCs w:val="1"/>
                <w:color w:val="auto"/>
              </w:rPr>
              <w:t>Class A Non-voting Common Stock, $.01 par value per share</w:t>
            </w:r>
          </w:p>
        </w:tc>
        <w:tc>
          <w:tcPr>
            <w:tcW w:w="4280" w:type="dxa"/>
            <w:vAlign w:val="bottom"/>
          </w:tcPr>
          <w:p>
            <w:pPr>
              <w:jc w:val="center"/>
              <w:ind w:right="778"/>
              <w:spacing w:after="0"/>
              <w:rPr>
                <w:sz w:val="20"/>
                <w:szCs w:val="20"/>
                <w:color w:val="auto"/>
              </w:rPr>
            </w:pPr>
            <w:r>
              <w:rPr>
                <w:rFonts w:ascii="Arial" w:cs="Arial" w:eastAsia="Arial" w:hAnsi="Arial"/>
                <w:sz w:val="16"/>
                <w:szCs w:val="16"/>
                <w:b w:val="1"/>
                <w:bCs w:val="1"/>
                <w:color w:val="auto"/>
                <w:w w:val="95"/>
              </w:rPr>
              <w:t>The NASDAQ Stock Market</w:t>
            </w:r>
          </w:p>
        </w:tc>
      </w:tr>
      <w:tr>
        <w:trPr>
          <w:trHeight w:val="257"/>
        </w:trPr>
        <w:tc>
          <w:tcPr>
            <w:tcW w:w="3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80" w:type="dxa"/>
            <w:vAlign w:val="bottom"/>
          </w:tcPr>
          <w:p>
            <w:pPr>
              <w:jc w:val="center"/>
              <w:ind w:right="778"/>
              <w:spacing w:after="0"/>
              <w:rPr>
                <w:sz w:val="20"/>
                <w:szCs w:val="20"/>
                <w:color w:val="auto"/>
              </w:rPr>
            </w:pPr>
            <w:r>
              <w:rPr>
                <w:rFonts w:ascii="Arial" w:cs="Arial" w:eastAsia="Arial" w:hAnsi="Arial"/>
                <w:sz w:val="16"/>
                <w:szCs w:val="16"/>
                <w:b w:val="1"/>
                <w:bCs w:val="1"/>
                <w:color w:val="auto"/>
                <w:w w:val="95"/>
              </w:rPr>
              <w:t>(NASDAQ Global Select Market)</w:t>
            </w:r>
          </w:p>
        </w:tc>
      </w:tr>
    </w:tbl>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3" w:lineRule="exact"/>
        <w:rPr>
          <w:sz w:val="24"/>
          <w:szCs w:val="24"/>
          <w:color w:val="auto"/>
        </w:rPr>
      </w:pPr>
    </w:p>
    <w:p>
      <w:pPr>
        <w:ind w:right="284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 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4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right="60"/>
        <w:spacing w:after="0" w:line="261" w:lineRule="auto"/>
        <w:rPr>
          <w:sz w:val="20"/>
          <w:szCs w:val="20"/>
          <w:color w:val="auto"/>
        </w:rPr>
      </w:pPr>
      <w:r>
        <w:rPr>
          <w:rFonts w:ascii="Arial" w:cs="Arial" w:eastAsia="Arial" w:hAnsi="Arial"/>
          <w:sz w:val="16"/>
          <w:szCs w:val="16"/>
          <w:color w:val="auto"/>
        </w:rPr>
        <w:t>Indicate by check mark if disclosures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1"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43" w:lineRule="exact"/>
        <w:rPr>
          <w:sz w:val="24"/>
          <w:szCs w:val="24"/>
          <w:color w:val="auto"/>
        </w:rPr>
      </w:pPr>
    </w:p>
    <w:p>
      <w:pPr>
        <w:ind w:left="2840" w:right="720" w:hanging="4495"/>
        <w:spacing w:after="0" w:line="231" w:lineRule="exact"/>
        <w:tabs>
          <w:tab w:leader="none" w:pos="28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 Non-accelerated filer o Smaller reporting company o (Do not check if a smaller reporting company)</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8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$1,525 million, based on the closing price on the NASDAQ Stock Market on March 31, 2012.</w:t>
      </w:r>
    </w:p>
    <w:p>
      <w:pPr>
        <w:spacing w:after="0" w:line="21"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As of October 31, 2012, 48,395,890 shares of the registrant’s Class A Non-voting Common Stock, par value $.01 per share and 2,970,171 shares of the registrant’s Class B Voting Common Stock, par value $.01 per share, were outstanding.</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9"/>
              </w:rPr>
              <w:t>EZCORP, INC.</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40" w:type="dxa"/>
            <w:vAlign w:val="bottom"/>
            <w:gridSpan w:val="15"/>
          </w:tcPr>
          <w:p>
            <w:pPr>
              <w:jc w:val="center"/>
              <w:ind w:right="1700"/>
              <w:spacing w:after="0"/>
              <w:rPr>
                <w:sz w:val="20"/>
                <w:szCs w:val="20"/>
                <w:color w:val="auto"/>
              </w:rPr>
            </w:pPr>
            <w:r>
              <w:rPr>
                <w:rFonts w:ascii="Arial" w:cs="Arial" w:eastAsia="Arial" w:hAnsi="Arial"/>
                <w:sz w:val="18"/>
                <w:szCs w:val="18"/>
                <w:b w:val="1"/>
                <w:bCs w:val="1"/>
                <w:color w:val="auto"/>
                <w:w w:val="97"/>
              </w:rPr>
              <w:t>YEAR ENDED SEPTEMBER 30, 2012</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80" w:type="dxa"/>
            <w:vAlign w:val="bottom"/>
            <w:gridSpan w:val="13"/>
          </w:tcPr>
          <w:p>
            <w:pPr>
              <w:jc w:val="center"/>
              <w:ind w:right="2860"/>
              <w:spacing w:after="0"/>
              <w:rPr>
                <w:sz w:val="20"/>
                <w:szCs w:val="20"/>
                <w:color w:val="auto"/>
              </w:rPr>
            </w:pPr>
            <w:r>
              <w:rPr>
                <w:rFonts w:ascii="Arial" w:cs="Arial" w:eastAsia="Arial" w:hAnsi="Arial"/>
                <w:sz w:val="18"/>
                <w:szCs w:val="18"/>
                <w:b w:val="1"/>
                <w:bCs w:val="1"/>
                <w:color w:val="auto"/>
              </w:rPr>
              <w:t>INDEX TO FORM 10-K</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26"/>
        </w:trPr>
        <w:tc>
          <w:tcPr>
            <w:tcW w:w="9540" w:type="dxa"/>
            <w:vAlign w:val="bottom"/>
            <w:gridSpan w:val="32"/>
          </w:tcPr>
          <w:p>
            <w:pPr>
              <w:spacing w:after="0"/>
              <w:rPr>
                <w:sz w:val="20"/>
                <w:szCs w:val="20"/>
                <w:color w:val="auto"/>
              </w:rPr>
            </w:pPr>
            <w:r>
              <w:rPr>
                <w:rFonts w:ascii="Arial" w:cs="Arial" w:eastAsia="Arial" w:hAnsi="Arial"/>
                <w:sz w:val="14"/>
                <w:szCs w:val="14"/>
                <w:color w:val="auto"/>
              </w:rPr>
              <w:t>Item</w:t>
            </w:r>
          </w:p>
        </w:tc>
        <w:tc>
          <w:tcPr>
            <w:tcW w:w="1820" w:type="dxa"/>
            <w:vAlign w:val="bottom"/>
            <w:gridSpan w:val="6"/>
          </w:tcPr>
          <w:p>
            <w:pPr>
              <w:jc w:val="right"/>
              <w:ind w:right="150"/>
              <w:spacing w:after="0"/>
              <w:rPr>
                <w:sz w:val="20"/>
                <w:szCs w:val="20"/>
                <w:color w:val="auto"/>
              </w:rPr>
            </w:pPr>
            <w:r>
              <w:rPr>
                <w:rFonts w:ascii="Arial" w:cs="Arial" w:eastAsia="Arial" w:hAnsi="Arial"/>
                <w:sz w:val="14"/>
                <w:szCs w:val="14"/>
                <w:color w:val="auto"/>
              </w:rPr>
              <w:t>Page</w:t>
            </w:r>
          </w:p>
        </w:tc>
      </w:tr>
      <w:tr>
        <w:trPr>
          <w:trHeight w:val="174"/>
        </w:trPr>
        <w:tc>
          <w:tcPr>
            <w:tcW w:w="9540" w:type="dxa"/>
            <w:vAlign w:val="bottom"/>
            <w:gridSpan w:val="32"/>
          </w:tcPr>
          <w:p>
            <w:pPr>
              <w:spacing w:after="0"/>
              <w:rPr>
                <w:sz w:val="20"/>
                <w:szCs w:val="20"/>
                <w:color w:val="auto"/>
              </w:rPr>
            </w:pPr>
            <w:r>
              <w:rPr>
                <w:rFonts w:ascii="Arial" w:cs="Arial" w:eastAsia="Arial" w:hAnsi="Arial"/>
                <w:sz w:val="14"/>
                <w:szCs w:val="14"/>
                <w:color w:val="auto"/>
              </w:rPr>
              <w:t>No.</w:t>
            </w:r>
          </w:p>
        </w:tc>
        <w:tc>
          <w:tcPr>
            <w:tcW w:w="1820" w:type="dxa"/>
            <w:vAlign w:val="bottom"/>
            <w:gridSpan w:val="6"/>
          </w:tcPr>
          <w:p>
            <w:pPr>
              <w:jc w:val="right"/>
              <w:ind w:right="190"/>
              <w:spacing w:after="0"/>
              <w:rPr>
                <w:sz w:val="20"/>
                <w:szCs w:val="20"/>
                <w:color w:val="auto"/>
              </w:rPr>
            </w:pPr>
            <w:r>
              <w:rPr>
                <w:rFonts w:ascii="Arial" w:cs="Arial" w:eastAsia="Arial" w:hAnsi="Arial"/>
                <w:sz w:val="14"/>
                <w:szCs w:val="14"/>
                <w:color w:val="auto"/>
              </w:rPr>
              <w:t>No.</w:t>
            </w:r>
          </w:p>
        </w:tc>
      </w:tr>
      <w:tr>
        <w:trPr>
          <w:trHeight w:val="493"/>
        </w:trPr>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0"/>
          </w:tcPr>
          <w:p>
            <w:pPr>
              <w:jc w:val="center"/>
              <w:ind w:right="3980"/>
              <w:spacing w:after="0"/>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w:t>
              </w:r>
            </w:hyperlink>
          </w:p>
        </w:tc>
        <w:tc>
          <w:tcPr>
            <w:tcW w:w="1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60" w:type="dxa"/>
            <w:vAlign w:val="bottom"/>
            <w:tcBorders>
              <w:bottom w:val="single" w:sz="8" w:color="0000FF"/>
            </w:tcBorders>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1.</w:t>
              </w:r>
            </w:hyperlink>
          </w:p>
        </w:tc>
        <w:tc>
          <w:tcPr>
            <w:tcW w:w="660" w:type="dxa"/>
            <w:vAlign w:val="bottom"/>
            <w:tcBorders>
              <w:bottom w:val="single" w:sz="8" w:color="0000FF"/>
            </w:tcBorders>
            <w:gridSpan w:val="3"/>
          </w:tcPr>
          <w:p>
            <w:pPr>
              <w:ind w:left="20"/>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Business</w:t>
              </w:r>
            </w:hyperlink>
          </w:p>
        </w:tc>
        <w:tc>
          <w:tcPr>
            <w:tcW w:w="4160" w:type="dxa"/>
            <w:vAlign w:val="bottom"/>
            <w:gridSpan w:val="18"/>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3980" w:type="dxa"/>
            <w:vAlign w:val="bottom"/>
            <w:gridSpan w:val="9"/>
          </w:tcPr>
          <w:p>
            <w:pPr>
              <w:spacing w:after="0"/>
              <w:rPr>
                <w:sz w:val="21"/>
                <w:szCs w:val="21"/>
                <w:color w:val="auto"/>
              </w:rPr>
            </w:pPr>
          </w:p>
        </w:tc>
        <w:tc>
          <w:tcPr>
            <w:tcW w:w="1720" w:type="dxa"/>
            <w:vAlign w:val="bottom"/>
            <w:gridSpan w:val="5"/>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220" w:type="dxa"/>
            <w:vAlign w:val="bottom"/>
            <w:gridSpan w:val="7"/>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1A. Risk Factors</w:t>
              </w:r>
            </w:hyperlink>
          </w:p>
        </w:tc>
        <w:tc>
          <w:tcPr>
            <w:tcW w:w="8320" w:type="dxa"/>
            <w:vAlign w:val="bottom"/>
            <w:gridSpan w:val="25"/>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540" w:type="dxa"/>
            <w:vAlign w:val="bottom"/>
            <w:gridSpan w:val="32"/>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1B. Unresolved Staff Comments</w:t>
              </w:r>
            </w:hyperlink>
          </w:p>
        </w:tc>
        <w:tc>
          <w:tcPr>
            <w:tcW w:w="1820" w:type="dxa"/>
            <w:vAlign w:val="bottom"/>
            <w:gridSpan w:val="6"/>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2.</w:t>
              </w:r>
            </w:hyperlink>
          </w:p>
        </w:tc>
        <w:tc>
          <w:tcPr>
            <w:tcW w:w="2180" w:type="dxa"/>
            <w:vAlign w:val="bottom"/>
            <w:gridSpan w:val="13"/>
          </w:tcPr>
          <w:p>
            <w:pPr>
              <w:ind w:left="20"/>
              <w:spacing w:after="0"/>
              <w:rPr>
                <w:rFonts w:ascii="Arial" w:cs="Arial" w:eastAsia="Arial" w:hAnsi="Arial"/>
                <w:sz w:val="18"/>
                <w:szCs w:val="18"/>
                <w:color w:val="0000FF"/>
              </w:rPr>
            </w:pPr>
            <w:hyperlink w:anchor="page18">
              <w:r>
                <w:rPr>
                  <w:rFonts w:ascii="Arial" w:cs="Arial" w:eastAsia="Arial" w:hAnsi="Arial"/>
                  <w:sz w:val="18"/>
                  <w:szCs w:val="18"/>
                  <w:color w:val="0000FF"/>
                </w:rPr>
                <w:t>Properties</w:t>
              </w:r>
            </w:hyperlink>
          </w:p>
        </w:tc>
        <w:tc>
          <w:tcPr>
            <w:tcW w:w="7200" w:type="dxa"/>
            <w:vAlign w:val="bottom"/>
            <w:gridSpan w:val="18"/>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r>
      <w:tr>
        <w:trPr>
          <w:trHeight w:val="20"/>
        </w:trPr>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3.</w:t>
              </w:r>
            </w:hyperlink>
          </w:p>
        </w:tc>
        <w:tc>
          <w:tcPr>
            <w:tcW w:w="9380" w:type="dxa"/>
            <w:vAlign w:val="bottom"/>
            <w:gridSpan w:val="31"/>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1820" w:type="dxa"/>
            <w:vAlign w:val="bottom"/>
            <w:gridSpan w:val="6"/>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0"/>
        </w:trPr>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33FF"/>
                <w:w w:val="92"/>
              </w:rPr>
            </w:pPr>
            <w:hyperlink w:anchor="page22">
              <w:r>
                <w:rPr>
                  <w:rFonts w:ascii="Arial" w:cs="Arial" w:eastAsia="Arial" w:hAnsi="Arial"/>
                  <w:sz w:val="18"/>
                  <w:szCs w:val="18"/>
                  <w:color w:val="0033FF"/>
                  <w:w w:val="92"/>
                </w:rPr>
                <w:t>4.</w:t>
              </w:r>
            </w:hyperlink>
          </w:p>
        </w:tc>
        <w:tc>
          <w:tcPr>
            <w:tcW w:w="9380" w:type="dxa"/>
            <w:vAlign w:val="bottom"/>
            <w:gridSpan w:val="31"/>
          </w:tcPr>
          <w:p>
            <w:pPr>
              <w:ind w:left="20"/>
              <w:spacing w:after="0"/>
              <w:rPr>
                <w:rFonts w:ascii="Arial" w:cs="Arial" w:eastAsia="Arial" w:hAnsi="Arial"/>
                <w:sz w:val="18"/>
                <w:szCs w:val="18"/>
                <w:color w:val="0033FF"/>
              </w:rPr>
            </w:pPr>
            <w:hyperlink w:anchor="page22">
              <w:r>
                <w:rPr>
                  <w:rFonts w:ascii="Arial" w:cs="Arial" w:eastAsia="Arial" w:hAnsi="Arial"/>
                  <w:sz w:val="18"/>
                  <w:szCs w:val="18"/>
                  <w:color w:val="0033FF"/>
                </w:rPr>
                <w:t>Mine Safety Disclosures</w:t>
              </w:r>
            </w:hyperlink>
          </w:p>
        </w:tc>
        <w:tc>
          <w:tcPr>
            <w:tcW w:w="1820" w:type="dxa"/>
            <w:vAlign w:val="bottom"/>
            <w:gridSpan w:val="6"/>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520"/>
        </w:trPr>
        <w:tc>
          <w:tcPr>
            <w:tcW w:w="160" w:type="dxa"/>
            <w:vAlign w:val="bottom"/>
            <w:tcBorders>
              <w:top w:val="single" w:sz="8" w:color="0033FF"/>
            </w:tcBorders>
          </w:tcPr>
          <w:p>
            <w:pPr>
              <w:spacing w:after="0"/>
              <w:rPr>
                <w:sz w:val="24"/>
                <w:szCs w:val="24"/>
                <w:color w:val="auto"/>
              </w:rPr>
            </w:pPr>
          </w:p>
        </w:tc>
        <w:tc>
          <w:tcPr>
            <w:tcW w:w="40" w:type="dxa"/>
            <w:vAlign w:val="bottom"/>
            <w:tcBorders>
              <w:top w:val="single" w:sz="8" w:color="0033FF"/>
            </w:tcBorders>
          </w:tcPr>
          <w:p>
            <w:pPr>
              <w:spacing w:after="0"/>
              <w:rPr>
                <w:sz w:val="24"/>
                <w:szCs w:val="24"/>
                <w:color w:val="auto"/>
              </w:rPr>
            </w:pPr>
          </w:p>
        </w:tc>
        <w:tc>
          <w:tcPr>
            <w:tcW w:w="56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24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10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3940"/>
              <w:spacing w:after="0"/>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PART 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5.</w:t>
              </w:r>
            </w:hyperlink>
          </w:p>
        </w:tc>
        <w:tc>
          <w:tcPr>
            <w:tcW w:w="8100" w:type="dxa"/>
            <w:vAlign w:val="bottom"/>
            <w:gridSpan w:val="30"/>
          </w:tcPr>
          <w:p>
            <w:pPr>
              <w:ind w:left="20"/>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Market for Registrant’s Common Equity, Related Stockholder Matters and Issuer Purchases of Equity Securities</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6.</w:t>
              </w:r>
            </w:hyperlink>
          </w:p>
        </w:tc>
        <w:tc>
          <w:tcPr>
            <w:tcW w:w="8100" w:type="dxa"/>
            <w:vAlign w:val="bottom"/>
            <w:gridSpan w:val="30"/>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Selected Financial Data</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FF"/>
                <w:w w:val="92"/>
              </w:rPr>
            </w:pPr>
            <w:hyperlink w:anchor="page25">
              <w:r>
                <w:rPr>
                  <w:rFonts w:ascii="Arial" w:cs="Arial" w:eastAsia="Arial" w:hAnsi="Arial"/>
                  <w:sz w:val="18"/>
                  <w:szCs w:val="18"/>
                  <w:color w:val="0000FF"/>
                  <w:w w:val="92"/>
                </w:rPr>
                <w:t>7.</w:t>
              </w:r>
            </w:hyperlink>
          </w:p>
        </w:tc>
        <w:tc>
          <w:tcPr>
            <w:tcW w:w="6480" w:type="dxa"/>
            <w:vAlign w:val="bottom"/>
            <w:gridSpan w:val="27"/>
          </w:tcPr>
          <w:p>
            <w:pPr>
              <w:ind w:left="20"/>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640" w:type="dxa"/>
            <w:vAlign w:val="bottom"/>
            <w:gridSpan w:val="2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7A. Quantitative and Qualitative Disclosures About Market Risk</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20"/>
        </w:trPr>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8.</w:t>
              </w:r>
            </w:hyperlink>
          </w:p>
        </w:tc>
        <w:tc>
          <w:tcPr>
            <w:tcW w:w="4500" w:type="dxa"/>
            <w:vAlign w:val="bottom"/>
            <w:gridSpan w:val="18"/>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Financial Statements and Supplementary Data</w:t>
              </w:r>
            </w:hyperlink>
          </w:p>
        </w:tc>
        <w:tc>
          <w:tcPr>
            <w:tcW w:w="4880" w:type="dxa"/>
            <w:vAlign w:val="bottom"/>
            <w:gridSpan w:val="1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Borders>
              <w:bottom w:val="single" w:sz="8" w:color="0000FF"/>
            </w:tcBorders>
          </w:tcPr>
          <w:p>
            <w:pPr>
              <w:spacing w:after="0"/>
              <w:rPr>
                <w:rFonts w:ascii="Arial" w:cs="Arial" w:eastAsia="Arial" w:hAnsi="Arial"/>
                <w:sz w:val="18"/>
                <w:szCs w:val="18"/>
                <w:color w:val="0000FF"/>
                <w:w w:val="92"/>
              </w:rPr>
            </w:pPr>
            <w:hyperlink w:anchor="page101">
              <w:r>
                <w:rPr>
                  <w:rFonts w:ascii="Arial" w:cs="Arial" w:eastAsia="Arial" w:hAnsi="Arial"/>
                  <w:sz w:val="18"/>
                  <w:szCs w:val="18"/>
                  <w:color w:val="0000FF"/>
                  <w:w w:val="92"/>
                </w:rPr>
                <w:t>9.</w:t>
              </w:r>
            </w:hyperlink>
          </w:p>
        </w:tc>
        <w:tc>
          <w:tcPr>
            <w:tcW w:w="6500" w:type="dxa"/>
            <w:vAlign w:val="bottom"/>
            <w:tcBorders>
              <w:bottom w:val="single" w:sz="8" w:color="0000FF"/>
            </w:tcBorders>
            <w:gridSpan w:val="28"/>
          </w:tcPr>
          <w:p>
            <w:pPr>
              <w:ind w:left="20"/>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Changes in and Disagreements with Accountants on Accounting and Financial Disclosure</w:t>
              </w:r>
            </w:hyperlink>
          </w:p>
        </w:tc>
        <w:tc>
          <w:tcPr>
            <w:tcW w:w="2880" w:type="dxa"/>
            <w:vAlign w:val="bottom"/>
            <w:gridSpan w:val="3"/>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01">
              <w:r>
                <w:rPr>
                  <w:rFonts w:ascii="Arial" w:cs="Arial" w:eastAsia="Arial" w:hAnsi="Arial"/>
                  <w:sz w:val="18"/>
                  <w:szCs w:val="18"/>
                  <w:color w:val="0000FF"/>
                  <w:w w:val="86"/>
                </w:rPr>
                <w:t>100</w:t>
              </w:r>
            </w:hyperlink>
          </w:p>
        </w:tc>
      </w:tr>
      <w:tr>
        <w:trPr>
          <w:trHeight w:val="250"/>
        </w:trPr>
        <w:tc>
          <w:tcPr>
            <w:tcW w:w="208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9A. Controls and Procedures</w:t>
              </w:r>
            </w:hyperlink>
          </w:p>
        </w:tc>
        <w:tc>
          <w:tcPr>
            <w:tcW w:w="7460" w:type="dxa"/>
            <w:vAlign w:val="bottom"/>
            <w:gridSpan w:val="19"/>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100</w:t>
              </w:r>
            </w:hyperlink>
          </w:p>
        </w:tc>
      </w:tr>
      <w:tr>
        <w:trPr>
          <w:trHeight w:val="250"/>
        </w:trPr>
        <w:tc>
          <w:tcPr>
            <w:tcW w:w="9540" w:type="dxa"/>
            <w:vAlign w:val="bottom"/>
            <w:gridSpan w:val="32"/>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9B. Other Information</w:t>
              </w:r>
            </w:hyperlink>
          </w:p>
        </w:tc>
        <w:tc>
          <w:tcPr>
            <w:tcW w:w="1820" w:type="dxa"/>
            <w:vAlign w:val="bottom"/>
            <w:gridSpan w:val="6"/>
          </w:tcPr>
          <w:p>
            <w:pPr>
              <w:jc w:val="right"/>
              <w:spacing w:after="0"/>
              <w:rPr>
                <w:rFonts w:ascii="Arial" w:cs="Arial" w:eastAsia="Arial" w:hAnsi="Arial"/>
                <w:sz w:val="18"/>
                <w:szCs w:val="18"/>
                <w:color w:val="0000FF"/>
              </w:rPr>
            </w:pPr>
            <w:hyperlink w:anchor="page103">
              <w:r>
                <w:rPr>
                  <w:rFonts w:ascii="Arial" w:cs="Arial" w:eastAsia="Arial" w:hAnsi="Arial"/>
                  <w:sz w:val="18"/>
                  <w:szCs w:val="18"/>
                  <w:color w:val="0000FF"/>
                </w:rPr>
                <w:t>102</w:t>
              </w:r>
            </w:hyperlink>
          </w:p>
        </w:tc>
      </w:tr>
      <w:tr>
        <w:trPr>
          <w:trHeight w:val="520"/>
        </w:trPr>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13"/>
          </w:tcPr>
          <w:p>
            <w:pPr>
              <w:jc w:val="center"/>
              <w:ind w:right="3640"/>
              <w:spacing w:after="0"/>
              <w:rPr>
                <w:rFonts w:ascii="Arial" w:cs="Arial" w:eastAsia="Arial" w:hAnsi="Arial"/>
                <w:sz w:val="18"/>
                <w:szCs w:val="18"/>
                <w:b w:val="1"/>
                <w:bCs w:val="1"/>
                <w:color w:val="0000FF"/>
              </w:rPr>
            </w:pPr>
            <w:hyperlink w:anchor="page104">
              <w:r>
                <w:rPr>
                  <w:rFonts w:ascii="Arial" w:cs="Arial" w:eastAsia="Arial" w:hAnsi="Arial"/>
                  <w:sz w:val="18"/>
                  <w:szCs w:val="18"/>
                  <w:b w:val="1"/>
                  <w:bCs w:val="1"/>
                  <w:color w:val="0000FF"/>
                </w:rPr>
                <w:t>PART III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436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105">
              <w:r>
                <w:rPr>
                  <w:rFonts w:ascii="Arial" w:cs="Arial" w:eastAsia="Arial" w:hAnsi="Arial"/>
                  <w:sz w:val="18"/>
                  <w:szCs w:val="18"/>
                  <w:color w:val="0000FF"/>
                  <w:w w:val="90"/>
                </w:rPr>
                <w:t>10. Directors, Executive Officers and Corporate Governance</w:t>
              </w:r>
            </w:hyperlink>
          </w:p>
        </w:tc>
        <w:tc>
          <w:tcPr>
            <w:tcW w:w="560" w:type="dxa"/>
            <w:vAlign w:val="bottom"/>
            <w:gridSpan w:val="2"/>
          </w:tcPr>
          <w:p>
            <w:pPr>
              <w:spacing w:after="0"/>
              <w:rPr>
                <w:sz w:val="21"/>
                <w:szCs w:val="21"/>
                <w:color w:val="auto"/>
              </w:rPr>
            </w:pPr>
          </w:p>
        </w:tc>
        <w:tc>
          <w:tcPr>
            <w:tcW w:w="740" w:type="dxa"/>
            <w:vAlign w:val="bottom"/>
            <w:tcBorders>
              <w:top w:val="single" w:sz="8" w:color="0000FF"/>
            </w:tcBorders>
            <w:gridSpan w:val="6"/>
          </w:tcPr>
          <w:p>
            <w:pPr>
              <w:spacing w:after="0"/>
              <w:rPr>
                <w:sz w:val="21"/>
                <w:szCs w:val="21"/>
                <w:color w:val="auto"/>
              </w:rPr>
            </w:pPr>
          </w:p>
        </w:tc>
        <w:tc>
          <w:tcPr>
            <w:tcW w:w="3880" w:type="dxa"/>
            <w:vAlign w:val="bottom"/>
            <w:gridSpan w:val="6"/>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103</w:t>
              </w:r>
            </w:hyperlink>
          </w:p>
        </w:tc>
      </w:tr>
      <w:tr>
        <w:trPr>
          <w:trHeight w:val="250"/>
        </w:trPr>
        <w:tc>
          <w:tcPr>
            <w:tcW w:w="9540" w:type="dxa"/>
            <w:vAlign w:val="bottom"/>
            <w:gridSpan w:val="32"/>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11. Executive Compensation</w:t>
              </w:r>
            </w:hyperlink>
          </w:p>
        </w:tc>
        <w:tc>
          <w:tcPr>
            <w:tcW w:w="1820" w:type="dxa"/>
            <w:vAlign w:val="bottom"/>
            <w:gridSpan w:val="6"/>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108</w:t>
              </w:r>
            </w:hyperlink>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r>
      <w:tr>
        <w:trPr>
          <w:trHeight w:val="250"/>
        </w:trPr>
        <w:tc>
          <w:tcPr>
            <w:tcW w:w="7560" w:type="dxa"/>
            <w:vAlign w:val="bottom"/>
            <w:tcBorders>
              <w:bottom w:val="single" w:sz="8" w:color="0000FF"/>
            </w:tcBorders>
            <w:gridSpan w:val="30"/>
          </w:tcPr>
          <w:p>
            <w:pPr>
              <w:spacing w:after="0"/>
              <w:rPr>
                <w:rFonts w:ascii="Arial" w:cs="Arial" w:eastAsia="Arial" w:hAnsi="Arial"/>
                <w:sz w:val="18"/>
                <w:szCs w:val="18"/>
                <w:color w:val="0000FF"/>
                <w:w w:val="90"/>
              </w:rPr>
            </w:pPr>
            <w:hyperlink w:anchor="page130">
              <w:r>
                <w:rPr>
                  <w:rFonts w:ascii="Arial" w:cs="Arial" w:eastAsia="Arial" w:hAnsi="Arial"/>
                  <w:sz w:val="18"/>
                  <w:szCs w:val="18"/>
                  <w:color w:val="0000FF"/>
                  <w:w w:val="90"/>
                </w:rPr>
                <w:t>12. Security Ownership of Certain Beneficial Owners and Management and Related Stockholder Matters</w:t>
              </w:r>
            </w:hyperlink>
          </w:p>
        </w:tc>
        <w:tc>
          <w:tcPr>
            <w:tcW w:w="1980" w:type="dxa"/>
            <w:vAlign w:val="bottom"/>
            <w:gridSpan w:val="2"/>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30">
              <w:r>
                <w:rPr>
                  <w:rFonts w:ascii="Arial" w:cs="Arial" w:eastAsia="Arial" w:hAnsi="Arial"/>
                  <w:sz w:val="18"/>
                  <w:szCs w:val="18"/>
                  <w:color w:val="0000FF"/>
                  <w:w w:val="86"/>
                </w:rPr>
                <w:t>129</w:t>
              </w:r>
            </w:hyperlink>
          </w:p>
        </w:tc>
      </w:tr>
      <w:tr>
        <w:trPr>
          <w:trHeight w:val="250"/>
        </w:trPr>
        <w:tc>
          <w:tcPr>
            <w:tcW w:w="5720" w:type="dxa"/>
            <w:vAlign w:val="bottom"/>
            <w:tcBorders>
              <w:bottom w:val="single" w:sz="8" w:color="0000FF"/>
            </w:tcBorders>
            <w:gridSpan w:val="27"/>
          </w:tcPr>
          <w:p>
            <w:pPr>
              <w:spacing w:after="0"/>
              <w:rPr>
                <w:rFonts w:ascii="Arial" w:cs="Arial" w:eastAsia="Arial" w:hAnsi="Arial"/>
                <w:sz w:val="18"/>
                <w:szCs w:val="18"/>
                <w:color w:val="0000FF"/>
                <w:w w:val="89"/>
              </w:rPr>
            </w:pPr>
            <w:hyperlink w:anchor="page132">
              <w:r>
                <w:rPr>
                  <w:rFonts w:ascii="Arial" w:cs="Arial" w:eastAsia="Arial" w:hAnsi="Arial"/>
                  <w:sz w:val="18"/>
                  <w:szCs w:val="18"/>
                  <w:color w:val="0000FF"/>
                  <w:w w:val="89"/>
                </w:rPr>
                <w:t>13. Certain Relationships and Related Transactions, and Director Independence</w:t>
              </w:r>
            </w:hyperlink>
          </w:p>
        </w:tc>
        <w:tc>
          <w:tcPr>
            <w:tcW w:w="3820" w:type="dxa"/>
            <w:vAlign w:val="bottom"/>
            <w:gridSpan w:val="5"/>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32">
              <w:r>
                <w:rPr>
                  <w:rFonts w:ascii="Arial" w:cs="Arial" w:eastAsia="Arial" w:hAnsi="Arial"/>
                  <w:sz w:val="18"/>
                  <w:szCs w:val="18"/>
                  <w:color w:val="0000FF"/>
                  <w:w w:val="86"/>
                </w:rPr>
                <w:t>131</w:t>
              </w:r>
            </w:hyperlink>
          </w:p>
        </w:tc>
      </w:tr>
      <w:tr>
        <w:trPr>
          <w:trHeight w:val="250"/>
        </w:trPr>
        <w:tc>
          <w:tcPr>
            <w:tcW w:w="9540" w:type="dxa"/>
            <w:vAlign w:val="bottom"/>
            <w:gridSpan w:val="32"/>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14. Principal Accountant Fees and Services</w:t>
              </w:r>
            </w:hyperlink>
          </w:p>
        </w:tc>
        <w:tc>
          <w:tcPr>
            <w:tcW w:w="1820" w:type="dxa"/>
            <w:vAlign w:val="bottom"/>
            <w:gridSpan w:val="6"/>
          </w:tcPr>
          <w:p>
            <w:pPr>
              <w:jc w:val="right"/>
              <w:spacing w:after="0"/>
              <w:rPr>
                <w:rFonts w:ascii="Arial" w:cs="Arial" w:eastAsia="Arial" w:hAnsi="Arial"/>
                <w:sz w:val="18"/>
                <w:szCs w:val="18"/>
                <w:color w:val="0000FF"/>
              </w:rPr>
            </w:pPr>
            <w:hyperlink w:anchor="page135">
              <w:r>
                <w:rPr>
                  <w:rFonts w:ascii="Arial" w:cs="Arial" w:eastAsia="Arial" w:hAnsi="Arial"/>
                  <w:sz w:val="18"/>
                  <w:szCs w:val="18"/>
                  <w:color w:val="0000FF"/>
                </w:rPr>
                <w:t>133</w:t>
              </w:r>
            </w:hyperlink>
          </w:p>
        </w:tc>
      </w:tr>
      <w:tr>
        <w:trPr>
          <w:trHeight w:val="520"/>
        </w:trPr>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jc w:val="center"/>
              <w:spacing w:after="0"/>
              <w:rPr>
                <w:rFonts w:ascii="Arial" w:cs="Arial" w:eastAsia="Arial" w:hAnsi="Arial"/>
                <w:sz w:val="18"/>
                <w:szCs w:val="18"/>
                <w:b w:val="1"/>
                <w:bCs w:val="1"/>
                <w:color w:val="0000FF"/>
                <w:w w:val="98"/>
              </w:rPr>
            </w:pPr>
            <w:hyperlink w:anchor="page135">
              <w:r>
                <w:rPr>
                  <w:rFonts w:ascii="Arial" w:cs="Arial" w:eastAsia="Arial" w:hAnsi="Arial"/>
                  <w:sz w:val="18"/>
                  <w:szCs w:val="18"/>
                  <w:b w:val="1"/>
                  <w:bCs w:val="1"/>
                  <w:color w:val="0000FF"/>
                  <w:w w:val="98"/>
                </w:rPr>
                <w:t>PART IV</w:t>
              </w:r>
            </w:hyperlink>
          </w:p>
        </w:tc>
        <w:tc>
          <w:tcPr>
            <w:tcW w:w="3900" w:type="dxa"/>
            <w:vAlign w:val="bottom"/>
            <w:gridSpan w:val="7"/>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9540" w:type="dxa"/>
            <w:vAlign w:val="bottom"/>
            <w:gridSpan w:val="32"/>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15. Exhibits and Financial Statement Schedules</w:t>
              </w:r>
            </w:hyperlink>
          </w:p>
        </w:tc>
        <w:tc>
          <w:tcPr>
            <w:tcW w:w="1820" w:type="dxa"/>
            <w:vAlign w:val="bottom"/>
            <w:gridSpan w:val="6"/>
          </w:tcPr>
          <w:p>
            <w:pPr>
              <w:jc w:val="right"/>
              <w:spacing w:after="0"/>
              <w:rPr>
                <w:rFonts w:ascii="Arial" w:cs="Arial" w:eastAsia="Arial" w:hAnsi="Arial"/>
                <w:sz w:val="18"/>
                <w:szCs w:val="18"/>
                <w:color w:val="0000FF"/>
              </w:rPr>
            </w:pPr>
            <w:hyperlink w:anchor="page136">
              <w:r>
                <w:rPr>
                  <w:rFonts w:ascii="Arial" w:cs="Arial" w:eastAsia="Arial" w:hAnsi="Arial"/>
                  <w:sz w:val="18"/>
                  <w:szCs w:val="18"/>
                  <w:color w:val="0000FF"/>
                </w:rPr>
                <w:t>134</w:t>
              </w:r>
            </w:hyperlink>
          </w:p>
        </w:tc>
      </w:tr>
      <w:tr>
        <w:trPr>
          <w:trHeight w:val="520"/>
        </w:trPr>
        <w:tc>
          <w:tcPr>
            <w:tcW w:w="7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5"/>
              </w:rPr>
            </w:pPr>
            <w:hyperlink w:anchor="page137">
              <w:r>
                <w:rPr>
                  <w:rFonts w:ascii="Arial" w:cs="Arial" w:eastAsia="Arial" w:hAnsi="Arial"/>
                  <w:sz w:val="18"/>
                  <w:szCs w:val="18"/>
                  <w:color w:val="0000FF"/>
                  <w:w w:val="85"/>
                </w:rPr>
                <w:t>Signatures</w:t>
              </w:r>
            </w:hyperlink>
          </w:p>
        </w:tc>
        <w:tc>
          <w:tcPr>
            <w:tcW w:w="2660" w:type="dxa"/>
            <w:vAlign w:val="bottom"/>
            <w:tcBorders>
              <w:top w:val="single" w:sz="8" w:color="0000FF"/>
            </w:tcBorders>
            <w:gridSpan w:val="13"/>
          </w:tcPr>
          <w:p>
            <w:pPr>
              <w:spacing w:after="0"/>
              <w:rPr>
                <w:sz w:val="24"/>
                <w:szCs w:val="24"/>
                <w:color w:val="auto"/>
              </w:rPr>
            </w:pPr>
          </w:p>
        </w:tc>
        <w:tc>
          <w:tcPr>
            <w:tcW w:w="6120" w:type="dxa"/>
            <w:vAlign w:val="bottom"/>
            <w:gridSpan w:val="16"/>
          </w:tcPr>
          <w:p>
            <w:pPr>
              <w:spacing w:after="0"/>
              <w:rPr>
                <w:sz w:val="24"/>
                <w:szCs w:val="24"/>
                <w:color w:val="auto"/>
              </w:rPr>
            </w:pPr>
          </w:p>
        </w:tc>
        <w:tc>
          <w:tcPr>
            <w:tcW w:w="1540" w:type="dxa"/>
            <w:vAlign w:val="bottom"/>
            <w:gridSpan w:val="2"/>
          </w:tcPr>
          <w:p>
            <w:pPr>
              <w:spacing w:after="0"/>
              <w:rPr>
                <w:sz w:val="24"/>
                <w:szCs w:val="24"/>
                <w:color w:val="auto"/>
              </w:rPr>
            </w:pPr>
          </w:p>
        </w:tc>
        <w:tc>
          <w:tcPr>
            <w:tcW w:w="280" w:type="dxa"/>
            <w:vAlign w:val="bottom"/>
            <w:tcBorders>
              <w:top w:val="single" w:sz="8" w:color="0000FF"/>
              <w:bottom w:val="single" w:sz="8" w:color="0000FF"/>
            </w:tcBorders>
            <w:gridSpan w:val="4"/>
          </w:tcPr>
          <w:p>
            <w:pPr>
              <w:jc w:val="right"/>
              <w:spacing w:after="0"/>
              <w:rPr>
                <w:rFonts w:ascii="Arial" w:cs="Arial" w:eastAsia="Arial" w:hAnsi="Arial"/>
                <w:sz w:val="18"/>
                <w:szCs w:val="18"/>
                <w:color w:val="0000FF"/>
                <w:w w:val="86"/>
              </w:rPr>
            </w:pPr>
            <w:hyperlink w:anchor="page137">
              <w:r>
                <w:rPr>
                  <w:rFonts w:ascii="Arial" w:cs="Arial" w:eastAsia="Arial" w:hAnsi="Arial"/>
                  <w:sz w:val="18"/>
                  <w:szCs w:val="18"/>
                  <w:color w:val="0000FF"/>
                  <w:w w:val="86"/>
                </w:rPr>
                <w:t>136</w:t>
              </w:r>
            </w:hyperlink>
          </w:p>
        </w:tc>
      </w:tr>
      <w:tr>
        <w:trPr>
          <w:trHeight w:val="250"/>
        </w:trPr>
        <w:tc>
          <w:tcPr>
            <w:tcW w:w="98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138">
              <w:r>
                <w:rPr>
                  <w:rFonts w:ascii="Arial" w:cs="Arial" w:eastAsia="Arial" w:hAnsi="Arial"/>
                  <w:sz w:val="18"/>
                  <w:szCs w:val="18"/>
                  <w:color w:val="0000FF"/>
                  <w:w w:val="93"/>
                </w:rPr>
                <w:t>Exhibit Index</w:t>
              </w:r>
            </w:hyperlink>
          </w:p>
        </w:tc>
        <w:tc>
          <w:tcPr>
            <w:tcW w:w="8560" w:type="dxa"/>
            <w:vAlign w:val="bottom"/>
            <w:gridSpan w:val="26"/>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38">
              <w:r>
                <w:rPr>
                  <w:rFonts w:ascii="Arial" w:cs="Arial" w:eastAsia="Arial" w:hAnsi="Arial"/>
                  <w:sz w:val="18"/>
                  <w:szCs w:val="18"/>
                  <w:color w:val="0000FF"/>
                  <w:w w:val="86"/>
                </w:rPr>
                <w:t>137</w:t>
              </w:r>
            </w:hyperlink>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report contains forward-looking statements that are based on our current expectations. Actual results in future periods may differ materially from those expressed or implied by those forward-looking statements because of a number of risks and uncertainties. For a discussion of risk factors affecting our business and prospects, see “Part I — Item 1A — Risk Factors.” See also “Part II — Item 7 — Management's Discussion and Analysis of Financial Condition and Results of Operations — Cautionary Statement Regarding Risks and Uncertainties That May Affect Future Results.”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Unless otherwise specified, references to the “company” or “we” refer to EZCORP, Inc. and its consolidated subsidiaries. References to a “fiscal” year refer to our fiscal year ended September 30 of the specified year. For example, “fiscal 2012” refers to the fiscal year ended September 30,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EZCORP, Inc. is a Delaware corporation headquartered in Austin, Texas. We are a leading provider of instant cash solutions, employing approximately 7,200 team members and operating over 1,250 locations and branches across the United States, Mexico, Canada and the United Kingdom, with unconsolidated investments based in the United Kingdom and Australia.</w:t>
      </w:r>
    </w:p>
    <w:p>
      <w:pPr>
        <w:spacing w:after="0" w:line="1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provide a variety of instant cash solutions, including collateralized, non-recourse loans, commonly known as pawn loans, and a variety of short-term consumer loans, including single-payment and multiple-payment unsecured loans and single-payment and multiple-payment auto title loans. In Texas, we provide fee-based credit services to consumers seeking loans. At our pawn and buy/sell stores, we sell merchandise, primarily collateral forfeited from pawn lending operations and second-hand merchandise purchased from customers. We also offer prepaid debit card services to help customers better manage their money and control their spending.</w:t>
      </w:r>
    </w:p>
    <w:p>
      <w:pPr>
        <w:spacing w:after="0" w:line="134"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During the second quarter of fiscal 2012, we entered into the unsecured lending market in Mexico with the acquisition of a 60% interest in Prestaciones Finmart, S.A.de C.V., SOFOM, E.N.R. ("Crediamigo"), a leading payroll withholding lender headquartered in Mexico City. As of September 30, 2012, Crediamigo had approximately 100 payroll withholding master agreements with Mexican employers, primarily federal, state and local governments and agencies, and provided consumer loans to the agencies' employees. In addition, during the third quarter of fiscal 2012, we acquired 72% of Ariste Holding Limited and its affiliates ("Cash Genie"), which offers short-term consumer loans online in the United Kingdom. Subsequent to the end of fiscal 2012, we increased our ownership interest in Cash Genie to 95%.</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September 30, 2012, we operated a total of 1,262 locations, consisting of 470 U.S. pawn stores (operating primarily as EZPAWN or Value Pawn), seven U.S. buy/sell stores (operating as Cash Converters), 230 pawn stores in Mexico (operating as Empeño Fácil or Empeñe Su Oro), 442 U.S. financial services stores (operating primarily as EZMONEY), 33 financial services stores in Canada (operating as CASHMAX), 35 buy/sell and financial services stores in Canada (operating as Cash Converters) and 45 financial services branches in Mexico (operating as Crediamigo). We own approximately 30% of Albemarle &amp; Bond Holdings, PLC, one of the United Kingdom's largest pawnbroking businesses with approximately 230 stores, and approximately 33% of Cash Converters International Limited, which is based in Australia and franchises and operates a worldwide network of approximately 700 locations that provide financial services and buy and sell second-hand goods. We also own the Cash Converters master franchise rights in Canada and are the franchisor of 10 stores there.</w:t>
      </w:r>
    </w:p>
    <w:p>
      <w:pPr>
        <w:spacing w:after="0" w:line="1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and new or refurbished merchandise from third party vendors. In our Cash Converters stores, we also buy and sell second-hand goods. At our financial services stores and at some of our pawn stores, we offer a variety of consumer loan products, including single-payment, unsecured loans with maturity dates typically ranging from 7 to 30 days; multiple-payment unsecured loans that may be repaid over extended periods of up to seven months; single-payment 30-day loans secured by automobile titles; multiple-payment auto title loans that carry terms of two to five months; and revolving lines of credit, both unsecured and secured by automobile titles. In Texas, our financial services stores and our pawn stores that also offer financial services do not offer loan products themselves, but rather offer credit services to help customers obtain loans from independent third-party lenders. We also offer prepaid debit cards in all of our U.S. stores.</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Beginning with the second quarter of fiscal 2012, we redefined our reportable operating segments based on geography. Because our company is organized and managed along geographic lines, with product offerings and channels based on local custom and regulation, we concluded that segment reporting based on geography more closely aligns with our management organization and strategic direction.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For periods ending after January 1, 2012, we report segments as follows:</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63"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International — All business activities in the rest of the world (currently consisting of consumer loans online in the U.K. and our equity interests in the net income of Albemarle &amp; Bond and Cash Converters International)</w:t>
      </w:r>
    </w:p>
    <w:p>
      <w:pPr>
        <w:spacing w:after="0" w:line="11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Concurrent with the change in reportable operating segments, we revised our prior period financial information to reflect comparable financial information for the new segment structure. For revenues, profitability, assets and other information attributable to each of our segments, see Note 18, “Operating Segment Information,” to our consolidated financial statements contained in “Part II — Item 8 — Financial Statements and Supplementary Data.”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store data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Fiscal Year Ended September 30, 2012</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Latin America</w:t>
            </w:r>
          </w:p>
        </w:tc>
        <w:tc>
          <w:tcPr>
            <w:tcW w:w="134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2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International</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openings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comprised our total revenues for each of the last three fiscal years:</w:t>
      </w:r>
    </w:p>
    <w:p>
      <w:pPr>
        <w:spacing w:after="0" w:line="217"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Merchandise sales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Jewelry scrapping sales</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Pawn service charges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Consumer loan (including credit service) fees</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2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and Retail Activities</w:t>
      </w:r>
    </w:p>
    <w:p>
      <w:pPr>
        <w:spacing w:after="0" w:line="17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At our pawn stores, we make pawn loans, which are typically small, non-recourse loans collateralized by tangible personal property. At September 30, 2012, we had an aggregate pawn loan principal balance of $157.6 million, and the average pawn loan was approximately $125. We earn pawn service charge revenue on our pawn lending. In fiscal 2012, pawn service charges accounted for approximately 24% of our total revenues and 38% of our net revenues.</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While allowable service charges vary by state and loan size, a majority of our U.S. pawn loans earn 20% per month. Our average U.S. pawn loan amount typically ranges between $130 and $145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$60 U.S. dollars. In fiscal 2012, 2011 and 2010, and on a consolidated basis, approximately 82%, 81% and 80%, respectively, of our pawn loans were redeemed in full or were renewed or extended.</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Collateral for our pawn loans consists of tangible personal property, generally jewelry, consumer electronics, tools, sporting goods and musical instruments. Approximately 60% of our pawn loan collateral is jewelry, and the vast majority of that is gold jewelry. We do not evaluate the creditworthiness of a pawn customer, but rely on the estimated resale value of the collateral and the perceived probability of the loan’s redemption. The sources of information we use to determine the resale value of collateral include our computerized valuation software, gold values, Internet retail and auction sites, catalogs, newspaper advertisements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previous sales of similar merchandise. We generally lend from 25% to 65% of the collateral’s estimated resale value depending on an evaluation of these factors, and up to 80% based on scrap value.</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collateral is held through the duration of the loan, which the customer may renew or extend by paying accrued pawn service charges (in the case of a renewal) or pawn service charges for the extension period (in the case of an extension). Through our lending guidelines, we maintain an annual redemption rate (the percentage of loans made that are repaid, renewed or extended) between 79% and 82%. If a customer does not repay, renew or extend a loan, the collateral is forfeited to us and becomes inventory available for sale. We do not record loan losses or charge-offs of pawn loans because the principal amount of an unpaid loan becomes the inventory carrying cost of the forfeited collateral. We provide an inventory valuation allowance to ensure that this forfeited collateral is valued at the lower of cost or market.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dollar amount of our pawn loan activity for fiscal 2012, 2011 and 2010: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494"/>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made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Loans repaid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forfeited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Loans acquired in business acquisitions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due to foreign currency exchange fluctuations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increase in pawn loans outstanding at the end of the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19.5</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renewed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Loans extended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1,234.2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805.3</w:t>
            </w:r>
          </w:p>
        </w:tc>
      </w:tr>
    </w:tbl>
    <w:p>
      <w:pPr>
        <w:spacing w:after="0" w:line="17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redemption rate of pawn loans and the gross profit realized on the sale of forfeited collateral are dependent on the loan value of customer merchandise. Jewelry can be appraised based on weight, gold content, style and value of gemstones. Other items pawned typically consist of consumer electronics, tools, sporting goods and musical instruments. These are evaluated based on recent sales experience and the selling price of similar new merchandise, adjusted for age, wear and obsolescence.</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the time a pawn loan is made, the customer is given a pawn ticket, which shows the name and address of the pawn store and the customer, the customer’s identification information, the date of the loan, a detailed description of the pledged goods, the amount financed, the pawn service charge, the maturity date of the loan, the total amount that must be paid to redeem the loan and the annual percentage rate.</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our pawn stores and buy/sell stores, we acquire inventory for retail sales through pawn loan forfeitures and through purchases of customers’ merchandise and purchases of new or refurbished merchandise from third party vendors.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During fiscal 2012, 2011 and 2010, we realized gross margins on sales of 43%, 43% and 42%,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most recent fiscal years, sources of inventory additions were:</w:t>
      </w:r>
    </w:p>
    <w:p>
      <w:pPr>
        <w:spacing w:after="0" w:line="217"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2010</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 pawn loan collateral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Purchases from customers</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in business acquisitions</w:t>
            </w: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For fiscal 2012, 2011 and 2010, retail activities and jewelry scrapping (sales of precious metals and gemstones to refiners and gemstone wholesalers) accounted for approximately 55%, 57% and 56%, respectively, of our total revenues, or 35%, 37% and 36%, respectively, of net revenues, after deducting the cost of goods sold. As a significant portion of our inventory and sales involve gold jewelry, our results can be heavily influenced by the market price of gold.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Customers may purchase an extended return plan (called a “product protection plan”) that allows them to return or exchange certain general (non-jewelry) merchandise sold through our retail pawn operations within three to six months of purchase. We recognize the fees for this service as revenue ratably over the three to six month period.</w:t>
      </w:r>
    </w:p>
    <w:p>
      <w:pPr>
        <w:spacing w:after="0" w:line="12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also offer a jewelry VIP package, which guarantees customers a minimum future pawn loan amount on the item sold, allows them full credit if they trade in the item to purchase a more expensive piece of jewelry, and provides minor repair service on the item sold. These fees are recognized on sale.</w:t>
      </w:r>
    </w:p>
    <w:p>
      <w:pPr>
        <w:spacing w:after="0" w:line="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Customers may also purchase an item on layaway by paying a minimum layaway deposit of typically 10% to 20% of the item’s sale price. We hold the item for a 60 to 180-day period, during which the customer is required to pay the balance of the sales price. The initial deposit and subsequent payments are recorded as customer layaway deposits. Layaways are recorded as sales when paid in full. As of September 30, 2012, we held $7.2 million in customer layaway deposits. We record product protection, jewelry VIP and layaway fees as sales revenue, as they are incidental to sales of merchandise.</w:t>
      </w:r>
    </w:p>
    <w:p>
      <w:pPr>
        <w:spacing w:after="0" w:line="10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4.9% of gross inventory at September 30, 2012 compared to 9.5% at September 30, 2011. The lower valuation allowance is reflective of periodic analyses conducted to value the inventory based on aging, profitability, sell-through rates and shrink in each classification, including jewelry and general merchandise.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also offer a variety of financial services to customers who have limited access to other sources of credit. Many customers find our financial services a more attractive alternative than borrowing from friends or family or incurring insufficient funds fees, overdraft protection fees, utility reconnect fees and other charges imposed when they have insufficient cash to meet their needs. By utilizing our financial services, customers can exercise greater control of their personal finances without damaging the relationships they have with their merchants, service providers and family members.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specific financial services offered varies by location, but generally include some or all of the following:</w:t>
      </w:r>
    </w:p>
    <w:p>
      <w:pPr>
        <w:spacing w:after="0" w:line="171"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i w:val="1"/>
          <w:iCs w:val="1"/>
          <w:color w:val="auto"/>
        </w:rPr>
        <w:t xml:space="preserve">Unsecured consumer loans </w:t>
      </w:r>
      <w:r>
        <w:rPr>
          <w:rFonts w:ascii="Arial" w:cs="Arial" w:eastAsia="Arial" w:hAnsi="Arial"/>
          <w:sz w:val="18"/>
          <w:szCs w:val="18"/>
          <w:color w:val="auto"/>
        </w:rPr>
        <w:t>— We offer a variety of unsecured consumer loans, including single-payment loans, multiple-payment loans, lines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and payroll withholding loans:</w:t>
      </w:r>
    </w:p>
    <w:p>
      <w:pPr>
        <w:spacing w:after="0" w:line="116" w:lineRule="exact"/>
        <w:rPr>
          <w:sz w:val="20"/>
          <w:szCs w:val="20"/>
          <w:color w:val="auto"/>
        </w:rPr>
      </w:pPr>
    </w:p>
    <w:p>
      <w:pPr>
        <w:ind w:left="820" w:right="420" w:hanging="326"/>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Single-payment loans — Single-payment loans are short-term loans (generally less than 30 days and averaging about 16 days) with due dates corresponding to the customer’s next payday. Principal amounts of single-payment unsecured loans can be up to $1,500, but average approximately $440. In the U.S. we typically charge a fee of 15% to 22% of the loan amount for a 7 to 23-day period. Online in the United Kingdom, we charge a fixed fee of 30% of the loan amount for up to 30 days.</w:t>
      </w:r>
    </w:p>
    <w:p>
      <w:pPr>
        <w:spacing w:after="0" w:line="132" w:lineRule="exact"/>
        <w:rPr>
          <w:rFonts w:ascii="Arial" w:cs="Arial" w:eastAsia="Arial" w:hAnsi="Arial"/>
          <w:sz w:val="18"/>
          <w:szCs w:val="18"/>
          <w:color w:val="auto"/>
        </w:rPr>
      </w:pPr>
    </w:p>
    <w:p>
      <w:pPr>
        <w:ind w:left="820" w:right="40" w:hanging="326"/>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Multiple-payment loans — Multiple-payment loans typically carry a term of four to seven months, with a series of equal installment payments due monthly, semi-monthly or on the customer’s paydays. Total interest and fees on these loans vary in accordance with state law and loan terms, but over the entire loan term, total approximately 45% to 130% of the original principal amount of the loan. Principal amounts range from $100 to $3,000, but average approximately $550.</w:t>
      </w:r>
    </w:p>
    <w:p>
      <w:pPr>
        <w:spacing w:after="0" w:line="132" w:lineRule="exact"/>
        <w:rPr>
          <w:rFonts w:ascii="Arial" w:cs="Arial" w:eastAsia="Arial" w:hAnsi="Arial"/>
          <w:sz w:val="18"/>
          <w:szCs w:val="18"/>
          <w:color w:val="auto"/>
        </w:rPr>
      </w:pPr>
    </w:p>
    <w:p>
      <w:pPr>
        <w:ind w:left="820" w:right="160" w:hanging="326"/>
        <w:spacing w:after="0" w:line="276"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Line of credit — Revolving lines of credit operate similarly to a typical credit card. Customers may borrow as needed, may fully repay borrowed amounts at any point and are billed at regular intervals with certain minimum principal and fee payment requirements due in each billing cycle. Billing cycle due dates range from two weeks to a month and generally correspond with the customer’s paydays. Customers may borrow up to their approved credit line, and may re-borrow any repaid amounts. We provide lines of credit ranging from $100 to $700 and typically charge an annual fee of $30 per account and a monthly fee approximating 52% of the amount borrowed.</w:t>
      </w:r>
    </w:p>
    <w:p>
      <w:pPr>
        <w:spacing w:after="0" w:line="118" w:lineRule="exact"/>
        <w:rPr>
          <w:rFonts w:ascii="Arial" w:cs="Arial" w:eastAsia="Arial" w:hAnsi="Arial"/>
          <w:sz w:val="17"/>
          <w:szCs w:val="17"/>
          <w:color w:val="auto"/>
        </w:rPr>
      </w:pPr>
    </w:p>
    <w:p>
      <w:pPr>
        <w:ind w:left="820" w:right="52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Payroll withholding loans — At Crediamigo, we offer unsecured consumer loans to employees of various employers (typically, government agencies) with whom we have master payroll withholding lending agreements. Principal amounts of the loans average $1,200, with terms averaging 31 months. The loans typically have annual yields of approximately 27%.</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Secured consumer loans </w:t>
      </w:r>
      <w:r>
        <w:rPr>
          <w:rFonts w:ascii="Arial" w:cs="Arial" w:eastAsia="Arial" w:hAnsi="Arial"/>
          <w:sz w:val="18"/>
          <w:szCs w:val="18"/>
          <w:color w:val="auto"/>
        </w:rPr>
        <w:t>— We offer three principal types of secured consumer loans:</w:t>
      </w:r>
    </w:p>
    <w:p>
      <w:pPr>
        <w:spacing w:after="0" w:line="171" w:lineRule="exact"/>
        <w:rPr>
          <w:sz w:val="20"/>
          <w:szCs w:val="20"/>
          <w:color w:val="auto"/>
        </w:rPr>
      </w:pPr>
    </w:p>
    <w:p>
      <w:pPr>
        <w:ind w:left="820" w:right="4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Single-payment auto title loans — Single-payment auto title loans are 30-day loans secured by the titles to customers’ automobiles. Loan principal amounts range from $100 to $10,000, but average about $835. Loan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right="460"/>
        <w:spacing w:after="0" w:line="324" w:lineRule="auto"/>
        <w:rPr>
          <w:sz w:val="20"/>
          <w:szCs w:val="20"/>
          <w:color w:val="auto"/>
        </w:rPr>
      </w:pPr>
      <w:r>
        <w:rPr>
          <w:rFonts w:ascii="Arial" w:cs="Arial" w:eastAsia="Arial" w:hAnsi="Arial"/>
          <w:sz w:val="18"/>
          <w:szCs w:val="18"/>
          <w:color w:val="auto"/>
        </w:rPr>
        <w:t>amounts are established based on customers’ income levels, an inspection of the automobile and title and reference to market values of used automobiles. We earn a fee of 12.5% to 25% of auto title loan amounts.</w:t>
      </w:r>
    </w:p>
    <w:p>
      <w:pPr>
        <w:spacing w:after="0" w:line="89" w:lineRule="exact"/>
        <w:rPr>
          <w:sz w:val="20"/>
          <w:szCs w:val="20"/>
          <w:color w:val="auto"/>
        </w:rPr>
      </w:pPr>
    </w:p>
    <w:p>
      <w:pPr>
        <w:ind w:left="820" w:right="20" w:hanging="326"/>
        <w:spacing w:after="0" w:line="286"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Multi-payment auto title loans — In Texas, we assist customers in obtaining multiple-payment auto title loans from unaffiliated lenders. Multiple-payment auto title loans carry a term of up to five months, with a series of equal installment payments due monthly, semi-monthly or on the customer’s paydays and with each installment payment we earn a fee of 11% to 35% of the initial loan amount.</w:t>
      </w:r>
    </w:p>
    <w:p>
      <w:pPr>
        <w:spacing w:after="0" w:line="111" w:lineRule="exact"/>
        <w:rPr>
          <w:rFonts w:ascii="Arial" w:cs="Arial" w:eastAsia="Arial" w:hAnsi="Arial"/>
          <w:sz w:val="17"/>
          <w:szCs w:val="17"/>
          <w:color w:val="auto"/>
        </w:rPr>
      </w:pPr>
    </w:p>
    <w:p>
      <w:pPr>
        <w:jc w:val="both"/>
        <w:ind w:left="820" w:right="12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 title line of credit —The terms and fee structure of auto title lines of credit are similar to those of unsecured lines of credit described above, except that they are secured by the titles to customers’ automobiles. We provide lines of credit ranging from $100 to $8,000 and typically charge an initial lien fee per account and a monthly fee approximating 25% of the amount borrowed.</w:t>
      </w:r>
    </w:p>
    <w:p>
      <w:pPr>
        <w:spacing w:after="0" w:line="12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Debit Cards </w:t>
      </w:r>
      <w:r>
        <w:rPr>
          <w:rFonts w:ascii="Arial" w:cs="Arial" w:eastAsia="Arial" w:hAnsi="Arial"/>
          <w:sz w:val="18"/>
          <w:szCs w:val="18"/>
          <w:color w:val="auto"/>
        </w:rPr>
        <w:t>— In many of our stores and online, customers may obtain general-purpose, branded reloadable debit cards. The cards are issued by a bank,</w:t>
      </w:r>
      <w:r>
        <w:rPr>
          <w:rFonts w:ascii="Arial" w:cs="Arial" w:eastAsia="Arial" w:hAnsi="Arial"/>
          <w:sz w:val="18"/>
          <w:szCs w:val="18"/>
          <w:i w:val="1"/>
          <w:iCs w:val="1"/>
          <w:color w:val="auto"/>
        </w:rPr>
        <w:t xml:space="preserve"> </w:t>
      </w:r>
      <w:r>
        <w:rPr>
          <w:rFonts w:ascii="Arial" w:cs="Arial" w:eastAsia="Arial" w:hAnsi="Arial"/>
          <w:sz w:val="18"/>
          <w:szCs w:val="18"/>
          <w:color w:val="auto"/>
        </w:rPr>
        <w:t>and we receive a portion of the fees charged for activity on the cards.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our Texas stores, we do not offer consumer loans themselves, but offer fee-based credit services to customers seeking loans. In these locations, we act as a credit services organization (or “CSO”) on behalf of customers in accordance with applicable state and local laws, and offer advice and assistance to customers in obtaining loans from unaffiliated lenders. Our services include arranging consumer loans with independent third-party lenders, assisting in the preparation of loan applications and loan documents and accepting loan payments for the lenders. We do not make, fund or participate in the consumer loans made by the lenders, but we assist customers in obtaining credit and enhance their creditworthiness by issuing letters of credit to guarantee customers’ payment obligations to the independent third-party lenders. For credit services in connection with arranging a single-payment loan (average loan amount of about $505), our fee is approximately 22% of the loan amount. For credit services in connection with arranging an unsecured multiple-payment loan (average loan amount of about $2,105), our fee is 11% of the initial loan amount with each semi-monthly or bi-weekly installment payment. Low dollar installment loan principal amounts range from $100 to $1,500, but average about $705. With each semi-monthly or bi-weekly installment payment, we earn a fee of 13% to 14% of the initial loan amount. For credit services in connection with arranging single-payment auto title loans (average loan amount of about $860), the fee is up to 30% of the loan amount. In fiscal 2012, we began assisting customers in obtaining longer-term multiple-payment auto title loans from unaffiliated lenders. Multiple-payment auto title loans typically carry terms of two to five months with up to ten equal installments. Multiple-payment auto title loan principal amounts range from $150 to $10,000, but average about $1,000; and, with each installment payment, we earn a fee of 11% to 35% of the initial loan amount.</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Single-payment consumer loans are considered defaulted if they are not repaid or renewed by the maturity date. Outstanding amounts on unsecured lines of credit are considered defaulted if customers do not timely make one required scheduled payment. Multiple-payment loans are considered defaulted if the customer has failed to make two consecutive installment payments. Although defaulted loans may be collected later, we charge the loan principal to bad debt upon default, leaving only active loans in the reported balance. Subsequent collections of principal are recorded as a reduction of bad debt at the time of collection. Accrued service charges related to defaulted loans are deducted from service charge revenue upon loan default, and increase service charge revenue upon subsequent collection. We provide for a valuation allowance on both the principal and service charges receivable based on recent default and collection experience. Our consumer loan balance represents the principal amount of all active (non-defaulted) loans, net of this valuation allowance.</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 credit service customer defaults on a loan, we pay the lender the principal and accrued interest due under the loan and an insufficient funds fee or late fee and charge those amounts to bad debt expense. We then attempt to collect those amounts from the customer. Subsequent recoveries are recorded as a reduction of bad debt at the time of collection. We also record as bad debt expense an accrual of expected losses for principal, interest and insufficient fund fees and late fees we expect to pay the lenders on default of the lenders’ current loans. This estimate is based on recent default and collection experience and the amount of loans the lenders have outstanding.</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table below shows the dollar amount of our consumer loan activity for the three most recent fiscal years. For purposes of this table, consumer loan balances include the principal portion of loans (net of valuation allowance) recorded on our balance sheet and the principal portion of active brokered loans outstanding from unaffiliated lenders, which is not included on our balance sheet.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Combined consumer loans: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Loans made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259.1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repaid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Loans forfeited, net of collections on bad debt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acquired in business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Change due to foreign currency exchange fluctuations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consumer loans outstanding at the end of the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Consumer loans made by unaffiliated lenders (credit services only):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Loans made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Loans repaid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Loans forfeited, net of collections on bad debt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Loans acquired in business acquisition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increase (decrease) in consumer loans outstanding at the end of the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r>
      <w:tr>
        <w:trPr>
          <w:trHeight w:val="311"/>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Consumer loans made by us: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Loans made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Loans repaid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Loans forfeited, net of collections on bad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Loans acquired in business acquisition</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Change due to foreign currency exchange fluctuations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increase (decrease) in consumer loans outstanding at the end of the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r>
      <w:tr>
        <w:trPr>
          <w:trHeight w:val="311"/>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bl>
    <w:p>
      <w:pPr>
        <w:spacing w:after="0" w:line="1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profitability of unsecured consumer loans is highly dependent on our ability to manage the default rate and collect defaulted loan principal, interest and insufficient fund fees. In determining whether to lend or provide credit services, we perform a review of customer information, such as making a credit reporting agency inquiry, evaluating and verifying income sources and levels, verifying employment and verifying a telephone number where the customers may be contacted.</w:t>
      </w:r>
    </w:p>
    <w:p>
      <w:pPr>
        <w:spacing w:after="0" w:line="13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Auto title loans are secured by the titles to customers’ automobiles. Lending decisions and loan amounts are determined on the basis of customers’ income levels, an inspection of the automobile and title and reference to market values of used automobiles. Through charges to bad debt expense, we provide a bad debt allowance on the current and delinquent balances of auto title loans and auto title lines of credit, and increase the allowance as the loans age or in response to other potential indicators of loss. Auction proceeds from repossessed automobiles are recorded as an offset to bad debt.</w:t>
      </w:r>
    </w:p>
    <w:p>
      <w:pPr>
        <w:spacing w:after="0" w:line="1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the time a consumer loan is made, a loan agreement and credit services agreement, when applicable, are given to the customer. It presents the name and address of the lender, the customer and the credit services company when applicable, the customer’s identification information, the date of the loan, the amount financed, the interest or service charges due on maturity, the maturity date of the loan, the total amount that must be paid and the annual percentage rate. At the time a line of credit is granted, customers receive a similar agreement specifying the terms of the credit line, fees and annual percentage rate and repayment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12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payroll withholding lending business is less impacted by seasonality, with the exception of the summer months when new loan originations tend to moderate.</w:t>
      </w:r>
    </w:p>
    <w:p>
      <w:pPr>
        <w:spacing w:after="0" w:line="116" w:lineRule="exact"/>
        <w:rPr>
          <w:sz w:val="20"/>
          <w:szCs w:val="20"/>
          <w:color w:val="auto"/>
        </w:rPr>
      </w:pPr>
    </w:p>
    <w:p>
      <w:pPr>
        <w:ind w:right="340"/>
        <w:spacing w:after="0" w:line="438" w:lineRule="auto"/>
        <w:rPr>
          <w:sz w:val="20"/>
          <w:szCs w:val="20"/>
          <w:color w:val="auto"/>
        </w:rPr>
      </w:pPr>
      <w:r>
        <w:rPr>
          <w:rFonts w:ascii="Arial" w:cs="Arial" w:eastAsia="Arial" w:hAnsi="Arial"/>
          <w:sz w:val="18"/>
          <w:szCs w:val="18"/>
          <w:color w:val="auto"/>
        </w:rPr>
        <w:t xml:space="preserve">The net effect of these factors is that net revenues and net income typically are strongest in the fourth fiscal quarter and weakest in the third fiscal quarter. </w:t>
      </w:r>
      <w:r>
        <w:rPr>
          <w:rFonts w:ascii="Arial" w:cs="Arial" w:eastAsia="Arial" w:hAnsi="Arial"/>
          <w:sz w:val="18"/>
          <w:szCs w:val="18"/>
          <w:b w:val="1"/>
          <w:bCs w:val="1"/>
          <w:color w:val="auto"/>
        </w:rPr>
        <w:t>Operations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typical company pawn store employs approximately six full-time team members, consisting of a store manager, an assistant manager and four pawnbrokers. Each store manager is responsible for ensuring that the store is run in accordance with our policies, procedures and operating guidelines, and reports to an area manager. Area managers are responsible for the performance of all stores within their area and report to one of our regional directors. Managers and regional directors receive incentive compensation based on their performance in comparison to an operating budget. Our U.S. pawnbrokers are also eligible to receive incentive compensation based on the store’s performance and their individual productivity performance. The incentive compensation for our pawn employees typically ranges between 5% to 30% of their total compensation.</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Financial services stores typically employ two to three team members per location, consisting of a store manager and one or two customer service representatives. Each store manager is responsible for ensuring that the store is run in accordance with our policies, procedures and operating guidelines, and reports to an area manager, who is responsible for the stores within a specific operating area and reports to a regional director. Managers and regional directors receive incentive compensation based on their performance in comparison to an operating budget.</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majority of our financial services stores, store employees attempt to collect defaulted consumer loans in the first 30 days after default. After the initial 30 days, our centralized collection center assumes collection responsibility for these loans. The centralized collection center also collects defaulted consumer loans for all other locations from the date of default. After attempting to collect for approximately 90 days, we generally sell the remaining defaulted consumer loans to a third party or refer them to an outside collection agency for a contingency fee.</w:t>
      </w:r>
    </w:p>
    <w:p>
      <w:pPr>
        <w:spacing w:after="0" w:line="13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payroll withholding lending business in Mexico operates using a network of low-cost branch offices dedicated to making loans to employees of government agencies and other employers with whom Crediamigo has processing and withholding agreements in place. A centralized corporate office provides the lending approval function, processing of loans and repayments, collections, sales support and other administrative functions. Each branch location is headed by a sales manager and, depending upon size of the region, may have between eight and fifteen sales professionals reporting through the branch. Sales professionals are commission-based, with earnings tied to loans originated. All loan requests are approved or declined through the centralized credit process. Crediamigo also utilizes a network of brokers to augment the sales force.</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an internally developed store level point of sale system that automates the recording of pawn, merchandise purchase and sale transactions. We also have a separate loan management computer system specifically designed to handle consumer loan transactions. We have redundant backup systems in the event of a system failure or natural disaster. Financial data from stores owned by our wholly-owned subsidiaries is processed at the corporate office each day and the preceding day’s data are available for management review via our internal network. For stores and operations owned by majority-owned subsidiaries, weekly financial data is provided to the corporate office. Our communications network provides information access between the stores and the corporate office.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Our internal audit staff monitors the perpetual inventory system, lending practices, regulatory compliance and compliance with our policies and procedures.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location is typically audited several times annually, adjusted based on estimated risk.</w:t>
      </w:r>
    </w:p>
    <w:p>
      <w:pPr>
        <w:spacing w:after="0" w:line="15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of September 30, 2012, we employed approximately 7,200 team members. We believe that our success is dependent upon our team members’ ability to provide prompt and courteous customer service and to execute our operating procedures and standards. We seek to hire people who will become long-term, career team members. To achieve our long-range personnel goals, we offer a structured career development program for all of our field team members. This program includes computer-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based training, formal structured classroom training and supervised on-the-job training. All store team members, including managers, must meet certain competency criteria prior to hire or promotion and participate in on-going training classes and formal instructional programs. Our career development program develops and advances our employees and provides training for the efficient integration of experienced managers and team members from outside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operate our U.S. pawn stores principally under the names “EZPAWN” or “Value Pawn” and the Mexico pawn stores under the names “EMPEÑO FÁCIL” and “EMPEÑE SU ORO AL INSTANTE.” Our U.S. financial services stores operate under a variety of names, including “EZMONEY Payday Loans,” “EZ Loan Services,” “EZ Payday Advance” and “EZPAWN Payday Loans,” and our CSO stores operate under the name “EZMONEY Loan Services.” Our financial services and buy/sell stores in Canada operate under the names “CASHMAX” or “Cash Converters.” In Mexico, we offer payroll withholding loans under the name "Crediamigo." In the U.K. we offer consumer loans online under the name "Cash Genie." We have registered with the United States Patent and Trademark Office the names EZPAWN, EZMONEY and EZCORP, among others. We hold a trademark in Mexico for the name “EMPEÑO FÁCIL” and are the master franchisee in Canada for the “Cash Converters” brand.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and Expansion</w:t>
      </w:r>
    </w:p>
    <w:p>
      <w:pPr>
        <w:spacing w:after="0" w:line="175"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We plan to expand the number of locations we operate through opening de novo locations and through acquisitions. We believe that in the near term the largest growth opportunities are with de novo stores in Mexico and the U.S., pawn store acquisitions in the U.S. and online lending, both in the U.S. and internationally. We continually evaluate and test new products and formats, which may result in expansion opportunities or strategic investments.</w:t>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fiscal 2012, we acquired 28 pawn stores in the San Antonio metropolitan area, Florida, Minnesota and Georgia; 8 buy/sell stores in Virginia, Pennsylvania and Canada; and 15 financial services stores in Hawaii and Texas. The aggregate consideration for these stores was approximately $76.9 million, net of cash acquired. During fiscal 2012, we also acquired a 60% interest in Crediamigo, a specialty consumer finance company headquartered in Mexico City, for total consideration of $60.1 million, net of cash acquired; and a 72% interest in Ariste Holding Limited and its affiliates, which provides online loans in the U.K under the name "Cash Genie," for total consideration of $32.4 million, net of cash acquired. The results of all acquired stores and businesses have been consolidated with our results since their acquisition. During fiscal 2012, we also opened 10 pawn and four financial services stores in the U.S., 52 pawn stores in Mexico, three buy/sell and financial services stores in Canada and two financial services stores in Mexico. These acquisitions were part of our continuing strategy to enhance and diversify our earnings.</w:t>
      </w:r>
    </w:p>
    <w:p>
      <w:pPr>
        <w:spacing w:after="0" w:line="1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fiscal 2013, we plan to open 25 to 30 pawn stores in the U.S., 70 to 80 pawn stores in Mexico and 65 to 75 financial services stores in the U.S. (most of which will follow our store-within-a-store format).</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cost of opening new de novo stores varies based on the size, type and location of stores opened. During fiscal 2012, we opened 10 de novo U.S. pawn stores, each requiring an average property and equipment investment of approximately $380,000. The three de novo Canadian buy/sell and financial services stores required an average property and equipment investment of approximately $80,000, while the 52 de novo pawn stores in Mexico required an average property and equipment investment of approximately $120,000.</w:t>
      </w:r>
    </w:p>
    <w:p>
      <w:pPr>
        <w:spacing w:after="0" w:line="13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Our ability to add new stores is dependent on several variables, such as the availability of acceptable sites or acquisition candidates, the regulatory environment, local zoning ordinances, access to capital and the availability of qualified personnel.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encounter significant competition in connection with all of our activities. These competitive conditions may adversely affect our revenues, profitability and ability to expand. In our lending businesses, we compete with other pawn stores, payday lenders, credit service organizations, banks, credit unions and other financial institutions, such as consumer finance companies. Other lenders may lend money on an unsecured basis, at interest rates that may be lower than our service charges, and on other terms that may be more favorable than ours or through other market channels, such as online, which some customers may prefer. We believe that the primary elements of competition are the quality of customer service and relationship management, convenience, store location, a customer friendly environment and the ability to loan competitive amounts at competitive rates. In addition, we believe the ability to compete effectively will be based increasingly on strong general management, regional focus, automated management information systems, access to capital, superior customer service and the ability to offer certain services online.</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competitors for merchandise sales include numerous retail and wholesale stores, including jewelry stores, discount retail stores, consumer electronics stores, other pawn stores, other resale stores, electronic commerce retailers and auction sites.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Competitive factors in our retail operations include the ability to provide the customer with a variety of merchandise at an exceptional value and convenience.</w:t>
      </w:r>
    </w:p>
    <w:p>
      <w:pPr>
        <w:spacing w:after="0" w:line="19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offering general purpose, reloadable debit cards, our competitors include other specialty financial service providers, banks and credit unions, as well as specialists in offering debit cards. Competitive factors in our debit card operations include offering competitive, comprehensive services at competitive rates.</w:t>
      </w:r>
    </w:p>
    <w:p>
      <w:pPr>
        <w:spacing w:after="0" w:line="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pawn industry in the United States is large and highly fragmented. The industry consists of approximately 13,000 pawn stores owned primarily by independent operators who own one to three locations, and we consider the industry relatively mature. We are the second largest operator of pawn stores in the United States, with 470 locations at September 30, 2012. The three largest pawn store operators account for approximately ten percent of the total estimated pawn stores in the United States.</w:t>
      </w:r>
    </w:p>
    <w:p>
      <w:pPr>
        <w:spacing w:after="0" w:line="13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pawn industry in Mexico is also fragmented, but less so than in the United States. The industry consists of approximately 5,000 pawn stores owned by independent operators and chains, including some not-for-profit organizations. The pawn industry, particularly full-line stores offering general merchandise and jewelry loans and resale, remains in more of an expansion stage in Mexico than in the United States. The market for gold-only pawn stores is mature.</w:t>
      </w:r>
    </w:p>
    <w:p>
      <w:pPr>
        <w:spacing w:after="0" w:line="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unsecured payroll lending industry in Mexico is less developed than other Latin American countries. Payroll lending in Mexico is generally marketed to public sector employees, who on average earn more and rotate less frequently than their private sector peers. Additionally, government entities tend to be more stable and on average have more employees than private companies. It is estimated that less than 15% of the market potential is being serviced. Crediamigo is the third largest vertically integrated payroll lender in Mexico with 45 branch offices located in 24 of the 32 states in the country.</w:t>
      </w:r>
    </w:p>
    <w:p>
      <w:pPr>
        <w:spacing w:after="0" w:line="10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specialty financial services industry in the United States is mature and is larger and more concentrated than the pawn industry. The industry consists of a number of online lenders and approximately 20,000 locations that are either mono-line stores offering only short-term consumer loans or other businesses offering short-term consumer loans in addition to other products and services, such as check cashing stores, automobile title loan stores, pawn stores and stores offering reloadable debit cards. The ten largest short-term consumer loan companies, including us, operate approximately 45% of the total number of physical locations, and online competition has increased in recent years. Recently, several national and regional banks have begun offering cash advance products with similar characteristics and rate structures to our short-term consumer loans.</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specialty financial services industry in Canada remains in a growth stage. The industry consists of approximately 1,500 locations that are either mono-line stores offering only short-term consumer loans or other businesses offering short-term consumer loans in addition to other products and services, such as check cashing stores, pawn stores and stores offering reloadable debit cards or bank accounts. The Canadian short-term consumer loan industry is highly concentrated, with the three largest companies operating approximately 74% of the total number of locations.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U.K. online lending market receives approximately 2 million applications per month, with 25% of that traffic coming from mobile phones. The online lending market is competitive, and website traffic is generated through mainstream and online media. There are over 100 online lenders within the U.K., with Cash Genie ranking in the top five.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Albemarle &amp; Bond </w:t>
      </w:r>
      <w:r>
        <w:rPr>
          <w:rFonts w:ascii="Arial" w:cs="Arial" w:eastAsia="Arial" w:hAnsi="Arial"/>
          <w:sz w:val="16"/>
          <w:szCs w:val="16"/>
          <w:color w:val="auto"/>
        </w:rPr>
        <w:t>— At September 30, 2012, we held almost 30% of the outstanding shares of Albemarle &amp; Bond Holdings PLC, a publicly-traded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headquartered in Reading, United Kingdom. At June 30, 2012, the latest date at which Albemarle &amp; Bond has publicly reported results, Albemarle</w:t>
      </w:r>
    </w:p>
    <w:p>
      <w:pPr>
        <w:ind w:firstLine="8"/>
        <w:spacing w:after="0" w:line="288" w:lineRule="auto"/>
        <w:tabs>
          <w:tab w:leader="none" w:pos="185" w:val="left"/>
        </w:tabs>
        <w:numPr>
          <w:ilvl w:val="0"/>
          <w:numId w:val="7"/>
        </w:numPr>
        <w:rPr>
          <w:rFonts w:ascii="Arial" w:cs="Arial" w:eastAsia="Arial" w:hAnsi="Arial"/>
          <w:sz w:val="16"/>
          <w:szCs w:val="16"/>
          <w:color w:val="auto"/>
        </w:rPr>
      </w:pPr>
      <w:r>
        <w:rPr>
          <w:rFonts w:ascii="Arial" w:cs="Arial" w:eastAsia="Arial" w:hAnsi="Arial"/>
          <w:sz w:val="16"/>
          <w:szCs w:val="16"/>
          <w:color w:val="auto"/>
        </w:rPr>
        <w:t>Bond operated approximately 230 locations in the United Kingdom that offer pawn loans, payday loans, installment loans, check cashing and retail jewelry. For its fiscal year ended June 30, 2012, Albemarle &amp; Bond's gross revenues increased 16% to £117.7 million ($186.5 million), its net income increased 2% to approximately £15.7 million ($24.8 million), and its diluted earnings per share increased 2% to £0.2819 ($0.4466). Albemarle &amp; Bond's stock is traded on the Alternative Investment Market of the London Stock Exchange. We are its largest single shareholder and currently hold three of the nine seats on Albemarle &amp; Bond’s board of directors. We account for our investment in Albemarle &amp; Bond under the equity method. In fiscal 2012, our interest in Albemarle &amp; Bond’s income was $7.5 million and we received dividends of $3.4 million. Based on the closing price and exchange rates on September 30, 2012, the market value of our investment in Albemarle &amp; Bond was approximately $65.1 million compared to its book value of $51.8 million.</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Cash Converters International </w:t>
      </w:r>
      <w:r>
        <w:rPr>
          <w:rFonts w:ascii="Arial" w:cs="Arial" w:eastAsia="Arial" w:hAnsi="Arial"/>
          <w:sz w:val="18"/>
          <w:szCs w:val="18"/>
          <w:color w:val="auto"/>
        </w:rPr>
        <w:t>— At September 30, 2012, we owned approximately 33% of the total ordinary shares of Cash Converters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a publicly-traded company headquartered in Perth, Australia. We acquired the shares between November 2009 and May 2010 for approximately $57.8 million. As its largest single shareholder and, pursuant to a shareholder agreement, we hold two of the five seats on Cash Converters’ board of directors. Cash Converters franchises and operates a worldwide network of approximately 700 specialty financial services and retail stores that provide pawn loans, short-term</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unsecured loans and other consumer finance products, and buy and sell second-hand goods. Cash Converters has significant store concentrations in Australia and the United Kingdom. In the short-term, we expect Cash Converters will continue buying back franchised locations and converting them into company operated stores as well as increasing its portfolio of short-term consumer loans in Australia and the U.K.</w:t>
      </w:r>
    </w:p>
    <w:p>
      <w:pPr>
        <w:spacing w:after="0" w:line="11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Consumer Credit and Corporations Legislation Amendment (Enhancements) Bill 2011 was passed by the Australian Parliament in August 2012. This new law, which will go into effect on July 1, 2013, imposes certain limitations and restrictions on short-term consumer loans in Australia, including interest limitations and restrictions on extensions and refinancings. These limitations and restrictions, however, are more favorable to the industry than previous proposals, and the passage of these rules should stabilize the Australian regulatory environment related to short-term consumer loans for the foreseeable future.</w:t>
      </w:r>
    </w:p>
    <w:p>
      <w:pPr>
        <w:spacing w:after="0" w:line="13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its fiscal year ended June 30, 2012, Cash Converters’ gross revenue improved 26% to AUS $234.4 million (U.S. $241.9 million), net income improved 6% to AUS $29.4 million (U.S. $30.4 million) and diluted earnings per share increased 6% to AUS $0.0763 (U.S. $0.0790). For the year, Cash Converters declared dividends of AUS $0.0350 (U.S. $0.0361) per share. We account for our investment in Cash Converters under the equity method. In fiscal 2012, our interest in Cash Converters’ income was $9.9 million and we recorded dividends of $4.4 million. Based on the closing price and exchange rates on September 30, 2012, the market value of our investment in Cash Converters was approximately $100.7 million compared to its book value of $74.3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operations are subject to extensive regulation under various federal, state and local laws and regulations, and we believe that we conduct our business in material compliance with all of these rules. The following is a general description of significant regulations affecting our business. For a geographic breakdown of our operating locations, see “Part I — Item 2 —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and Retail Regulations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pawn stores are regulated by the states in which they are located and, in some cases, by individual municipalities or other local authorities. The applicable statutes, ordinances and regulations vary from location to location and typically impose licensing requirements for pawn stores or individual pawn store employees. Licensing requirements typically relate to financial responsibility and character, and may establish restrictions on where pawn stores can operate. Additional rules regulate various aspects of the day-to-day pawn operations, including the service charges and interest rates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interest, fees, total payments and annual percentage rate related to each pawn loan transaction. Additional federal regulations applicable to our pawn lending business are described in “Other Federal Regulations” below.</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Most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Historically, we have not experienced a material number of claims of this nature.</w:t>
      </w:r>
    </w:p>
    <w:p>
      <w:pPr>
        <w:spacing w:after="0" w:line="13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Mexico regulates various aspects of the pawn industry at the federal, state and local level. Regulations issued by the federal consumer protection agency, Procuraduría Federal del Consumidor (PROFECO), govern the form of pawn loan contracts and consumer disclosures, but the regulations do not impose interest rate or service charge limitations on pawn loans. Pawn stores, like other businesses in Mexico, are also subject to a variety of regulations in such areas as tax compliance, customs, consumer protection and employment.</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Canada, and in Virginia and Pennsylvania in the U.S., we operate stores that buy and sell secondhand merchandise, as opposed to offering pawn loans. These stores are regulated by local municipalities or other local authorities. The applicable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ordinances vary from location to location and include licensing for secondhand dealing or precious metal purchasing, law enforcement reporting requirements, and the imposition of holding periods before a purchased item can be offered for resale. Failure to observe these regulations could result in a revocation or suspension of licenses, the imposition of fines, and other civil or criminal penalties. Our Canadian buy/sell stores also offer short-term consumer loans.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Consumer Loan Regulations</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Each state in which we offer short-term consumer loan products has specific laws and regulations dealing with the conduct of this business. These laws and regulations vary in scope, but generally require licensing of locations, establish loan terms, provide for consumer protections and disclosures and permit periodic regulatory examinations. In the case of single-payment loans, most applicable laws and regulations limit the amount of fees that may be charged, establish maximum loan amounts and duration, and restrict the customer’s ability to renew or extend the loan. Some states require reporting of customers’ loan activities to a state-wide database, and prohibit the making of loans to customers who have loans outstanding with other lenders. Some municipalities in which we operate also impose various rules and regulations, primarily related to zoning and licensing requirements, but in some cases, related to loan terms (such as maximum loan amounts, maximum number of renewals or extensions and mandatory principal paydowns). Failure to observe applicable legal requirements could result in a loss of license, the imposition of fines or customer refunds, and other civil or criminal penalties.</w:t>
      </w:r>
    </w:p>
    <w:p>
      <w:pPr>
        <w:spacing w:after="0" w:line="1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must also comply with various federal requirements (including the Truth in Lending Act and Regulation Z) regarding the disclosure of interest, fees, total payments and annual percentage rate related to each loan transaction. With respect to our debt collection activities, we comply with the federal Fair Debt Collection Practices Act and similar state laws regulating debt collection practices. Additional federal regulations applicable to our short-term consumer loan business are described in “Other Federal Regulations” below.</w:t>
      </w:r>
    </w:p>
    <w:p>
      <w:pPr>
        <w:spacing w:after="0" w:line="13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Texas, we do not make loans to customers, but rather offer fee-based credit services, including assistance in arranging loans with independent third-party lenders. As required by state law, we are registered as a Credit Services Organization (“CSO”) in order to provide such services and, pursuant to state laws effective January 1, 2012, are licensed as a Credit Access Business (“CAB”). The applicable CSO law requires us to provide each customer with an upfront disclosure statement describing, among other things, the services to be provided and the fees to be charged and, upon entering into a transaction, with a written contract fully describing the services provided. The law prohibits us from receiving compensation solely for referring a customer to a lender and also provides for other disclosure requirements, cancellation rights for customers and prohibitions on fraudulent or deceptive conduct. The law governing CABs requires us to provide conspicuous notices regarding fees and certain other disclosures and requires us to report certain information regarding customer transactions to the Office of the Consumer Credit Commissioner. Violations of these laws could subject us to criminal and civil liability. The independent lenders are not required to be licensed and are not regulated by any state agency so long as the interest rate charged on the loan does not exceed 10% per annum. The lenders are also permitted to charge late fees and insufficient funds fees. The lenders are subject to the federal regulations described below with regard to their lending activities. Certain cities in Texas, specifically, Austin, Dallas and San Antonio, have enacted municipal regulation of CAB products and the payday loans and auto title loans to which they provide access.</w:t>
      </w:r>
    </w:p>
    <w:p>
      <w:pPr>
        <w:spacing w:after="0" w:line="12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Legislators and regulators frequently scrutinize the legislative and regulatory environment for short-term lending, often proposing additional legislative and regulatory restrictions ranging from additional disclosure requirements to limits on rates and fees. In some cases, rate and fee limits would effectively prohibit certain short-term lending products, such as payday loans, because it would no longer be economically feasible for most lenders to offer such products.</w:t>
      </w:r>
    </w:p>
    <w:p>
      <w:pPr>
        <w:spacing w:after="0" w:line="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Dodd-Frank Wall Street Reform and Consumer Protection Act, enacted in July 2010, established the Consumer Financial Protection Bureau (the “CFPB”), which, with the appointment of a permanent director in January 2012, began exercising its supervisory and examination powers over companies that offer payday loans. The CFPB also may exercise regulatory authority over other products and services that we offer. Until such time as the CFPB examines our business or proposes rules and regulations that apply to our activities, it is not possible to accurately predict what affect the CFPB will have on our business.</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can be no assurance that legislative or regulatory efforts to eliminate or restrict the availability of certain short-term loan products, including payday loans and auto title loans, will not be successful, despite significant customer demand. To the extent such efforts are successful, our short-term consumer loan business could be adversely affected. See “Part I — Item 1A — Risk Factors.”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Regulations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of our lending activities, both pawn loans and short-term consumer loans, are subject to other state and federal statutes and regulations, including the following:</w:t>
      </w:r>
    </w:p>
    <w:p>
      <w:pPr>
        <w:spacing w:after="0" w:line="116" w:lineRule="exact"/>
        <w:rPr>
          <w:sz w:val="20"/>
          <w:szCs w:val="20"/>
          <w:color w:val="auto"/>
        </w:rPr>
      </w:pPr>
    </w:p>
    <w:p>
      <w:pPr>
        <w:ind w:left="340" w:right="20" w:hanging="332"/>
        <w:spacing w:after="0" w:line="29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In addition, the Federal Fair and Accurate Credit Transactions Act requires us to adopt written guidance and procedures for detecting, preventing and mitigating identity theft, and to adopt various policies and procedures (including employee training) that address the importance of protecting non-public personal information and aid in detecting and responding to suspicious activity or identify theft “red flags.”</w:t>
      </w:r>
    </w:p>
    <w:p>
      <w:pPr>
        <w:spacing w:after="0" w:line="113" w:lineRule="exact"/>
        <w:rPr>
          <w:rFonts w:ascii="Arial" w:cs="Arial" w:eastAsia="Arial" w:hAnsi="Arial"/>
          <w:sz w:val="16"/>
          <w:szCs w:val="16"/>
          <w:color w:val="auto"/>
        </w:rPr>
      </w:pPr>
    </w:p>
    <w:p>
      <w:pPr>
        <w:ind w:left="340" w:right="60" w:hanging="332"/>
        <w:spacing w:after="0" w:line="30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Equal Credit Opportunity Act prohibits discrimination against any credit applicant on the basis of any protected category such as race, color, religion, national origin, sex, marital status or age. If we deny an application for credit, we are required to provide the applicant with a Notice of Adverse Action, informing the applicant of the action taken regarding the credit application, a statement of the prohibition on discrimination, the name and address of both the creditor and the federal agency that monitors compliance, and the applicant’s right to learn the specific reasons for the denial.</w:t>
      </w:r>
    </w:p>
    <w:p>
      <w:pPr>
        <w:spacing w:after="0" w:line="100" w:lineRule="exact"/>
        <w:rPr>
          <w:rFonts w:ascii="Arial" w:cs="Arial" w:eastAsia="Arial" w:hAnsi="Arial"/>
          <w:sz w:val="16"/>
          <w:szCs w:val="16"/>
          <w:color w:val="auto"/>
        </w:rPr>
      </w:pPr>
    </w:p>
    <w:p>
      <w:pPr>
        <w:ind w:left="340" w:right="26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USA PATRIOT Act, we must maintain an anti-money laundering compliance program that includes the development of internal policies, procedures and controls; the designation of a compliance officer; an ongoing employee training program; and an independent audit function to test the program.</w:t>
      </w:r>
    </w:p>
    <w:p>
      <w:pPr>
        <w:spacing w:after="0" w:line="127" w:lineRule="exact"/>
        <w:rPr>
          <w:rFonts w:ascii="Arial" w:cs="Arial" w:eastAsia="Arial" w:hAnsi="Arial"/>
          <w:sz w:val="18"/>
          <w:szCs w:val="18"/>
          <w:color w:val="auto"/>
        </w:rPr>
      </w:pPr>
    </w:p>
    <w:p>
      <w:pPr>
        <w:ind w:left="340" w:right="180" w:hanging="332"/>
        <w:spacing w:after="0" w:line="273"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also subject to the Bank Secrecy Act and its underlying regulations, which require us to report and maintain records of certain high-dollar transactions. In addition, federal regulations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 Certain of our subsidiaries are registered with FinCen as money services businesses by virtue of the check cashing or money transmission services they provide.</w:t>
      </w:r>
    </w:p>
    <w:p>
      <w:pPr>
        <w:spacing w:after="0" w:line="124" w:lineRule="exact"/>
        <w:rPr>
          <w:rFonts w:ascii="Arial" w:cs="Arial" w:eastAsia="Arial" w:hAnsi="Arial"/>
          <w:sz w:val="17"/>
          <w:szCs w:val="17"/>
          <w:color w:val="auto"/>
        </w:rPr>
      </w:pPr>
    </w:p>
    <w:p>
      <w:pPr>
        <w:jc w:val="both"/>
        <w:ind w:left="340" w:right="180" w:hanging="332"/>
        <w:spacing w:after="0" w:line="31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Federal law limits the annual percentage rate that may be charged on loans made to active duty military personnel and their immediate families at 36%. This 36% annual percentage rate cap applies to a variety of loan products, including signature loans, though it does not apply to pawn loans. We do not make signature loans to active duty military personnel or their immediate families because it is not economically feasible for us to do so at these rates.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public may read and copy any materials that we file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Information on our website is not incorporated by reference into this report.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are many risks and uncertainties that may affect the operations, performance, development and results of our business. Many of these risks are beyond our control. The following is a description of the important risk factors that may affect our business. If any one or more of these risks actually occur, our business, financial condition or results of operations would likely suffer.</w:t>
      </w:r>
    </w:p>
    <w:p>
      <w:pPr>
        <w:spacing w:after="0" w:line="123" w:lineRule="exact"/>
        <w:rPr>
          <w:sz w:val="20"/>
          <w:szCs w:val="20"/>
          <w:color w:val="auto"/>
        </w:rPr>
      </w:pPr>
    </w:p>
    <w:p>
      <w:pPr>
        <w:ind w:left="660" w:right="220" w:hanging="328"/>
        <w:spacing w:after="0" w:line="266"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laws and regulations affecting our financial services and products could have a material adverse effect on our operations and financial performance. </w:t>
      </w:r>
      <w:r>
        <w:rPr>
          <w:rFonts w:ascii="Arial" w:cs="Arial" w:eastAsia="Arial" w:hAnsi="Arial"/>
          <w:sz w:val="18"/>
          <w:szCs w:val="18"/>
          <w:color w:val="auto"/>
        </w:rPr>
        <w:t>Our financial products and services are subject to extensive regulation under various federal, state, local and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regulations. There have been, and continue to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40"/>
        <w:spacing w:after="0" w:line="324" w:lineRule="auto"/>
        <w:rPr>
          <w:sz w:val="20"/>
          <w:szCs w:val="20"/>
          <w:color w:val="auto"/>
        </w:rPr>
      </w:pPr>
      <w:r>
        <w:rPr>
          <w:rFonts w:ascii="Arial" w:cs="Arial" w:eastAsia="Arial" w:hAnsi="Arial"/>
          <w:sz w:val="18"/>
          <w:szCs w:val="18"/>
          <w:color w:val="auto"/>
        </w:rPr>
        <w:t>be, legislative and regulatory efforts to regulate, prohibit or severely restrict some of the types of short-term financial services and products we offer, particularly payday loans and auto title loans.</w:t>
      </w:r>
    </w:p>
    <w:p>
      <w:pPr>
        <w:spacing w:after="0" w:line="89"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Adverse legislation could be enacted in any state or municipality in which we operate. If such legislation is enacted in any particular jurisdiction, we generally evaluate our business in the context of the new legislation and determine whether we can continue to operate in that jurisdiction with new or modified products or whether it is feasible to enhance our business with additional product offerings. In any case, if we are unable to continue to operate profitably under the new law, we may decide to close or consolidate stores, resulting in decreased revenues, earnings and assets.</w:t>
      </w:r>
    </w:p>
    <w:p>
      <w:pPr>
        <w:spacing w:after="0" w:line="100"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For example, in 2011 and 2012, the Cities of Austin, Dallas and San Antonio, Texas adopted municipal ordinances imposing restrictions on certain financial services products we can offer in those cities. Specifically, the ordinances require municipal registrations, limit the amount we can loan and require principal paydowns on refinancing or with each installment payment. These limitations and restrictions make the products less attractive to our customers, thus lessening demand, and severely impair the financial viability of our financial services business in those cities.</w:t>
      </w:r>
    </w:p>
    <w:p>
      <w:pPr>
        <w:spacing w:after="0" w:line="100"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In addition, any financial services business that we undertake directly in international jurisdictions, as well as the financial services businesses conducted by our strategic affiliates, are subject to a variety of regulation by international governmental authorities. Adverse legislation or regulations could be enacted in any of such international jurisdictions, with the result that the financial services business in that jurisdiction becomes less profitable or unprofitable. For example, the Consumer Credit and Corporations Legislation Amendment (Enhancements) Bill 2011 was passed by the Australian Parliament in August 2012. This new law, which will go into effect on July 1, 2013, imposes certain limitations and restrictions on short-term consumer loans in Australia, including interest limitations and restrictions on extensions and refinancings. See "Part I — Business — Strategic Investments."</w:t>
      </w:r>
    </w:p>
    <w:p>
      <w:pPr>
        <w:spacing w:after="0" w:line="13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Many of the legislative and regulatory efforts that are adverse to the short-term consumer loan industry are the result of the negative characterization of the industry by some consumer advocacy groups and some media reports that ignore the credit risk and high transaction costs of serving our customers. We can give no assurance that there will not be further negative characterizations of our industry or that legislative or regulatory efforts to eliminate or restrict the availability of certain short-term loan products, including payday loans and auto title loans, will not be successful despite significant customer demand for such products. Such efforts, if successful, could have a material adverse effect on our operations or financial performance.</w:t>
      </w:r>
    </w:p>
    <w:p>
      <w:pPr>
        <w:spacing w:after="0" w:line="135" w:lineRule="exact"/>
        <w:rPr>
          <w:sz w:val="20"/>
          <w:szCs w:val="20"/>
          <w:color w:val="auto"/>
        </w:rPr>
      </w:pPr>
    </w:p>
    <w:p>
      <w:pPr>
        <w:ind w:left="660" w:right="20" w:hanging="328"/>
        <w:spacing w:after="0" w:line="290"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A significant or sudden decrease in gold values or the volume of gold transactions may have a material impact on our earnings and financial position. </w:t>
      </w:r>
      <w:r>
        <w:rPr>
          <w:rFonts w:ascii="Arial" w:cs="Arial" w:eastAsia="Arial" w:hAnsi="Arial"/>
          <w:sz w:val="16"/>
          <w:szCs w:val="16"/>
          <w:color w:val="auto"/>
        </w:rPr>
        <w:t>Gold jewelry comprises a significant portion of the collateral security for our pawn loans and our inventory, and gold scrapping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for a significant portion of our revenues and gross profit.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significantly impact our business. During fiscal 2012, we experienced a significant softening of gold prices and volumes, which had a significant negative impact on our profitability for the year. The impact on our financial position and results of operations of a continued decrease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 revenues.</w:t>
      </w:r>
    </w:p>
    <w:p>
      <w:pPr>
        <w:spacing w:after="0" w:line="105" w:lineRule="exact"/>
        <w:rPr>
          <w:rFonts w:ascii="Arial" w:cs="Arial" w:eastAsia="Arial" w:hAnsi="Arial"/>
          <w:sz w:val="16"/>
          <w:szCs w:val="16"/>
          <w:color w:val="auto"/>
        </w:rPr>
      </w:pPr>
    </w:p>
    <w:p>
      <w:pPr>
        <w:ind w:left="660" w:right="34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The Consumer Financial Protection Bureau has begun exercising its supervisory role over short-term, small-dollar lenders, which could result in a material adverse effect on our operations and financial performance.</w:t>
      </w:r>
    </w:p>
    <w:p>
      <w:pPr>
        <w:ind w:left="660" w:right="200"/>
        <w:spacing w:after="0" w:line="295" w:lineRule="auto"/>
        <w:rPr>
          <w:rFonts w:ascii="Arial" w:cs="Arial" w:eastAsia="Arial" w:hAnsi="Arial"/>
          <w:sz w:val="18"/>
          <w:szCs w:val="18"/>
          <w:color w:val="auto"/>
        </w:rPr>
      </w:pPr>
      <w:r>
        <w:rPr>
          <w:rFonts w:ascii="Arial" w:cs="Arial" w:eastAsia="Arial" w:hAnsi="Arial"/>
          <w:sz w:val="16"/>
          <w:szCs w:val="16"/>
          <w:color w:val="auto"/>
        </w:rPr>
        <w:t>As noted above under “Item 1 — Business — Regulation,” the Dodd-Frank Wall Street Reform and Consumer Protection Act established the Consumer Financial Protection Bureau (the "CFPB"), which has the power to, among other things, regulate companies that offer or supply payday loans and other products and services that we offer. In January 2012, with the appointment of a permanent director, the CFPB announced that it would exercise its regulatory authority over non-depository companies providing consumer financial services products and services.</w:t>
      </w:r>
    </w:p>
    <w:p>
      <w:pPr>
        <w:spacing w:after="0" w:line="107" w:lineRule="exact"/>
        <w:rPr>
          <w:rFonts w:ascii="Arial" w:cs="Arial" w:eastAsia="Arial" w:hAnsi="Arial"/>
          <w:sz w:val="18"/>
          <w:szCs w:val="18"/>
          <w:color w:val="auto"/>
        </w:rPr>
      </w:pPr>
    </w:p>
    <w:p>
      <w:pPr>
        <w:ind w:left="660" w:right="120"/>
        <w:spacing w:after="0" w:line="273" w:lineRule="auto"/>
        <w:rPr>
          <w:rFonts w:ascii="Arial" w:cs="Arial" w:eastAsia="Arial" w:hAnsi="Arial"/>
          <w:sz w:val="18"/>
          <w:szCs w:val="18"/>
          <w:color w:val="auto"/>
        </w:rPr>
      </w:pPr>
      <w:r>
        <w:rPr>
          <w:rFonts w:ascii="Arial" w:cs="Arial" w:eastAsia="Arial" w:hAnsi="Arial"/>
          <w:sz w:val="17"/>
          <w:szCs w:val="17"/>
          <w:color w:val="auto"/>
        </w:rPr>
        <w:t>Under its supervisory and examination powers, the CFPB has authority to inspect short-term lenders' books and records and lending practices, including marketing, underwriting, loan application and processing and collections. The CFPB has published its Short-Term, Small-Dollar Lending Examination Procedures, outlining the guidelines that CFPB examiners will use in examining short-term lenders. The CFPB has expressed its intention to use the examination process to assess companies' compliance with federal consumer financial services laws, obtain information on the activities and procedures of short term lenders and detect risks to consumers. Should the CFPB determine that a financial service provider is in violation of federal law, it has broad authority to initiate administrative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actions or litigation, in which it may seek cease and desist orders for the provider's activities, rescission of loan contracts and administrative fines and penalties.</w:t>
      </w:r>
    </w:p>
    <w:p>
      <w:pPr>
        <w:spacing w:after="0" w:line="116"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The CFPB also has rule-making authority over short-term lenders. While it does not have authority to regulate fees, it conceivably could adopt rules that could impair the viability or financial performance of products and services. It is not possible to accurately predict what affect the CFPB will have on our business. The CFPB, through its supervisory role or through its rule-making authority, could take actions that would have a material adverse effect on our operations and financial performance.</w:t>
      </w:r>
    </w:p>
    <w:p>
      <w:pPr>
        <w:spacing w:after="0" w:line="129" w:lineRule="exact"/>
        <w:rPr>
          <w:sz w:val="20"/>
          <w:szCs w:val="20"/>
          <w:color w:val="auto"/>
        </w:rPr>
      </w:pPr>
    </w:p>
    <w:p>
      <w:pPr>
        <w:ind w:left="660" w:right="160" w:hanging="328"/>
        <w:spacing w:after="0" w:line="290" w:lineRule="auto"/>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 significant portion of our business is concentrated in Texas. </w:t>
      </w:r>
      <w:r>
        <w:rPr>
          <w:rFonts w:ascii="Arial" w:cs="Arial" w:eastAsia="Arial" w:hAnsi="Arial"/>
          <w:sz w:val="16"/>
          <w:szCs w:val="16"/>
          <w:color w:val="auto"/>
        </w:rPr>
        <w:t>Over half of our financial services stores and almost half of our domestic pawn</w:t>
      </w:r>
      <w:r>
        <w:rPr>
          <w:rFonts w:ascii="Arial" w:cs="Arial" w:eastAsia="Arial" w:hAnsi="Arial"/>
          <w:sz w:val="16"/>
          <w:szCs w:val="16"/>
          <w:b w:val="1"/>
          <w:bCs w:val="1"/>
          <w:color w:val="auto"/>
        </w:rPr>
        <w:t xml:space="preserve"> </w:t>
      </w:r>
      <w:r>
        <w:rPr>
          <w:rFonts w:ascii="Arial" w:cs="Arial" w:eastAsia="Arial" w:hAnsi="Arial"/>
          <w:sz w:val="16"/>
          <w:szCs w:val="16"/>
          <w:color w:val="auto"/>
        </w:rPr>
        <w:t>stores are located in Texas, and those stores account for a significant portion of our revenues and profitability. With the exception of recent activity by certain major cities (Dallas, Austin and San Antonio), which has negatively impacted our financial services business in those cities, the legislative, regulatory and general business environment in Texas has been relatively favorable for our business activities. We have been successful in growing and expanding our businesses in areas outside Texas for the past several years, and we expect that our business in other areas will continue to grow faster than our business in Texas. In the foreseeable future, however, a negative legislative or regulatory change in Texas could have a material adverse effect on our overall operations and financial performance. The next biennial session of the Texas legislature begins in January 2013 (and is subject to adjourn in May 2013). While it is not possible to predict with any certainty what legislation may be introduced or passed, it is anticipated that we will see legislation pertaining to the short-term consumer loan industry.</w:t>
      </w:r>
    </w:p>
    <w:p>
      <w:pPr>
        <w:spacing w:after="0" w:line="105" w:lineRule="exact"/>
        <w:rPr>
          <w:rFonts w:ascii="Arial" w:cs="Arial" w:eastAsia="Arial" w:hAnsi="Arial"/>
          <w:sz w:val="16"/>
          <w:szCs w:val="16"/>
          <w:b w:val="1"/>
          <w:bCs w:val="1"/>
          <w:color w:val="auto"/>
        </w:rPr>
      </w:pPr>
    </w:p>
    <w:p>
      <w:pPr>
        <w:ind w:left="660" w:right="200" w:hanging="328"/>
        <w:spacing w:after="0" w:line="298"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 significant change in foreign currency exchange rates could have a material adverse impact on our earnings and financial position.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have foreign operations in Mexico, Canada and the United Kingdom and equity investments in the United Kingdom and Australia. Our assets, investments in, earnings from and dividends from each of these must be translated to U.S. dollars from their respective functional currencies of the Mexican peso, Canadian dollar, British pound and the Australian dollar. A significant weakening of any of these foreign currencies could result in lower assets and earnings in U.S. dollars, resulting in a material adverse impact on our financial position, results of operations and cash flows.</w:t>
      </w:r>
    </w:p>
    <w:p>
      <w:pPr>
        <w:spacing w:after="0" w:line="100"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Prolonged periods of economic recession and unemployment could adversely affect our lending and retail businesses. </w:t>
      </w:r>
      <w:r>
        <w:rPr>
          <w:rFonts w:ascii="Arial" w:cs="Arial" w:eastAsia="Arial" w:hAnsi="Arial"/>
          <w:sz w:val="17"/>
          <w:szCs w:val="17"/>
          <w:color w:val="auto"/>
        </w:rPr>
        <w:t>All of our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like other businesses, are subject to fluctuations based on varying economic conditions. Economic conditions and general consumer confidence affect the demand for our retail products and the ability and willingness of our customers to utilize our loan products and services. Our consumer loan products and services require the customer to have a verifiable recurring source of income. Consequently, we may experience reduced demand for our consumer loan products during prolonged periods of high unemployment. Weakened economic conditions may also result in an increase in loan defaults and loan losses. Even in the current economic environment, we have been able to efficiently manage our bad debt through our underwriting and collection efforts. There can be no assurance that we will be able to sustain our current bad debt rates or that we will not experience increasing difficulty in collecting defaulted loans.</w:t>
      </w:r>
    </w:p>
    <w:p>
      <w:pPr>
        <w:spacing w:after="0" w:line="118" w:lineRule="exact"/>
        <w:rPr>
          <w:rFonts w:ascii="Arial" w:cs="Arial" w:eastAsia="Arial" w:hAnsi="Arial"/>
          <w:sz w:val="17"/>
          <w:szCs w:val="17"/>
          <w:b w:val="1"/>
          <w:bCs w:val="1"/>
          <w:color w:val="auto"/>
        </w:rPr>
      </w:pPr>
    </w:p>
    <w:p>
      <w:pPr>
        <w:ind w:left="660" w:right="80" w:hanging="328"/>
        <w:spacing w:after="0" w:line="256"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significant portion of our short-term consumer loan revenues and profitability is dependent upon the ability and willingness of unaffiliated lenders to make loans to our customers. </w:t>
      </w:r>
      <w:r>
        <w:rPr>
          <w:rFonts w:ascii="Arial" w:cs="Arial" w:eastAsia="Arial" w:hAnsi="Arial"/>
          <w:sz w:val="18"/>
          <w:szCs w:val="18"/>
          <w:color w:val="auto"/>
        </w:rPr>
        <w:t>In Texas, where over half of our financial services stores are located, we do not make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loans to customers, but assist customers in arranging loans with unaffiliated lenders. Our consumer loan business could be adversely affected if (a) we were to lose our current relationships with unaffiliated lenders and were unable to establish a relationship with another unaffiliated lender who was willing and able to make short-term loans to our Texas customers or (b) the unaffiliated lenders are unable to obtain capital or other sources of funding at appropriate rates.</w:t>
      </w:r>
    </w:p>
    <w:p>
      <w:pPr>
        <w:spacing w:after="0" w:line="133" w:lineRule="exact"/>
        <w:rPr>
          <w:rFonts w:ascii="Arial" w:cs="Arial" w:eastAsia="Arial" w:hAnsi="Arial"/>
          <w:sz w:val="18"/>
          <w:szCs w:val="18"/>
          <w:b w:val="1"/>
          <w:bCs w:val="1"/>
          <w:color w:val="auto"/>
        </w:rPr>
      </w:pPr>
    </w:p>
    <w:p>
      <w:pPr>
        <w:ind w:left="660" w:hanging="328"/>
        <w:spacing w:after="0" w:line="255"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Achievement of our growth objectives is dependent upon our ability to open and acquire new stores. </w:t>
      </w:r>
      <w:r>
        <w:rPr>
          <w:rFonts w:ascii="Arial" w:cs="Arial" w:eastAsia="Arial" w:hAnsi="Arial"/>
          <w:sz w:val="18"/>
          <w:szCs w:val="18"/>
          <w:color w:val="auto"/>
        </w:rPr>
        <w:t>Our expansion strategy includes opening</w:t>
      </w:r>
      <w:r>
        <w:rPr>
          <w:rFonts w:ascii="Arial" w:cs="Arial" w:eastAsia="Arial" w:hAnsi="Arial"/>
          <w:sz w:val="18"/>
          <w:szCs w:val="18"/>
          <w:b w:val="1"/>
          <w:bCs w:val="1"/>
          <w:color w:val="auto"/>
        </w:rPr>
        <w:t xml:space="preserve"> </w:t>
      </w:r>
      <w:r>
        <w:rPr>
          <w:rFonts w:ascii="Arial" w:cs="Arial" w:eastAsia="Arial" w:hAnsi="Arial"/>
          <w:sz w:val="18"/>
          <w:szCs w:val="18"/>
          <w:color w:val="auto"/>
        </w:rPr>
        <w:t>de novo store locations and acquiring existing stores. The success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In addition, our acquisition strategy is dependent upon the availability of attractive acquisition candidates. The achievement of our growth objectives is also subject to our ability to attract, train and retain qualified team members. Failure to achieve our expansion goals would adversely affect our prospects and future results of operations.</w:t>
      </w:r>
    </w:p>
    <w:p>
      <w:pPr>
        <w:spacing w:after="0" w:line="135" w:lineRule="exact"/>
        <w:rPr>
          <w:rFonts w:ascii="Arial" w:cs="Arial" w:eastAsia="Arial" w:hAnsi="Arial"/>
          <w:sz w:val="18"/>
          <w:szCs w:val="18"/>
          <w:b w:val="1"/>
          <w:bCs w:val="1"/>
          <w:color w:val="auto"/>
        </w:rPr>
      </w:pPr>
    </w:p>
    <w:p>
      <w:pPr>
        <w:jc w:val="both"/>
        <w:ind w:left="660" w:right="440" w:hanging="328"/>
        <w:spacing w:after="0" w:line="266"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the business, regulatory or political climate in Mexico could adversely affect our operations in those countries, which could adversely affect our growth plans. </w:t>
      </w:r>
      <w:r>
        <w:rPr>
          <w:rFonts w:ascii="Arial" w:cs="Arial" w:eastAsia="Arial" w:hAnsi="Arial"/>
          <w:sz w:val="18"/>
          <w:szCs w:val="18"/>
          <w:color w:val="auto"/>
        </w:rPr>
        <w:t>Our growth plans include significant expansion in Mexico. Changes in the business, regulatory or political</w:t>
      </w:r>
      <w:r>
        <w:rPr>
          <w:rFonts w:ascii="Arial" w:cs="Arial" w:eastAsia="Arial" w:hAnsi="Arial"/>
          <w:sz w:val="18"/>
          <w:szCs w:val="18"/>
          <w:b w:val="1"/>
          <w:bCs w:val="1"/>
          <w:color w:val="auto"/>
        </w:rPr>
        <w:t xml:space="preserve"> </w:t>
      </w:r>
      <w:r>
        <w:rPr>
          <w:rFonts w:ascii="Arial" w:cs="Arial" w:eastAsia="Arial" w:hAnsi="Arial"/>
          <w:sz w:val="18"/>
          <w:szCs w:val="18"/>
          <w:color w:val="auto"/>
        </w:rPr>
        <w:t>climate in Mexico, or significant fluctuations in currency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280"/>
        <w:spacing w:after="0" w:line="324" w:lineRule="auto"/>
        <w:rPr>
          <w:sz w:val="20"/>
          <w:szCs w:val="20"/>
          <w:color w:val="auto"/>
        </w:rPr>
      </w:pPr>
      <w:r>
        <w:rPr>
          <w:rFonts w:ascii="Arial" w:cs="Arial" w:eastAsia="Arial" w:hAnsi="Arial"/>
          <w:sz w:val="18"/>
          <w:szCs w:val="18"/>
          <w:color w:val="auto"/>
        </w:rPr>
        <w:t>exchange rates, could affect our ability to expand or continue our operations there, which could have a material adverse impact on our prospects, results of operations and cash flows.</w:t>
      </w:r>
    </w:p>
    <w:p>
      <w:pPr>
        <w:spacing w:after="0" w:line="85" w:lineRule="exact"/>
        <w:rPr>
          <w:sz w:val="20"/>
          <w:szCs w:val="20"/>
          <w:color w:val="auto"/>
        </w:rPr>
      </w:pPr>
    </w:p>
    <w:p>
      <w:pPr>
        <w:ind w:left="660" w:right="60" w:hanging="328"/>
        <w:spacing w:after="0" w:line="303"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Fluctuations in our sales, pawn loan balances, sales margins, pawn redemption rates and loan default and collection rates could have a material adverse impact on our operating results. </w:t>
      </w:r>
      <w:r>
        <w:rPr>
          <w:rFonts w:ascii="Arial" w:cs="Arial" w:eastAsia="Arial" w:hAnsi="Arial"/>
          <w:sz w:val="16"/>
          <w:szCs w:val="16"/>
          <w:color w:val="auto"/>
        </w:rPr>
        <w:t>We regularly experience fluctuations in a variety of operating metrics. Changes in any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97" w:lineRule="exact"/>
        <w:rPr>
          <w:rFonts w:ascii="Arial" w:cs="Arial" w:eastAsia="Arial" w:hAnsi="Arial"/>
          <w:sz w:val="16"/>
          <w:szCs w:val="16"/>
          <w:b w:val="1"/>
          <w:bCs w:val="1"/>
          <w:color w:val="auto"/>
        </w:rPr>
      </w:pPr>
    </w:p>
    <w:p>
      <w:pPr>
        <w:ind w:left="660" w:right="20" w:hanging="328"/>
        <w:spacing w:after="0" w:line="258"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our liquidity and capital requirements or in banks’ abilities or willingness to lend to us could limit our ability to achieve our plans. </w:t>
      </w:r>
      <w:r>
        <w:rPr>
          <w:rFonts w:ascii="Arial" w:cs="Arial" w:eastAsia="Arial" w:hAnsi="Arial"/>
          <w:sz w:val="18"/>
          <w:szCs w:val="18"/>
          <w:color w:val="auto"/>
        </w:rPr>
        <w:t>We require continued access to capital. A significant reduction in cash flows from operations or the availability of credit could materially and</w:t>
      </w:r>
      <w:r>
        <w:rPr>
          <w:rFonts w:ascii="Arial" w:cs="Arial" w:eastAsia="Arial" w:hAnsi="Arial"/>
          <w:sz w:val="18"/>
          <w:szCs w:val="18"/>
          <w:b w:val="1"/>
          <w:bCs w:val="1"/>
          <w:color w:val="auto"/>
        </w:rPr>
        <w:t xml:space="preserve"> </w:t>
      </w:r>
      <w:r>
        <w:rPr>
          <w:rFonts w:ascii="Arial" w:cs="Arial" w:eastAsia="Arial" w:hAnsi="Arial"/>
          <w:sz w:val="18"/>
          <w:szCs w:val="18"/>
          <w:color w:val="auto"/>
        </w:rPr>
        <w:t>adversely affect our ability to achieve our planned growth and operating results. We currently have a credit agreement with a syndicate of banks. If one of those lenders is unable to provide funding in accordance with its commitment, our available credit could be reduced by the amount of that lender’s commitment.</w:t>
      </w:r>
    </w:p>
    <w:p>
      <w:pPr>
        <w:spacing w:after="0" w:line="129" w:lineRule="exact"/>
        <w:rPr>
          <w:rFonts w:ascii="Arial" w:cs="Arial" w:eastAsia="Arial" w:hAnsi="Arial"/>
          <w:sz w:val="18"/>
          <w:szCs w:val="18"/>
          <w:b w:val="1"/>
          <w:bCs w:val="1"/>
          <w:color w:val="auto"/>
        </w:rPr>
      </w:pPr>
    </w:p>
    <w:p>
      <w:pPr>
        <w:ind w:left="660" w:hanging="328"/>
        <w:spacing w:after="0" w:line="298"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Changes in competition from various sources could have a material adverse impact on our ability to achieve our plans. </w:t>
      </w:r>
      <w:r>
        <w:rPr>
          <w:rFonts w:ascii="Arial" w:cs="Arial" w:eastAsia="Arial" w:hAnsi="Arial"/>
          <w:sz w:val="16"/>
          <w:szCs w:val="16"/>
          <w:color w:val="auto"/>
        </w:rPr>
        <w:t>We encounter</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competition from other pawn stores, cash advance companies, credit service organizations, online lenders, consumer finance companies and other forms of financial institutions and other retailers, many of which have significantly greater financial resources than we do. Significant increases in the number or size of competitors or other changes in competitive influences could adversely affect our operations through a decrease in the number or quality of loan products and services we are able to provide or our ability to liquidate forfeited collateral at acceptable margins.</w:t>
      </w:r>
    </w:p>
    <w:p>
      <w:pPr>
        <w:spacing w:after="0" w:line="100" w:lineRule="exact"/>
        <w:rPr>
          <w:rFonts w:ascii="Arial" w:cs="Arial" w:eastAsia="Arial" w:hAnsi="Arial"/>
          <w:sz w:val="16"/>
          <w:szCs w:val="16"/>
          <w:b w:val="1"/>
          <w:bCs w:val="1"/>
          <w:color w:val="auto"/>
        </w:rPr>
      </w:pPr>
    </w:p>
    <w:p>
      <w:pPr>
        <w:ind w:left="660" w:right="60" w:hanging="328"/>
        <w:spacing w:after="0" w:line="298"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One person beneficially owns all of our voting stock and controls the outcome of all matters requiring a vote of stockholders, which may influence the value of our publicly traded non-voting stock. </w:t>
      </w:r>
      <w:r>
        <w:rPr>
          <w:rFonts w:ascii="Arial" w:cs="Arial" w:eastAsia="Arial" w:hAnsi="Arial"/>
          <w:sz w:val="16"/>
          <w:szCs w:val="16"/>
          <w:color w:val="auto"/>
        </w:rPr>
        <w:t>Phillip E. Cohen is the beneficial owner of all of our Class B Voting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and controls the outcome of all issues requiring a vote of stockholders. All of our publicly traded stock is non-voting stock. Consequently, stockholders other than Mr. Cohen have no vote with respect to the election of directors or any other matter requiring a vote of stockholders. This lack of voting rights may adversely affect the market value of the publicly traded Class A Non-voting Common Stock.</w:t>
      </w:r>
    </w:p>
    <w:p>
      <w:pPr>
        <w:spacing w:after="0" w:line="104" w:lineRule="exact"/>
        <w:rPr>
          <w:rFonts w:ascii="Arial" w:cs="Arial" w:eastAsia="Arial" w:hAnsi="Arial"/>
          <w:sz w:val="16"/>
          <w:szCs w:val="16"/>
          <w:b w:val="1"/>
          <w:bCs w:val="1"/>
          <w:color w:val="auto"/>
        </w:rPr>
      </w:pPr>
    </w:p>
    <w:p>
      <w:pPr>
        <w:jc w:val="both"/>
        <w:ind w:left="660" w:right="2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We have regularly entered into, and may continue to enter into, advisory services agreements with Madison Park, LLC, a financial advisory firm wholly-owned by Mr. Cohen. See “Part III — Item 13 — Certain Relationships and Related Transactions, and Director Independence — Related Party Transactions — Agreement with Madison Park.”</w:t>
      </w:r>
    </w:p>
    <w:p>
      <w:pPr>
        <w:spacing w:after="0" w:line="123" w:lineRule="exact"/>
        <w:rPr>
          <w:rFonts w:ascii="Arial" w:cs="Arial" w:eastAsia="Arial" w:hAnsi="Arial"/>
          <w:sz w:val="16"/>
          <w:szCs w:val="16"/>
          <w:b w:val="1"/>
          <w:bCs w:val="1"/>
          <w:color w:val="auto"/>
        </w:rPr>
      </w:pPr>
    </w:p>
    <w:p>
      <w:pPr>
        <w:ind w:left="660" w:right="80" w:hanging="328"/>
        <w:spacing w:after="0" w:line="298"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Infrastructure failures and breaches in data security could harm our business. </w:t>
      </w:r>
      <w:r>
        <w:rPr>
          <w:rFonts w:ascii="Arial" w:cs="Arial" w:eastAsia="Arial" w:hAnsi="Arial"/>
          <w:sz w:val="16"/>
          <w:szCs w:val="16"/>
          <w:color w:val="auto"/>
        </w:rPr>
        <w:t>We depend on our information technology infrastructure to</w:t>
      </w:r>
      <w:r>
        <w:rPr>
          <w:rFonts w:ascii="Arial" w:cs="Arial" w:eastAsia="Arial" w:hAnsi="Arial"/>
          <w:sz w:val="16"/>
          <w:szCs w:val="16"/>
          <w:b w:val="1"/>
          <w:bCs w:val="1"/>
          <w:color w:val="auto"/>
        </w:rPr>
        <w:t xml:space="preserve"> </w:t>
      </w:r>
      <w:r>
        <w:rPr>
          <w:rFonts w:ascii="Arial" w:cs="Arial" w:eastAsia="Arial" w:hAnsi="Arial"/>
          <w:sz w:val="16"/>
          <w:szCs w:val="16"/>
          <w:color w:val="auto"/>
        </w:rPr>
        <w:t>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p>
      <w:pPr>
        <w:spacing w:after="0" w:line="100" w:lineRule="exact"/>
        <w:rPr>
          <w:rFonts w:ascii="Arial" w:cs="Arial" w:eastAsia="Arial" w:hAnsi="Arial"/>
          <w:sz w:val="16"/>
          <w:szCs w:val="16"/>
          <w:b w:val="1"/>
          <w:bCs w:val="1"/>
          <w:color w:val="auto"/>
        </w:rPr>
      </w:pPr>
    </w:p>
    <w:p>
      <w:pPr>
        <w:ind w:left="660" w:right="140" w:hanging="328"/>
        <w:spacing w:after="0" w:line="287"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are beginning to implement an online short-term consumer lending business, which will be subject to additional risks. </w:t>
      </w:r>
      <w:r>
        <w:rPr>
          <w:rFonts w:ascii="Arial" w:cs="Arial" w:eastAsia="Arial" w:hAnsi="Arial"/>
          <w:sz w:val="16"/>
          <w:szCs w:val="16"/>
          <w:color w:val="auto"/>
        </w:rPr>
        <w:t>We recently</w:t>
      </w:r>
      <w:r>
        <w:rPr>
          <w:rFonts w:ascii="Arial" w:cs="Arial" w:eastAsia="Arial" w:hAnsi="Arial"/>
          <w:sz w:val="16"/>
          <w:szCs w:val="16"/>
          <w:b w:val="1"/>
          <w:bCs w:val="1"/>
          <w:color w:val="auto"/>
        </w:rPr>
        <w:t xml:space="preserve"> </w:t>
      </w:r>
      <w:r>
        <w:rPr>
          <w:rFonts w:ascii="Arial" w:cs="Arial" w:eastAsia="Arial" w:hAnsi="Arial"/>
          <w:sz w:val="16"/>
          <w:szCs w:val="16"/>
          <w:color w:val="auto"/>
        </w:rPr>
        <w:t>launched an online short-term consumer lending business. In addition to being subject to the various federal, state and local regulations that are applicable to short-term consumer lending generally, this business is subject to other regulations and risks. For example, we will be dependent on third parties, referred to as lead providers, to provide us with prospective new customers. Generally, lead providers operate separate websites to attract prospective customers and then sell those “leads” to online lenders. As a result, the success of our online consumer lending business will depend substantially on the willingness and ability of lead providers to send us customer leads at prices acceptable to us. The loss or a reduction in leads from lead providers, or the failure of our lead providers to maintain quality and consistency in their programs or services, could reduce our customer prospects and could have a material adverse effect on the success of this line of business. Furthermore, the lead providers’ failure to comply with applicable laws or regulations, or any changes in laws or regulations applicable to lead providers, could have an adverse effect on our online consumer lending business. Federal legislation was recently introduced that, if enacted in its current form, would prohibit the use of lead providers or generators to secure consumer business. If such legislation were to be enacted, it would significantly impact the manner in which the online lending business is conducted, and could significantly negatively affect the success and profitability of our online lending business.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20" w:hanging="328"/>
        <w:spacing w:after="0" w:line="298"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may be subject to litigation proceedings that could harm our business. </w:t>
      </w:r>
      <w:r>
        <w:rPr>
          <w:rFonts w:ascii="Arial" w:cs="Arial" w:eastAsia="Arial" w:hAnsi="Arial"/>
          <w:sz w:val="16"/>
          <w:szCs w:val="16"/>
          <w:color w:val="auto"/>
        </w:rPr>
        <w:t>Currently and from time to time, we are defendants in various legal</w:t>
      </w:r>
      <w:r>
        <w:rPr>
          <w:rFonts w:ascii="Arial" w:cs="Arial" w:eastAsia="Arial" w:hAnsi="Arial"/>
          <w:sz w:val="16"/>
          <w:szCs w:val="16"/>
          <w:b w:val="1"/>
          <w:bCs w:val="1"/>
          <w:color w:val="auto"/>
        </w:rPr>
        <w:t xml:space="preserve"> </w:t>
      </w:r>
      <w:r>
        <w:rPr>
          <w:rFonts w:ascii="Arial" w:cs="Arial" w:eastAsia="Arial" w:hAnsi="Arial"/>
          <w:sz w:val="16"/>
          <w:szCs w:val="16"/>
          <w:color w:val="auto"/>
        </w:rPr>
        <w:t>and regulatory actions. While we cannot determine the ultimate outcome of these actions, we believe their resolution will not have a material adverse effect on our financial condition, results of operations or liquidity. However, litigation is subject to inherent uncertainties and unfavorable rulings could occur. An unfavorable ruling could include monetary damages or an injunction prohibiting us from conducting our business as we currently do. If we were to receive an unfavorable ruling in a matter, our business and results of operations could be materially harmed.</w:t>
      </w:r>
    </w:p>
    <w:p>
      <w:pPr>
        <w:spacing w:after="0" w:line="100" w:lineRule="exact"/>
        <w:rPr>
          <w:rFonts w:ascii="Arial" w:cs="Arial" w:eastAsia="Arial" w:hAnsi="Arial"/>
          <w:sz w:val="16"/>
          <w:szCs w:val="16"/>
          <w:b w:val="1"/>
          <w:bCs w:val="1"/>
          <w:color w:val="auto"/>
        </w:rPr>
      </w:pPr>
    </w:p>
    <w:p>
      <w:pPr>
        <w:ind w:left="660" w:right="40" w:hanging="328"/>
        <w:spacing w:after="0" w:line="271"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invest in companies for strategic reasons and may not realize a return on our investments. </w:t>
      </w:r>
      <w:r>
        <w:rPr>
          <w:rFonts w:ascii="Arial" w:cs="Arial" w:eastAsia="Arial" w:hAnsi="Arial"/>
          <w:sz w:val="17"/>
          <w:szCs w:val="17"/>
          <w:color w:val="auto"/>
        </w:rPr>
        <w:t>We currently have significant investments in</w:t>
      </w:r>
      <w:r>
        <w:rPr>
          <w:rFonts w:ascii="Arial" w:cs="Arial" w:eastAsia="Arial" w:hAnsi="Arial"/>
          <w:sz w:val="17"/>
          <w:szCs w:val="17"/>
          <w:b w:val="1"/>
          <w:bCs w:val="1"/>
          <w:color w:val="auto"/>
        </w:rPr>
        <w:t xml:space="preserve"> </w:t>
      </w:r>
      <w:r>
        <w:rPr>
          <w:rFonts w:ascii="Arial" w:cs="Arial" w:eastAsia="Arial" w:hAnsi="Arial"/>
          <w:sz w:val="17"/>
          <w:szCs w:val="17"/>
          <w:color w:val="auto"/>
        </w:rPr>
        <w:t>Albemarle &amp; Bond Holdings PLC and Cash Converters International Limited, both of which are publicly-traded companies based outside the United States. We have made these investments, and may in the future make additional investments in these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If we determine that an other-than-temporary decline in the fair value exists for one of our equity investments, we will be required to write down that investment to its fair value and recognize the related write-down as an investment loss. Furthermore, there can be no assurance that we will be able to dispose of some or all of an investment on favorable terms, should we decide to do so in the future. Any realized investment loss would adversely affect our results of operations.</w:t>
      </w:r>
    </w:p>
    <w:p>
      <w:pPr>
        <w:spacing w:after="0" w:line="120" w:lineRule="exact"/>
        <w:rPr>
          <w:rFonts w:ascii="Arial" w:cs="Arial" w:eastAsia="Arial" w:hAnsi="Arial"/>
          <w:sz w:val="17"/>
          <w:szCs w:val="17"/>
          <w:b w:val="1"/>
          <w:bCs w:val="1"/>
          <w:color w:val="auto"/>
        </w:rPr>
      </w:pPr>
    </w:p>
    <w:p>
      <w:pPr>
        <w:ind w:left="660" w:hanging="328"/>
        <w:spacing w:after="0" w:line="258"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may incur property, casualty or other losses not covered by insurance. </w:t>
      </w:r>
      <w:r>
        <w:rPr>
          <w:rFonts w:ascii="Arial" w:cs="Arial" w:eastAsia="Arial" w:hAnsi="Arial"/>
          <w:sz w:val="18"/>
          <w:szCs w:val="18"/>
          <w:color w:val="auto"/>
        </w:rPr>
        <w:t>We maintain a program of insurance coverage for various types of</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29" w:lineRule="exact"/>
        <w:rPr>
          <w:rFonts w:ascii="Arial" w:cs="Arial" w:eastAsia="Arial" w:hAnsi="Arial"/>
          <w:sz w:val="18"/>
          <w:szCs w:val="18"/>
          <w:b w:val="1"/>
          <w:bCs w:val="1"/>
          <w:color w:val="auto"/>
        </w:rPr>
      </w:pPr>
    </w:p>
    <w:p>
      <w:pPr>
        <w:ind w:left="660" w:right="80" w:hanging="328"/>
        <w:spacing w:after="0" w:line="272"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Our acquisitions, investments and other transactions could disrupt our ongoing business and harm our results of operations. </w:t>
      </w:r>
      <w:r>
        <w:rPr>
          <w:rFonts w:ascii="Arial" w:cs="Arial" w:eastAsia="Arial" w:hAnsi="Arial"/>
          <w:sz w:val="17"/>
          <w:szCs w:val="17"/>
          <w:color w:val="auto"/>
        </w:rPr>
        <w:t>In pursuing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p>
      <w:pPr>
        <w:spacing w:after="0" w:line="118" w:lineRule="exact"/>
        <w:rPr>
          <w:rFonts w:ascii="Arial" w:cs="Arial" w:eastAsia="Arial" w:hAnsi="Arial"/>
          <w:sz w:val="17"/>
          <w:szCs w:val="17"/>
          <w:b w:val="1"/>
          <w:bCs w:val="1"/>
          <w:color w:val="auto"/>
        </w:rPr>
      </w:pPr>
    </w:p>
    <w:p>
      <w:pPr>
        <w:ind w:left="660" w:right="100" w:hanging="328"/>
        <w:spacing w:after="0" w:line="30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We could be subject to changes in tax rates, the adoption of new U.S. or international legislation or exposure to additional tax liabilities.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or changes in tax laws or their interpretation.</w:t>
      </w:r>
    </w:p>
    <w:p>
      <w:pPr>
        <w:spacing w:after="0" w:line="97" w:lineRule="exact"/>
        <w:rPr>
          <w:rFonts w:ascii="Arial" w:cs="Arial" w:eastAsia="Arial" w:hAnsi="Arial"/>
          <w:sz w:val="16"/>
          <w:szCs w:val="16"/>
          <w:color w:val="auto"/>
        </w:rPr>
      </w:pPr>
    </w:p>
    <w:p>
      <w:pPr>
        <w:ind w:left="660" w:right="4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Events beyond our control could result in business interruption or other adverse effects on our operations and growth. </w:t>
      </w:r>
      <w:r>
        <w:rPr>
          <w:rFonts w:ascii="Arial" w:cs="Arial" w:eastAsia="Arial" w:hAnsi="Arial"/>
          <w:sz w:val="18"/>
          <w:szCs w:val="18"/>
          <w:color w:val="auto"/>
        </w:rPr>
        <w:t>Our business or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could be subject to interruption or damage due to inclement weather, natural disaster, power loss, acts of violence, terrorist attacks, war or similar event. Such events could impair our customers' access to our business, impact our ability to expand or continue our operations or otherwise have an adverse effect on our financial condition.</w:t>
      </w:r>
    </w:p>
    <w:p>
      <w:pPr>
        <w:spacing w:after="0" w:line="12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We face other risks discussed under Quantitative and Qualitative Disclosures about Market Risk in Item 7A of this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Our typical pawn store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The typical pawn store has approximately 1,800 square feet of retail space and approximately 3,200 square feet dedicated to collateral storage.</w:t>
      </w:r>
    </w:p>
    <w:p>
      <w:pPr>
        <w:spacing w:after="0" w:line="292" w:lineRule="auto"/>
        <w:rPr>
          <w:sz w:val="20"/>
          <w:szCs w:val="20"/>
          <w:color w:val="auto"/>
        </w:rPr>
      </w:pPr>
      <w:r>
        <w:rPr>
          <w:rFonts w:ascii="Arial" w:cs="Arial" w:eastAsia="Arial" w:hAnsi="Arial"/>
          <w:sz w:val="16"/>
          <w:szCs w:val="16"/>
          <w:color w:val="auto"/>
        </w:rPr>
        <w:t>Approximately 25% of our pawn stores in Mexico are gold jewelry-only pawn stores with no retail activities, which typically occupy 500 to 1,000 square feet. Financial services stores are designed to resemble a bank interior. The typical financial services store is approximately 1,000 to 1,500 square feet and is located in a retail strip center. Some of our financial services stores adjoin a pawn location and occupy approximately 300 to 500 square feet, with a different entrance, signage, décor and staffing. From the customers’ perspective, these are viewed as a separate business, but they are covered by the same lease agreement. We maintain property and general liability insurance for each of our stores. Our stores are open six or seven days a week.</w:t>
      </w:r>
    </w:p>
    <w:p>
      <w:pPr>
        <w:spacing w:after="0" w:line="1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lease substantially all of our locations, and generally lease facilities for a term of three to ten years with one or more renewal options. Our existing leases expire on dates ranging between October 2012 and October 2027,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changes in the number of store locations during fiscal 2012, 2011 and 2010: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1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6"/>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 count at beginning of fiscal year</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New stores opened</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111</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stores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Stores closed or consolidated</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 count at end of fiscal year</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1,006</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2012, we opened 52 Empeño Fácil pawn stores in Mexico, two financial services locations in Mexico, ten U.S. pawn stores, four financial services stores in the U.S and three buy/sell and financial services stores in Canada. During fiscal 2012, we also acquired 45 financial services stores in Mexico as part of the Crediamigo acquisition, 28 pawn stores, seven buy/sell stores and 15 financial services stores in the U.S., as well as one buy/sell store in Canada.</w:t>
      </w:r>
    </w:p>
    <w:p>
      <w:pPr>
        <w:spacing w:after="0" w:line="9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an ongoing basis, we may close or consolidate under-performing store locations. In fiscal 2012, we closed or consolidated 13 financial services stores in the U.S., one pawn store in the U.S. and two financial services stores in Mexico. In fiscal 2011, we closed or consolidated 14 financial services stores in the U.S., one pawn store in the U.S., and two financial services stores in Canada.</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Of our 442 U.S. financial services stores, 159 adjoin a pawn store, but they are covered by the same lease agreement. The lease agreements at approximately 94% of the remaining 283 free-standing U.S. financial services stores contain provisions that limit our exposure for additional rent at these stores to only a few months if laws were enacted that had a significant negative effect on our operations at these stores. If such laws were passed, the space currently utilized by stores adjoining pawn stores could be re-incorporated into the pawn operations. Following the passage of such laws in fiscal 2011, we closed or consolidated 11 financial services stores in Colorado and Wisconsin, resulting in a total rent exposure of approximately $0.2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line="66"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pawn and financial services store locations by state or province as of September 30, 2012: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Pawn/Retail</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Financial Services</w:t>
            </w:r>
          </w:p>
        </w:tc>
        <w:tc>
          <w:tcPr>
            <w:tcW w:w="1240" w:type="dxa"/>
            <w:vAlign w:val="bottom"/>
          </w:tcPr>
          <w:p>
            <w:pPr>
              <w:jc w:val="right"/>
              <w:ind w:right="379"/>
              <w:spacing w:after="0"/>
              <w:rPr>
                <w:sz w:val="20"/>
                <w:szCs w:val="20"/>
                <w:color w:val="auto"/>
              </w:rPr>
            </w:pPr>
            <w:r>
              <w:rPr>
                <w:rFonts w:ascii="Arial" w:cs="Arial" w:eastAsia="Arial" w:hAnsi="Arial"/>
                <w:sz w:val="14"/>
                <w:szCs w:val="14"/>
                <w:b w:val="1"/>
                <w:bCs w:val="1"/>
                <w:color w:val="auto"/>
              </w:rPr>
              <w:t>Total</w:t>
            </w:r>
          </w:p>
        </w:tc>
      </w:tr>
      <w:tr>
        <w:trPr>
          <w:trHeight w:val="192"/>
        </w:trPr>
        <w:tc>
          <w:tcPr>
            <w:tcW w:w="744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Locations</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Locations</w:t>
            </w:r>
          </w:p>
        </w:tc>
        <w:tc>
          <w:tcPr>
            <w:tcW w:w="1240" w:type="dxa"/>
            <w:vAlign w:val="bottom"/>
          </w:tcPr>
          <w:p>
            <w:pPr>
              <w:jc w:val="right"/>
              <w:ind w:right="239"/>
              <w:spacing w:after="0"/>
              <w:rPr>
                <w:sz w:val="20"/>
                <w:szCs w:val="20"/>
                <w:color w:val="auto"/>
              </w:rPr>
            </w:pPr>
            <w:r>
              <w:rPr>
                <w:rFonts w:ascii="Arial" w:cs="Arial" w:eastAsia="Arial" w:hAnsi="Arial"/>
                <w:sz w:val="14"/>
                <w:szCs w:val="14"/>
                <w:b w:val="1"/>
                <w:bCs w:val="1"/>
                <w:color w:val="auto"/>
              </w:rPr>
              <w:t>Locations</w:t>
            </w: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Texas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Florida</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Colorado</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Wisconsin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Oklahoma</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Idaho</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Utah</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Alabama</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Nevada</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Indiana</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Iowa</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Kansas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Missouri</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South Dakota</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Tennessee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Illinois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Georgia</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Hawaii</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Louisiana</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Minnesota</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Mississippi</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Pennsylvania</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Virginia</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Arkansas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Total United States Locations</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919</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Guanajuato</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Veracruz</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Jalisco</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Puebla</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Mexico</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Chihuahua</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Coahuila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Durango</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Tamaulipas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Michoacán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Morelos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Nuevo León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Querétaro</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Oaxaca</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Aguascalientes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Guerrero</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Tabasco</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San Luis Potosí</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Sinaloa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Sonora</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Hidalgo</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Tlaxcala</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Quintana Roo</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Baja California Sur</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Baja California</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Chiapas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Campeche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Zacatecas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color w:val="auto"/>
              </w:rPr>
              <w:t>Total Mexico Locations</w:t>
            </w: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bl>
    <w:p>
      <w:pPr>
        <w:sectPr>
          <w:pgSz w:w="11900" w:h="16905" w:orient="portrait"/>
          <w:cols w:equalWidth="0" w:num="1">
            <w:col w:w="11420"/>
          </w:cols>
          <w:pgMar w:left="240" w:top="125"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275</w:t>
            </w:r>
          </w:p>
        </w:tc>
      </w:tr>
      <w:tr>
        <w:trPr>
          <w:trHeight w:val="47"/>
        </w:trPr>
        <w:tc>
          <w:tcPr>
            <w:tcW w:w="7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Ontario (1)</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Canada Locations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1,262</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The Canada locations exclude 10 stores that are franchised by the company to third parties.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to our store locations, we lease corporate office space in Austin, Texas (68,900 square feet), Dallas, Texas (5,900 square feet), Querétaro, Mexico (6,700 square feet), Mexico City, Mexico (4,500 square feet) and Ontario, Canada (4,200 square feet). Crediamigo leases corporate office space in Mexico City, Mexico (10,800 square feet) and Cash Genie leases corporate office space in Ipswich, United Kingdom (4,700 square feet).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store data by segment as of September 30, 2012: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Company-owned Stores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8"/>
        </w:trPr>
        <w:tc>
          <w:tcPr>
            <w:tcW w:w="51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U.S. &amp;</w:t>
            </w: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Latin</w:t>
            </w:r>
          </w:p>
        </w:tc>
        <w:tc>
          <w:tcPr>
            <w:tcW w:w="1200" w:type="dxa"/>
            <w:vAlign w:val="bottom"/>
            <w:gridSpan w:val="2"/>
          </w:tcPr>
          <w:p>
            <w:pPr>
              <w:ind w:left="360"/>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America</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Franchises</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Pawn/retail stores</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Financial services stores adjoining U.S. pawn stores</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services stores — free standing</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Total stores in operation</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10</w:t>
            </w:r>
          </w:p>
        </w:tc>
      </w:tr>
      <w:tr>
        <w:trPr>
          <w:trHeight w:val="20"/>
        </w:trPr>
        <w:tc>
          <w:tcPr>
            <w:tcW w:w="5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6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Class A Non-voting Common Stock (“Class A Common Stock”) is traded on The NASDAQ Stock Market (NASDAQ Global Select Market) under the symbol “EZPW.” As of October 31, 2012, there were 97 stockholders of record of our Class A Common Stock. There is no trading market for our Class B Voting Common Stock (“Class B Common Stock”), which was held by one stockholder as of October 31, 2012.</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high and low per share sales price for our Class A Common Stock for the past two fiscal years, as reported by The NASDAQ Stock Market,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Low</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2012</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Fourth quarter ended September 30, 2012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21.39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quarter ended June 30, 2012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Second quarter ended March 31, 2012</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25.33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quarter ended December 31, 2011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Fiscal 2011</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 ended September 30, 2011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Third quarter ended June 30, 2011</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 ended March 31, 2011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First quarter ended December 31, 2010</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On September 28, 2012, the closing sales price of our Class A Common Stock, as reported by the NASDAQ Stock Market, was $22.93 per share.</w:t>
      </w:r>
    </w:p>
    <w:p>
      <w:pPr>
        <w:spacing w:after="0" w:line="18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not declared or paid any dividends during the past two fiscal years, and currently do not anticipate paying any cash dividends in the immediate future. Under the terms of our credit agreement, which expires May 10, 2015, payment of dividends is restricted.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2007. The graph depicts the change in the value of our Class A Common Stock relative to the indices at the end of each fiscal year and not for any interim period.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84455</wp:posOffset>
            </wp:positionV>
            <wp:extent cx="5042535" cy="3267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253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125" w:right="4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selected financial information should be read in conjunction with, and is qualified in its entirety by, the accompanying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2"/>
              </w:rPr>
              <w:t>Fiscal Year Ended September 30,</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22"/>
                <w:szCs w:val="22"/>
                <w:color w:val="auto"/>
              </w:rPr>
            </w:pPr>
          </w:p>
        </w:tc>
      </w:tr>
      <w:tr>
        <w:trPr>
          <w:trHeight w:val="196"/>
        </w:trPr>
        <w:tc>
          <w:tcPr>
            <w:tcW w:w="5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gridSpan w:val="8"/>
          </w:tcPr>
          <w:p>
            <w:pPr>
              <w:jc w:val="center"/>
              <w:ind w:right="300"/>
              <w:spacing w:after="0"/>
              <w:rPr>
                <w:sz w:val="20"/>
                <w:szCs w:val="20"/>
                <w:color w:val="auto"/>
              </w:rPr>
            </w:pPr>
            <w:r>
              <w:rPr>
                <w:rFonts w:ascii="Arial" w:cs="Arial" w:eastAsia="Arial" w:hAnsi="Arial"/>
                <w:sz w:val="14"/>
                <w:szCs w:val="14"/>
                <w:i w:val="1"/>
                <w:iCs w:val="1"/>
                <w:color w:val="auto"/>
                <w:w w:val="91"/>
              </w:rPr>
              <w:t>(in thousands, except per share and store figures)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Sales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543,729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494,562</w:t>
            </w:r>
          </w:p>
        </w:tc>
        <w:tc>
          <w:tcPr>
            <w:tcW w:w="120" w:type="dxa"/>
            <w:vAlign w:val="bottom"/>
          </w:tcPr>
          <w:p>
            <w:pPr>
              <w:spacing w:after="0"/>
              <w:rPr>
                <w:sz w:val="21"/>
                <w:szCs w:val="21"/>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411,865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329,923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234,679</w:t>
            </w:r>
          </w:p>
        </w:tc>
        <w:tc>
          <w:tcPr>
            <w:tcW w:w="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163,695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130,169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94,244</w:t>
            </w:r>
          </w:p>
        </w:tc>
        <w:tc>
          <w:tcPr>
            <w:tcW w:w="80" w:type="dxa"/>
            <w:vAlign w:val="bottom"/>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Consumer loan fees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207,671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171,951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157,022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136,933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128,478</w:t>
            </w:r>
          </w:p>
        </w:tc>
        <w:tc>
          <w:tcPr>
            <w:tcW w:w="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r>
      <w:tr>
        <w:trPr>
          <w:trHeight w:val="237"/>
        </w:trPr>
        <w:tc>
          <w:tcPr>
            <w:tcW w:w="570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992,467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869,317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733,045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597,456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457,403</w:t>
            </w:r>
          </w:p>
        </w:tc>
        <w:tc>
          <w:tcPr>
            <w:tcW w:w="8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295,620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251,122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203,589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139,402</w:t>
            </w:r>
          </w:p>
        </w:tc>
        <w:tc>
          <w:tcPr>
            <w:tcW w:w="80" w:type="dxa"/>
            <w:vAlign w:val="bottom"/>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41,377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38,759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34,444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33,933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37,150</w:t>
            </w:r>
          </w:p>
        </w:tc>
        <w:tc>
          <w:tcPr>
            <w:tcW w:w="80" w:type="dxa"/>
            <w:vAlign w:val="bottom"/>
          </w:tcPr>
          <w:p>
            <w:pPr>
              <w:spacing w:after="0"/>
              <w:rPr>
                <w:sz w:val="21"/>
                <w:szCs w:val="2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534,938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447,479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359,934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280,851</w:t>
            </w:r>
          </w:p>
        </w:tc>
        <w:tc>
          <w:tcPr>
            <w:tcW w:w="80" w:type="dxa"/>
            <w:vAlign w:val="bottom"/>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Store operating expenses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303,486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267,052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236,664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206,237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158,927</w:t>
            </w:r>
          </w:p>
        </w:tc>
        <w:tc>
          <w:tcPr>
            <w:tcW w:w="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34,951</w:t>
            </w:r>
          </w:p>
        </w:tc>
        <w:tc>
          <w:tcPr>
            <w:tcW w:w="80" w:type="dxa"/>
            <w:vAlign w:val="bottom"/>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25,268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18,344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14,661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12,746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12,354</w:t>
            </w:r>
          </w:p>
        </w:tc>
        <w:tc>
          <w:tcPr>
            <w:tcW w:w="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 of assets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80" w:type="dxa"/>
            <w:vAlign w:val="bottom"/>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151,530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105,312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78,071</w:t>
            </w:r>
          </w:p>
        </w:tc>
        <w:tc>
          <w:tcPr>
            <w:tcW w:w="80" w:type="dxa"/>
            <w:vAlign w:val="bottom"/>
          </w:tcPr>
          <w:p>
            <w:pPr>
              <w:spacing w:after="0"/>
              <w:rPr>
                <w:sz w:val="21"/>
                <w:szCs w:val="2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71,023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66,552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54,236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36,840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25,642</w:t>
            </w:r>
          </w:p>
        </w:tc>
        <w:tc>
          <w:tcPr>
            <w:tcW w:w="80" w:type="dxa"/>
            <w:vAlign w:val="bottom"/>
          </w:tcPr>
          <w:p>
            <w:pPr>
              <w:spacing w:after="0"/>
              <w:rPr>
                <w:sz w:val="21"/>
                <w:szCs w:val="2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52,429</w:t>
            </w:r>
          </w:p>
        </w:tc>
        <w:tc>
          <w:tcPr>
            <w:tcW w:w="80" w:type="dxa"/>
            <w:vAlign w:val="bottom"/>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143,708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122,159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97,294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68,472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52,429</w:t>
            </w:r>
          </w:p>
        </w:tc>
        <w:tc>
          <w:tcPr>
            <w:tcW w:w="80" w:type="dxa"/>
            <w:vAlign w:val="bottom"/>
          </w:tcPr>
          <w:p>
            <w:pPr>
              <w:spacing w:after="0"/>
              <w:rPr>
                <w:sz w:val="22"/>
                <w:szCs w:val="22"/>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0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per common share</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Weighted average common shares and share equivalents, diluted</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51,133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50,369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49,576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48,076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43,327</w:t>
            </w:r>
          </w:p>
        </w:tc>
        <w:tc>
          <w:tcPr>
            <w:tcW w:w="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operating at end of period</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21"/>
                <w:szCs w:val="21"/>
                <w:color w:val="auto"/>
              </w:rPr>
            </w:pPr>
          </w:p>
        </w:tc>
      </w:tr>
      <w:tr>
        <w:trPr>
          <w:trHeight w:val="656"/>
        </w:trPr>
        <w:tc>
          <w:tcPr>
            <w:tcW w:w="5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64"/>
        </w:trPr>
        <w:tc>
          <w:tcPr>
            <w:tcW w:w="57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22"/>
                <w:szCs w:val="22"/>
                <w:color w:val="auto"/>
              </w:rPr>
            </w:pPr>
          </w:p>
        </w:tc>
      </w:tr>
      <w:tr>
        <w:trPr>
          <w:trHeight w:val="196"/>
        </w:trPr>
        <w:tc>
          <w:tcPr>
            <w:tcW w:w="5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Pawn loans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157,648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145,318</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121,201</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101,684</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75,936</w:t>
            </w:r>
          </w:p>
        </w:tc>
        <w:tc>
          <w:tcPr>
            <w:tcW w:w="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 net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Inventory, net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43,209</w:t>
            </w:r>
          </w:p>
        </w:tc>
        <w:tc>
          <w:tcPr>
            <w:tcW w:w="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159,918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1,218,007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756,450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606,412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492,517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308,720</w:t>
            </w:r>
          </w:p>
        </w:tc>
        <w:tc>
          <w:tcPr>
            <w:tcW w:w="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664,248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415,685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273,050</w:t>
            </w:r>
          </w:p>
        </w:tc>
        <w:tc>
          <w:tcPr>
            <w:tcW w:w="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60"/>
          </w:cols>
          <w:pgMar w:left="240" w:top="125" w:right="2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 Item 1A — Risk Factors.” See also “Cautionary Statement Regarding Risks and Uncertainties That May Affect Future Results”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consolidated financial data for our fiscal 2012, 2011 and 2010.</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Summary Financial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493"/>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335,410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282,083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240,454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212,479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171,411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235,642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201,135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163,695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171,951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157,022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992,467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869,317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733,045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162,060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140,284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133,560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41,377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38,759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34,444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624,228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534,938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447,479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EZCORP,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143,708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122,159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97,294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Previously, we reported segment information based primarily on product offerings. Beginning with the second quarter of fiscal 2012, we redefined our reportable operating segments based on geography as our company is organized and managed along geographic lines, with product offerings and channels based on local custom and regulation. For this reason, we concluded that segment reporting based on geography more closely aligns with our management organization and strategic direction. In connection with the new segment structure, we have changed the accountability for, and reporting of, certain items, including administrative expenses, depreciation and amortization, interest and our equity in the net income of unconsolidated affiliates. When practical, these items are allocated to segments. Interest is also allocated to operating segments when debt is incurred at the local country level and is nonrecourse to EZCORP, Inc. These items are now included in the segment’s measure of profit or loss (“segment contribution”). Expenses that cannot be allocated are included as corporate expenses.</w:t>
      </w:r>
    </w:p>
    <w:p>
      <w:pPr>
        <w:spacing w:after="0" w:line="1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fiscal 2011,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 leading provider of instant cash solutions. We provide collateralized, non-recourse loans, commonly known as pawn loans, and a variety of short-term consumer loans, including single-payment and multiple-payment unsecured loans and single-payment and multiple-payment auto title loans. In Texas, we provide fee-based credit services to customers seeking loans. At our pawn and buy/sell stores, we also sell merchandise, primarily collateral forfeited from pawn lending operations and used merchandise purchased from customers. We offer prepaid debit card services to help customers better manage their money and control their spending.</w:t>
      </w:r>
    </w:p>
    <w:p>
      <w:pPr>
        <w:spacing w:after="0" w:line="13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During the second quarter of fiscal 2012, we entered into the unsecured lending market in Mexico with the acquisition of a 60% interest in Crediamigo. At September 30, 2012, Crediamigo had approximately 100 payroll withholding agreements with Mexican employers, primarily federal, state and local governments and agencies, and provides consumer loans to the agencies’ employees. In April 2012, we acquired a 72% interest in Cash Genie, which offers short-term consumer loans online in the United Kingdom. Subsequent to the end of fiscal 2012, we increased our ownership interest in Cash Genie to 95%.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At September 30, 2012, we operated a total of 1,262 locations, consisting of 470 U.S. pawn stores (operating as EZPAWN or Value Pawn), seven buy/sell stores in the U.S. (operating as Cash Converters), 230 pawn stores in Mexico (operating as Empeño Fácil or Empeñe Su Oro), 442 U.S. financial services stores (operating primarily as EZMONEY), 33 financial services stores in Canada (operating as CASHMAX), 35 buy/sell and financial services stores in Canada (operating as Cash Converters) and 45 Crediamigo locations in Mexico. In addition, we are the franchisor for 10 franchised Cash Converters stores in Canada. We also own almost 30% of Albemarle &amp; Bond Holdings PLC, one of the U.K.’s largest pawnbroking businesses with approximately 230 stores, and almost 33% of Cash Converters International Limited, which franchises and operates a worldwide network of approximately 700 locations that buy and sell second-hand merchandise and offer financial services.</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business consists of three reportable segments: The U.S. &amp; Canada segment, which includes all business activities in the United States and Canada; the Latin America segment, which includes our Empeño Fácil Pawn operations and Crediamigo financial services operations in Mexico; and the Other International segment, which includes the Cash Genie online business in the U.K. and our equity interests in the net income of Albemarle &amp; Bond and Cash Converters International.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stores by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Fiscal Year Ended September 30, 2012</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2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International</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openings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w:t>
            </w: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Fiscal Year Ended September 30, 2011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2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International</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openings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Fiscal Year Ended September 30, 2010</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2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International</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openings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and Retail Activities</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earn pawn service charge revenues on our pawn lending. While allowable service charges vary by state and loan size, a majority of our U.S. pawn loans earn 20% per month. Our average U.S. pawn loan amount typically ranges between $130 and $145,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$60 U.S. dollars.</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pawn stores, buy/sell stores in Pennsylvania and Virginia and certain financial services stores in Canada, we acquire inventory for retail sales through pawn loan forfeitures, purchases of customers’ second hand merchandise or purchases of new or refurbished merchandise from third party vendors. The gross profit on sales of inventory depends primarily on our assessment of the loan or purchase value at the time the property is either accepted as loan collateral or purchased. Margins achieved on sale of inventory are a function of the assessment of value at the time the pawn loan was originated or, in the case of purchased merchandise, the purchase price.</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September 30, 2012, our total allowance was 4.9% of gross inventory, compared to 9.5% at September 30, 2011. Changes in the valuation allowance are charged to merchandise cost of goods sold.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 Activities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At September 30, 2012, 288 of our U.S. financial services stores and 25 of our U.S. pawn stores in Texas offered credit services to customers seeking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In all stores offering consumer loan credit services, customers can obtain single-payment unsecured consumer loans, with principal amounts up to $1,500 but averaging about $505. Terms of these loans are generally less than 30 days, averaging about 16 days, with due dates corresponding with the customer’s next payday. We typically earn a fee of 22% of the loan amount for our credit services offered in connection with single-payment loans. In the financial services stores offering credit services, customers can obtain longer-term unsecured multiple-payment loans from the unaffiliated lenders. All multiple-payment loans typically carry terms of about five months with ten equal installment payments, including principal amortization, due on customers’ paydays. Traditional multi-payment loan principal amounts range from $1,525 to $3,000, but average about $2,105, and with each semi-monthly or bi-weekly installment payment, we earn a fee of 11% of the initial loan amount. Low dollar multiple-payment loan principal amounts range from $100 to $1,500, but average about $705. With each semi-monthly or bi-weekly installment payment, we earn a fee of 13% to 14% of the initial loan amount. At September 30, 2012, single-payment loans comprised 93% of the balance of consumer loans brokered through our credit services, and multiple-payment loans comprised the remaining 7%.</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Outside of Texas, we earn loan fee revenue on our consumer loans. In 20 U.S. pawn stores, 80 U.S. financial services stores and 67 Canadian financial services stores, we offer single-payment unsecured consumer loans. The average single-payment loan amount is approximately $440 and the term is generally less than 30 days, averaging about 16 days. We typically charge a fee of 15% to 22% of the loan amount. In 115 of our U.S. financial services stores and three U.S. pawn stores, we offer multiple-payment unsecured consumer loans. These loans carry a term of four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130% of the original principal amount of the loan. Multiple-payment loan principal amounts range from $100 to $3,000, but average approximately $550.</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September 30, 2012, 398 of our U.S. financial services stores and 44 of our U.S. pawn stores offered auto title loans or, in Texas, credit services to assist customers in obtaining auto title loans from unaffiliated lenders. Auto title loans are 30-day loans secured by the titles to customers’ automobiles. Loan principal amounts range from $100 to $10,000, but average about $835. We earn a fee of 12.5% to 30% of auto title loan amounts. In fiscal 2012, in Texas, we began assisting customers in obtaining multiple-payment auto title loans from unaffiliated lenders. These loans typically carry terms of two to five months with up to ten equal installments. Principal amounts range from $150 to $10,000, but average about $1,000; and, with each installment payment, we earn a fee of 11% to 35% of the initial loan amount.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Mexico, Crediamigo offers multiple-payment consumer loans with typical annual yields of approximately 27% and collects interest and principal through payroll deductions. The average loan is approximately $1,200 with a term of 31 months.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the U.K., Cash Genie offers unsecured single payment loans with a fixed fee of 30% of the loan amount. Loans are due within 30 days and can be renewed.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loan amounts range from $78 to $1,560 but average $300.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fiscal 2012, we acquired 28 pawn stores in the San Antonio metropolitan area, Florida, Minnesota and Georgia; 8 buy/sell stores in Virginia, Pennsylvania and Canada; and 15 financial services stores in Hawaii and Texas. The aggregate consideration for these stores was approximately $76.9 million, net of cash acquired. During fiscal 2012, we also acquired a 60% interest in Crediamigo, a specialty consumer finance company headquartered in Mexico City, for total consideration of $60.1 million, net of cash acquired; and a 72% interest in Ariste Holding Limited and its affiliates, which provides online loans in the U.K under the name "Cash Genie," for total consideration of $32.4 million, comprised of 0.2 million shares of EZCORP stock valued at $6.4 million and $26.0 million of cash, net of cash acquired. The results of all acquired stores and businesses have been consolidated with our results since their acquisition.</w:t>
      </w:r>
    </w:p>
    <w:p>
      <w:pPr>
        <w:spacing w:after="0" w:line="1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year ended September 30, 2011, we acquired 40 pawn stores in the Chicago metropolitan area, Georgia, Central and South Florida, Iowa, Wisconsin, Utah and the Mexican states of Hidalgo and Tlaxcala for approximately $66.2 million in cash and the issuance of approximately 0.2 million shares of EZCORP stock valued at $7.3 million. In April 2011 we also acquired the trademark and licensing rights of Cash Converters in Canada, including rights to receive fees from 13 stores operated by franchisees in Canada. The results of all acquired stores have been consolidated with our results since their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Growth</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continued execution of the our geographic and product diversification strategy, nearly 18% of our consolidated segment contribution in fiscal 2012 was attributable to areas outside the United States, up from 8% during fiscal 2011. Total revenue in the Latin America and Other International segments combined more than doubled from fiscal 2011 to fiscal 2012, with combined segment contribution increasing 160%. These year-over year increases are the result of continued strength in our Empeño Fácil business in Mexico, the acquisition of controlling interests in Crediamigo and Cash Genie and our strategic investments in the United Kingdom and Australia.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Included in the results for the fiscal year ended September 30, 2011 is a pre-tax administrative expense charge of $10.9 million related to the October 2010 retirement of our former Chief Executive Officer, including $3.4 million attributable to a cash payment and $7.5 million attributable to the vesting of restricted stock. The prior year income tax expense reflects a $3.8 million tax benefit related to this charge.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 We believe the following critical accounting policies and estimates could have a significant impact on our results of operations. You should refer to Note 1, “Organization and Summary of Significant Accounting Policies,” to our consolidated financial statements included in “Part II — Item 8 — Financial Statements and Supplemental Data” for a more complete review of other accounting policies and estimates used in the preparation of our consolidated financial statements.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17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consolidated financial statements include the accounts of EZCORP, Inc. and our controlled subsidiaries. All significant inter-company accounts and transactions have been eliminated in consolidation. We own 60% of the outstanding equity interests in Prestaciones Finmart, S.A. de C.V., SOFOM, E.N.R. ("Crediamigo") and 72% of Ariste Holding Limited and its affiliates ("Cash Genie") and, therefore, include their results in our consolidated financial statements. We account for our investments in Albemarle &amp; Bond Holdings, PLC and Cash Converters International Limited using the equity method.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Loan and Sales Revenue Recognition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upon the sale of inventory is excluded from the amount recognized as sales and instead recorded as a liability in “Accounts payable and other accrued expenses” on our balance sheets until remitted to the appropriate governmental authorities.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w:t>
      </w:r>
    </w:p>
    <w:p>
      <w:pPr>
        <w:spacing w:after="0" w:line="17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provide a variety of short-term consumer loans, including single-payment and multiple-payment unsecured loans and single-payment and multiple-payment auto title loans. In Texas, we provide fee-based credit services to customers seeking loans. In Mexico, Crediamigo enters into agreements with employers that permit it to market consumer loans to employees. Payments are withheld by the employers through payroll deductions and remitted to Crediamigo.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left="340" w:right="140"/>
        <w:spacing w:after="0" w:line="257" w:lineRule="auto"/>
        <w:rPr>
          <w:sz w:val="20"/>
          <w:szCs w:val="20"/>
          <w:color w:val="auto"/>
        </w:rPr>
      </w:pPr>
      <w:r>
        <w:rPr>
          <w:rFonts w:ascii="Arial" w:cs="Arial" w:eastAsia="Arial" w:hAnsi="Arial"/>
          <w:sz w:val="18"/>
          <w:szCs w:val="18"/>
          <w:i w:val="1"/>
          <w:iCs w:val="1"/>
          <w:color w:val="auto"/>
        </w:rPr>
        <w:t xml:space="preserve">Unsecured Consumer Loan Credit Service Fees — </w:t>
      </w:r>
      <w:r>
        <w:rPr>
          <w:rFonts w:ascii="Arial" w:cs="Arial" w:eastAsia="Arial" w:hAnsi="Arial"/>
          <w:sz w:val="18"/>
          <w:szCs w:val="18"/>
          <w:color w:val="auto"/>
        </w:rPr>
        <w:t>We earn credit service fees when we assist customers in obtaining unsecured loans from unaffiliated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Consumer loan credit service fee revenue is included in “Consumer loan fees” on our statements of operations.</w:t>
      </w:r>
    </w:p>
    <w:p>
      <w:pPr>
        <w:spacing w:after="0" w:line="134" w:lineRule="exact"/>
        <w:rPr>
          <w:sz w:val="20"/>
          <w:szCs w:val="20"/>
          <w:color w:val="auto"/>
        </w:rPr>
      </w:pPr>
    </w:p>
    <w:p>
      <w:pPr>
        <w:jc w:val="both"/>
        <w:ind w:left="340" w:right="80"/>
        <w:spacing w:after="0" w:line="264" w:lineRule="auto"/>
        <w:rPr>
          <w:sz w:val="20"/>
          <w:szCs w:val="20"/>
          <w:color w:val="auto"/>
        </w:rPr>
      </w:pPr>
      <w:r>
        <w:rPr>
          <w:rFonts w:ascii="Arial" w:cs="Arial" w:eastAsia="Arial" w:hAnsi="Arial"/>
          <w:sz w:val="18"/>
          <w:szCs w:val="18"/>
          <w:i w:val="1"/>
          <w:iCs w:val="1"/>
          <w:color w:val="auto"/>
        </w:rPr>
        <w:t xml:space="preserve">Unsecured Consumer Loan Revenue — </w:t>
      </w:r>
      <w:r>
        <w:rPr>
          <w:rFonts w:ascii="Arial" w:cs="Arial" w:eastAsia="Arial" w:hAnsi="Arial"/>
          <w:sz w:val="18"/>
          <w:szCs w:val="18"/>
          <w:color w:val="auto"/>
        </w:rPr>
        <w:t>We accrue fees in accordance with state and provincial laws on the percentage of unsecured loans we have made</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believe to be collectible. Accrued fees related to defaulted loans reduce fee revenue upon loan default and increase fee revenue upon collection. Unsecured loan revenue is included in “Consumer loan fees” on our statements of operations.</w:t>
      </w:r>
    </w:p>
    <w:p>
      <w:pPr>
        <w:spacing w:after="0" w:line="127" w:lineRule="exact"/>
        <w:rPr>
          <w:sz w:val="20"/>
          <w:szCs w:val="20"/>
          <w:color w:val="auto"/>
        </w:rPr>
      </w:pPr>
    </w:p>
    <w:p>
      <w:pPr>
        <w:ind w:left="340" w:right="140"/>
        <w:spacing w:after="0" w:line="302" w:lineRule="auto"/>
        <w:rPr>
          <w:sz w:val="20"/>
          <w:szCs w:val="20"/>
          <w:color w:val="auto"/>
        </w:rPr>
      </w:pPr>
      <w:r>
        <w:rPr>
          <w:rFonts w:ascii="Arial" w:cs="Arial" w:eastAsia="Arial" w:hAnsi="Arial"/>
          <w:sz w:val="16"/>
          <w:szCs w:val="16"/>
          <w:i w:val="1"/>
          <w:iCs w:val="1"/>
          <w:color w:val="auto"/>
        </w:rPr>
        <w:t xml:space="preserve">Long-term Unsecured Consumer Loan Revenue — </w:t>
      </w:r>
      <w:r>
        <w:rPr>
          <w:rFonts w:ascii="Arial" w:cs="Arial" w:eastAsia="Arial" w:hAnsi="Arial"/>
          <w:sz w:val="16"/>
          <w:szCs w:val="16"/>
          <w:color w:val="auto"/>
        </w:rPr>
        <w:t>Crediamigo customers obtain installment loans with a series of payments due over as much as a four</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period. We recognize consumer loan fees related to loans we originate based on the percentage of consumer loans made that we believe to be collectible. We recognize interest revenue ratably over the life of the related loans. We reserve the percentage of interest we expect not to collect. Accrued fees related to defaulted loans reduce consumer loan revenue upon loan default and increase consumer loan fee revenue upon collection.</w:t>
      </w:r>
    </w:p>
    <w:p>
      <w:pPr>
        <w:spacing w:after="0" w:line="100"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i w:val="1"/>
          <w:iCs w:val="1"/>
          <w:color w:val="auto"/>
        </w:rPr>
        <w:t xml:space="preserve">Auto Title Loan Credit Service Fee Revenue — </w:t>
      </w:r>
      <w:r>
        <w:rPr>
          <w:rFonts w:ascii="Arial" w:cs="Arial" w:eastAsia="Arial" w:hAnsi="Arial"/>
          <w:sz w:val="18"/>
          <w:szCs w:val="18"/>
          <w:color w:val="auto"/>
        </w:rPr>
        <w:t>We earn auto title credit service fees when we assist customers in obtaining auto title loans from</w:t>
      </w:r>
      <w:r>
        <w:rPr>
          <w:rFonts w:ascii="Arial" w:cs="Arial" w:eastAsia="Arial" w:hAnsi="Arial"/>
          <w:sz w:val="18"/>
          <w:szCs w:val="18"/>
          <w:i w:val="1"/>
          <w:iCs w:val="1"/>
          <w:color w:val="auto"/>
        </w:rPr>
        <w:t xml:space="preserve"> </w:t>
      </w:r>
      <w:r>
        <w:rPr>
          <w:rFonts w:ascii="Arial" w:cs="Arial" w:eastAsia="Arial" w:hAnsi="Arial"/>
          <w:sz w:val="18"/>
          <w:szCs w:val="18"/>
          <w:color w:val="auto"/>
        </w:rPr>
        <w:t>unaffiliated lenders. We recognize the fee revenue ratably over the life of the loan, and reserve the percentage of fees we expect not to collect. Auto title loan credit service fee revenue is included in “Consumer loan fees” on our statements of operations.</w:t>
      </w:r>
    </w:p>
    <w:p>
      <w:pPr>
        <w:spacing w:after="0" w:line="127"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i w:val="1"/>
          <w:iCs w:val="1"/>
          <w:color w:val="auto"/>
        </w:rPr>
        <w:t xml:space="preserve">Auto Title Loan Revenue — </w:t>
      </w:r>
      <w:r>
        <w:rPr>
          <w:rFonts w:ascii="Arial" w:cs="Arial" w:eastAsia="Arial" w:hAnsi="Arial"/>
          <w:sz w:val="18"/>
          <w:szCs w:val="18"/>
          <w:color w:val="auto"/>
        </w:rPr>
        <w:t>We accrue fees in accordance with state laws on the percentage of auto title loans we have made that we believe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collectible. We recognize the fee revenue ratably over the life of the loan. Auto title loan revenue is included in “Consumer loan fees” on our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Debt and Allowance For Losses</w:t>
      </w:r>
    </w:p>
    <w:p>
      <w:pPr>
        <w:spacing w:after="0" w:line="171" w:lineRule="exact"/>
        <w:rPr>
          <w:sz w:val="20"/>
          <w:szCs w:val="20"/>
          <w:color w:val="auto"/>
        </w:rPr>
      </w:pPr>
    </w:p>
    <w:p>
      <w:pPr>
        <w:ind w:left="340"/>
        <w:spacing w:after="0" w:line="302" w:lineRule="auto"/>
        <w:rPr>
          <w:sz w:val="20"/>
          <w:szCs w:val="20"/>
          <w:color w:val="auto"/>
        </w:rPr>
      </w:pPr>
      <w:r>
        <w:rPr>
          <w:rFonts w:ascii="Arial" w:cs="Arial" w:eastAsia="Arial" w:hAnsi="Arial"/>
          <w:sz w:val="16"/>
          <w:szCs w:val="16"/>
          <w:i w:val="1"/>
          <w:iCs w:val="1"/>
          <w:color w:val="auto"/>
        </w:rPr>
        <w:t xml:space="preserve">Unsecured Consumer Loan Credit Service Bad Debt — </w:t>
      </w:r>
      <w:r>
        <w:rPr>
          <w:rFonts w:ascii="Arial" w:cs="Arial" w:eastAsia="Arial" w:hAnsi="Arial"/>
          <w:sz w:val="16"/>
          <w:szCs w:val="16"/>
          <w:color w:val="auto"/>
        </w:rPr>
        <w:t>We issue letters of credit to enhance the creditworthiness of our customers seeking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consumer loan bad debt upon default. We record recoveries under the letters of credit as a reduction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bad debt at the time of collection. After attempting collection of bad debts internally, we occasionally sell them to an unaffiliated company as another method of recovery and record the proceeds from such sales as a reduction of bad debt at the time of the sale.</w:t>
      </w:r>
    </w:p>
    <w:p>
      <w:pPr>
        <w:spacing w:after="0" w:line="116" w:lineRule="exact"/>
        <w:rPr>
          <w:sz w:val="20"/>
          <w:szCs w:val="20"/>
          <w:color w:val="auto"/>
        </w:rPr>
      </w:pPr>
    </w:p>
    <w:p>
      <w:pPr>
        <w:ind w:left="340" w:right="80"/>
        <w:spacing w:after="0" w:line="279" w:lineRule="auto"/>
        <w:rPr>
          <w:sz w:val="20"/>
          <w:szCs w:val="20"/>
          <w:color w:val="auto"/>
        </w:rPr>
      </w:pPr>
      <w:r>
        <w:rPr>
          <w:rFonts w:ascii="Arial" w:cs="Arial" w:eastAsia="Arial" w:hAnsi="Arial"/>
          <w:sz w:val="17"/>
          <w:szCs w:val="17"/>
          <w:color w:val="auto"/>
        </w:rPr>
        <w:t>The majority of our credit service customers obtain short-term unsecured loans with a single maturity date. These short-term loans, with terms averaging about 16 days, are considered defaulted if they have not been repaid or renewed by the maturity date. Other credit service customers obtain multiple-payment loans with a series of payments due over as much as a seven-month period. If one payment of a multiple-payment loan is delinquent, that one payment is considered defaulted. If more than one payment is delinquent at any time, the entire loan is considered defaulted.</w:t>
      </w:r>
    </w:p>
    <w:p>
      <w:pPr>
        <w:spacing w:after="0" w:line="117"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i w:val="1"/>
          <w:iCs w:val="1"/>
          <w:color w:val="auto"/>
        </w:rPr>
        <w:t xml:space="preserve">Allowance for Losses on Unsecured Consumer Loan Credit Services — </w:t>
      </w:r>
      <w:r>
        <w:rPr>
          <w:rFonts w:ascii="Arial" w:cs="Arial" w:eastAsia="Arial" w:hAnsi="Arial"/>
          <w:sz w:val="17"/>
          <w:szCs w:val="17"/>
          <w:color w:val="auto"/>
        </w:rPr>
        <w:t>We provide an allowance for losses we expect to incur under letters of credit for</w:t>
      </w:r>
      <w:r>
        <w:rPr>
          <w:rFonts w:ascii="Arial" w:cs="Arial" w:eastAsia="Arial" w:hAnsi="Arial"/>
          <w:sz w:val="17"/>
          <w:szCs w:val="17"/>
          <w:i w:val="1"/>
          <w:iCs w:val="1"/>
          <w:color w:val="auto"/>
        </w:rPr>
        <w:t xml:space="preserve"> </w:t>
      </w:r>
      <w:r>
        <w:rPr>
          <w:rFonts w:ascii="Arial" w:cs="Arial" w:eastAsia="Arial" w:hAnsi="Arial"/>
          <w:sz w:val="17"/>
          <w:szCs w:val="17"/>
          <w:color w:val="auto"/>
        </w:rPr>
        <w:t>brokered unsecured loans that have not yet matured. The allowance is based on recent loan default experience adjusted for seasonal variations. It includes all amounts we expect to pay to the unaffiliated lenders upon loan default, including loan principal, accrued interest, insufficient funds fees and late fees, net of the amounts we expect to collect from borrowers (collectively, “Expected LOC Losses”). Changes in the allowance are charged to consumer loan bad debt. We include the balance of Expected LOC Losses in “Accounts payable and other accrued expenses” on our balance sheets. Based on the expected loss and collection percentages, we also provide an allowance for the unsecured loan credit service fees we expect not to collect, and charge changes in this allowance to consumer loan fee revenue.</w:t>
      </w:r>
    </w:p>
    <w:p>
      <w:pPr>
        <w:spacing w:after="0" w:line="124"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i w:val="1"/>
          <w:iCs w:val="1"/>
          <w:color w:val="auto"/>
        </w:rPr>
        <w:t xml:space="preserve">Unsecured Consumer Loan Bad Debt — </w:t>
      </w:r>
      <w:r>
        <w:rPr>
          <w:rFonts w:ascii="Arial" w:cs="Arial" w:eastAsia="Arial" w:hAnsi="Arial"/>
          <w:sz w:val="17"/>
          <w:szCs w:val="17"/>
          <w:color w:val="auto"/>
        </w:rPr>
        <w:t>We consider a single-payment loan defaulted if it has not been repaid or renewed by the maturity date. If one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We record collections of principal as a reduction of consumer loan bad debt when collected. After attempting collection of bad debts internally, we occasionally sell them to an unaffiliated company as another method of recovery and record the proceeds from such sales as a reduction of bad debt at the time of sale.</w:t>
      </w:r>
    </w:p>
    <w:p>
      <w:pPr>
        <w:spacing w:after="0" w:line="124" w:lineRule="exact"/>
        <w:rPr>
          <w:sz w:val="20"/>
          <w:szCs w:val="20"/>
          <w:color w:val="auto"/>
        </w:rPr>
      </w:pPr>
    </w:p>
    <w:p>
      <w:pPr>
        <w:ind w:left="340" w:right="260"/>
        <w:spacing w:after="0" w:line="286" w:lineRule="auto"/>
        <w:rPr>
          <w:sz w:val="20"/>
          <w:szCs w:val="20"/>
          <w:color w:val="auto"/>
        </w:rPr>
      </w:pPr>
      <w:r>
        <w:rPr>
          <w:rFonts w:ascii="Arial" w:cs="Arial" w:eastAsia="Arial" w:hAnsi="Arial"/>
          <w:sz w:val="17"/>
          <w:szCs w:val="17"/>
          <w:i w:val="1"/>
          <w:iCs w:val="1"/>
          <w:color w:val="auto"/>
        </w:rPr>
        <w:t xml:space="preserve">Unsecured Consumer Loan Allowance for Losses — </w:t>
      </w:r>
      <w:r>
        <w:rPr>
          <w:rFonts w:ascii="Arial" w:cs="Arial" w:eastAsia="Arial" w:hAnsi="Arial"/>
          <w:sz w:val="17"/>
          <w:szCs w:val="17"/>
          <w:color w:val="auto"/>
        </w:rPr>
        <w:t>We provide an allowance for losses on unsecured loans that have not yet matured and related fees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based on recent loan default experience adjusted for seasonal variations. We charge any changes in the principal valuation allowance to consumer loan bad debt. We record changes in the fee receivable valuation allowance to consumer loan fee revenue.</w:t>
      </w:r>
    </w:p>
    <w:p>
      <w:pPr>
        <w:spacing w:after="0" w:line="111"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i w:val="1"/>
          <w:iCs w:val="1"/>
          <w:color w:val="auto"/>
        </w:rPr>
        <w:t xml:space="preserve">Long-Term Unsecured Consumer Loan Bad Debt — </w:t>
      </w:r>
      <w:r>
        <w:rPr>
          <w:rFonts w:ascii="Arial" w:cs="Arial" w:eastAsia="Arial" w:hAnsi="Arial"/>
          <w:sz w:val="18"/>
          <w:szCs w:val="18"/>
          <w:color w:val="auto"/>
        </w:rPr>
        <w:t>Consumer loans made by Crediamigo are considered in current status as long as the customer 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and Crediamigo receives payments via payroll withholdings. Loans made to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Crediamigo charges the loan principal to consumer loan bad debt upon default, leaving only active loans in the reported balance. Collections of principal are recorded as a reduction of consumer loan bad debt when collected.</w:t>
      </w:r>
    </w:p>
    <w:p>
      <w:pPr>
        <w:spacing w:after="0" w:line="139" w:lineRule="exact"/>
        <w:rPr>
          <w:sz w:val="20"/>
          <w:szCs w:val="20"/>
          <w:color w:val="auto"/>
        </w:rPr>
      </w:pPr>
    </w:p>
    <w:p>
      <w:pPr>
        <w:ind w:left="340" w:right="160"/>
        <w:spacing w:after="0" w:line="286" w:lineRule="auto"/>
        <w:rPr>
          <w:sz w:val="20"/>
          <w:szCs w:val="20"/>
          <w:color w:val="auto"/>
        </w:rPr>
      </w:pPr>
      <w:r>
        <w:rPr>
          <w:rFonts w:ascii="Arial" w:cs="Arial" w:eastAsia="Arial" w:hAnsi="Arial"/>
          <w:sz w:val="17"/>
          <w:szCs w:val="17"/>
          <w:i w:val="1"/>
          <w:iCs w:val="1"/>
          <w:color w:val="auto"/>
        </w:rPr>
        <w:t xml:space="preserve">Long-Term Unsecured Consumer Loan Allowance for Losses — </w:t>
      </w:r>
      <w:r>
        <w:rPr>
          <w:rFonts w:ascii="Arial" w:cs="Arial" w:eastAsia="Arial" w:hAnsi="Arial"/>
          <w:sz w:val="17"/>
          <w:szCs w:val="17"/>
          <w:color w:val="auto"/>
        </w:rPr>
        <w:t>Crediamigo provides an allowance for losses on consumer loans that have not yet</w:t>
      </w:r>
      <w:r>
        <w:rPr>
          <w:rFonts w:ascii="Arial" w:cs="Arial" w:eastAsia="Arial" w:hAnsi="Arial"/>
          <w:sz w:val="17"/>
          <w:szCs w:val="17"/>
          <w:i w:val="1"/>
          <w:iCs w:val="1"/>
          <w:color w:val="auto"/>
        </w:rPr>
        <w:t xml:space="preserve"> </w:t>
      </w:r>
      <w:r>
        <w:rPr>
          <w:rFonts w:ascii="Arial" w:cs="Arial" w:eastAsia="Arial" w:hAnsi="Arial"/>
          <w:sz w:val="17"/>
          <w:szCs w:val="17"/>
          <w:color w:val="auto"/>
        </w:rPr>
        <w:t>matured and related fees receivable based on recent loan default experience. Changes in the principal valuation allowance are charged to consumer loan bad debt and changes in the interest receivable valuation allowance are charged to consumer loan fee revenue.</w:t>
      </w:r>
    </w:p>
    <w:p>
      <w:pPr>
        <w:spacing w:after="0" w:line="111"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i w:val="1"/>
          <w:iCs w:val="1"/>
          <w:color w:val="auto"/>
        </w:rPr>
        <w:t xml:space="preserve">Auto Title Loan Credit Services Bad Debt and Allowance for Losses — </w:t>
      </w:r>
      <w:r>
        <w:rPr>
          <w:rFonts w:ascii="Arial" w:cs="Arial" w:eastAsia="Arial" w:hAnsi="Arial"/>
          <w:sz w:val="17"/>
          <w:szCs w:val="17"/>
          <w:color w:val="auto"/>
        </w:rPr>
        <w:t>We issue letters of credit to enhance the creditworthiness of our customers seeking</w:t>
      </w:r>
      <w:r>
        <w:rPr>
          <w:rFonts w:ascii="Arial" w:cs="Arial" w:eastAsia="Arial" w:hAnsi="Arial"/>
          <w:sz w:val="17"/>
          <w:szCs w:val="17"/>
          <w:i w:val="1"/>
          <w:iCs w:val="1"/>
          <w:color w:val="auto"/>
        </w:rPr>
        <w:t xml:space="preserve"> </w:t>
      </w:r>
      <w:r>
        <w:rPr>
          <w:rFonts w:ascii="Arial" w:cs="Arial" w:eastAsia="Arial" w:hAnsi="Arial"/>
          <w:sz w:val="17"/>
          <w:szCs w:val="17"/>
          <w:color w:val="auto"/>
        </w:rPr>
        <w:t>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w:t>
      </w:r>
    </w:p>
    <w:p>
      <w:pPr>
        <w:spacing w:after="0" w:line="124"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i w:val="1"/>
          <w:iCs w:val="1"/>
          <w:color w:val="auto"/>
        </w:rPr>
        <w:t xml:space="preserve">Auto Title Loan Bad Debt and Allowance for Losses — </w:t>
      </w:r>
      <w:r>
        <w:rPr>
          <w:rFonts w:ascii="Arial" w:cs="Arial" w:eastAsia="Arial" w:hAnsi="Arial"/>
          <w:sz w:val="18"/>
          <w:szCs w:val="18"/>
          <w:color w:val="auto"/>
        </w:rPr>
        <w:t>Based on historical collection experience, the age of past-due loans and amounts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through the sale of repossessed vehicles, we provide an allowance for losses on auto title loans and related fees receivable. We charge any increases in the principal valuation allowance to consumer loan bad debt and charge uncollectable loans against this allowance. We record changes in the fee receivable valuation allowance to consumer loan fee revenue.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and Cost of Goods Sold</w:t>
      </w:r>
    </w:p>
    <w:p>
      <w:pPr>
        <w:spacing w:after="0" w:line="17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If a pawn loan is not redeemed, we record the forfeited collateral at cost (the principal amount of the pawn loan). We do not record loan loss allowances or charge-offs on the principal portion of pawn loans, as they are fully collateralized.</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order to state inventory at the lower of cost (specific identification) or market value, we record an allowance for excess, obsolete or slow moving inventory based on the type and age of merchandise. We include in cost of goods sold the historical cost of inventory sold, inventory shrinkage and any change in the allowance for inventory shrinkage and valuation. We also include the cost of operating our central jewelry processing unit, as it relates directly to sales of precious metals to refiners.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Goodwill and other intangible assets having indefinite lives are not subject to amortization. In fiscal 2012 we early adopted the Financial Accounting Standards Board "FASB" issued Accounting Standards Update "ASU"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xml:space="preserve"> and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which allows for a level of qualitative review for potential impairment of an indefinite lived asset. We review qualitative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indicators annually on July 1st, or more frequently if necessary, to identify potential areas of risk for impairment. If there is an indicator that the fair market value of the segment has potentially dropped below the carrying value, then a full valuation of the segment is performed, using analyses of cash flows and other market valuation methods. We amortize intangible assets with definite lives over their estimated useful lives using the straight-line method.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Tangible Long-Lived Assets</w:t>
      </w:r>
    </w:p>
    <w:p>
      <w:pPr>
        <w:spacing w:after="0" w:line="17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and significant negative industry trends or legislative changes prohibiting us from offering our loan products. When we determine that the net recorded amount of tangible long-lived assets may not be recoverable, we measure impairment based on the excess of the assets’ net recorded amount over the estimated fair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adopted Financial Accounting Standards Board (“FASB”) Accounting Standards Codification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immediately expense transaction costs that would have been included in the purchase price allocation under previous accounting standards.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7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equity investments in Albemarle &amp; Bond and Cash Converters International are translated from British pounds and Australian dollars, respectively, into U.S. dollars at the exchange rates as of the investees’ balance sheet date of June 30. The related interest in the investees’ net income is translated at the average exchange rates for each six-month period reported by the investees. The functional currency of Empeño Fácil, our wholly-owned subsidiary, and Crediamigo, our 60% owned subsidiary, is the Mexican peso. The functional currency of our wholly-owned foreign subsidiary in Canada is the Canadian dollar, and the functional currency of Cash Genie, our 95% owned subsidiary, is the British Pound. Our foreign subsidiaries'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as a separate component of stockholders’ equity. Foreign currency transaction gains and losses have not been significant, and are reported as “Other” (income) or expense in our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2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1080"/>
        <w:spacing w:after="0" w:line="438" w:lineRule="auto"/>
        <w:rPr>
          <w:sz w:val="20"/>
          <w:szCs w:val="20"/>
          <w:color w:val="auto"/>
        </w:rPr>
      </w:pPr>
      <w:r>
        <w:rPr>
          <w:rFonts w:ascii="Arial" w:cs="Arial" w:eastAsia="Arial" w:hAnsi="Arial"/>
          <w:sz w:val="18"/>
          <w:szCs w:val="18"/>
          <w:color w:val="auto"/>
        </w:rPr>
        <w:t xml:space="preserve">the future, we will make an adjustment to the valuation allowance that would be charged to earnings in the period such determination is made. </w:t>
      </w:r>
      <w:r>
        <w:rPr>
          <w:rFonts w:ascii="Arial" w:cs="Arial" w:eastAsia="Arial" w:hAnsi="Arial"/>
          <w:sz w:val="18"/>
          <w:szCs w:val="18"/>
          <w:i w:val="1"/>
          <w:iCs w:val="1"/>
          <w:color w:val="auto"/>
        </w:rPr>
        <w:t>Stock Compensation</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When we grant options, our policy is to estimate the grant-date fair value of options using the Black-Scholes-Merton option-pricing model and amortize that fair value to compensation expense on a ratable basis over the options’ vesting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 1, “Organization and Summary of Significant Accounting Policies,” in “Part II — Item 8 — Financial Statements and Supplementary Data” for a discussion of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2012 Compared to Fiscal 2011</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discussion compares our results of operations for the year ended September 30, 2012 to the year ended September 30, 2011. It should be read with the accompanying consolidated financial statements and related notes.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2012, consolidated total revenues increased 14%, or $123.2 million, to $992.5 million, compared to the prior year. Same store total revenues decreased $13.2 million, or 2%, and new and acquired stores contributed $136.4 million. Excluding the one-time $10.9 million charge related to the retirement of our former Chief Executive Officer and the related tax benefit, net income before taxes increased 11% to $221.6 million from $199.7 million in the prior year. Net income attributable to EZCORP, Inc. increased $21.5 million, or 18%, after a $6.9 million of net income attributable to noncontrolling interest.</w:t>
      </w: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U.S. &amp; Canada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Fiscal Year Ended September 30,</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Merchandise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293,461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256,846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Jewelry scrapping sales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192,587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196,482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Pawn service charges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210,645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184,234</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Loan fees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170,886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171,951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3,769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871,348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811,060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Merchandise cost of goods sold</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169,285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147,388</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Jewelry scrapping cost of goods sold</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122,955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121,355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bad debt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37,405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38,759</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541,703</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503,558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Store operations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272,446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246,416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25,893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19,444</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13,930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(Gain)/loss on sale or disposal of assets</w:t>
            </w:r>
          </w:p>
        </w:tc>
        <w:tc>
          <w:tcPr>
            <w:tcW w:w="4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contribution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229,793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225,708</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180"/>
              <w:spacing w:after="0"/>
              <w:rPr>
                <w:sz w:val="20"/>
                <w:szCs w:val="20"/>
                <w:color w:val="auto"/>
              </w:rPr>
            </w:pPr>
            <w:r>
              <w:rPr>
                <w:rFonts w:ascii="Arial" w:cs="Arial" w:eastAsia="Arial" w:hAnsi="Arial"/>
                <w:sz w:val="18"/>
                <w:szCs w:val="18"/>
                <w:color w:val="auto"/>
              </w:rPr>
              <w:t>Other data:</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merchandise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total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yield on pawn loan portfolio (a)</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U.S. &amp; Canada segment total revenues increased $60.3 million, or 7%, from the prior year to $871.3 million. Same store total revenues decreased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$17.3 million, or 2.1%, and new and acquired stores net of closed stores contributed $77.6 million. The overall increase in total revenues consisted of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$32.7 million increase in merchandise and jewelry scrapping sales, a $26.4 million increase in pawn service charges and a $1.2 million increase in loan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revenues. In fiscal 2012, we acquired 28 U.S. pawn stores, seven U.S. buy/sell stores, 15 financial services stores in the U.S. and one buy/sell store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Canada for an aggregate of $78.2 million. As part of these acquisitions, we began operations in the states of Pennsylvania, Virginia, Hawaii and Minnesota,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bringing the total number of states in which we operate at September 30, 2012 to 24.</w:t>
      </w:r>
    </w:p>
    <w:p>
      <w:pPr>
        <w:spacing w:after="0" w:line="15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Fiscal 2012 pawn service charge revenue increased 14%, or $26.4 million, from the prior year to $210.6 million. Same store pawn service charges increased $12.2 million, or 7%, with new and acquired stores net of closed stores contributing $14.2 million. The same store improvement was due to a higher average same store pawn loan balance coupled with higher yield. The yield improved primarily due to a slightly higher loan redemption rate as we continued to focus on loan values and better qualifying customers to determine those that prefer to sell their merchandise rather than use it as collateral for a loan.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Fiscal 2012 merchandise sales gross profit increased $14.7 million, or 13%, from the prior year to $124.2 million. This was due to a $37.3 million, or 14%, increase in sales from new and acquired stores net of closed stores, partially offset by a $0.7 million decrease in same store sales and a 0.3 percentage point decrease in gross margins. The decrease in gross margins was due to a shift in sales mix from jewelry to general merchandise. General merchandise sales were up 27%, while jewelry sales were down 10%.</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on jewelry scrapping sales decreased $5.5 million, or 7%, from the prior year to $69.6 million. Jewelry scrapping revenues decreased $3.9 million, or 2%, due to a 16% increase in proceeds realized per gram of gold jewelry scrapped, offset by a 19% decrease in gold volume. Same store jewelry scrapping sales decreased $26.3 million, or 13%, and new and acquired stores contributed $22.4 million. Jewelry scrapping sales include the sale of approximately $10.8 million of loose diamonds removed from scrap jewelry in fiscal 2012 and $8.1 million in the prior year. As a result of the higher average cost per gram of jewelry scrapped, scrap cost of goods increased $1.6 million, or 1%.</w:t>
      </w:r>
    </w:p>
    <w:p>
      <w:pPr>
        <w:spacing w:after="0" w:line="1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segment expenses increased to $311.9 million (36% of revenues) in fiscal 2012 from $277.9 million (34% of net revenues) in the prior year. Store operations expense increased 11%, or $26.0 million, due to operating costs resulting from new and acquired stores. Administrative expenses increased 33%, or $6.4 million, from the prior year to $25.9 million, mainly due to increased labor, benefits and additional investments made in infrastructure to support our growth. Depreciation and amortization increased 24%, or $2.8 million, from the prior year to $14.5 million, mainly due to assets placed in service at new and acquired stores.</w:t>
      </w:r>
    </w:p>
    <w:p>
      <w:pPr>
        <w:spacing w:after="0" w:line="13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fiscal 2012, U.S. &amp; Canada delivered segment contribution of $229.8 million, a $4.1 million increase compared to prior year. For fiscal 2012, the U.S. &amp; Canada segment's contribution represents 82% of consolidated segment contribution compared to 92% in the prior year. While the U.S. &amp; Canada segment has experienced some challenges related to jewelry merchandise sales and gold scrap sales, other elements of the business have continued to show strength, offsetting to a large extent, the challenges in the gold and jewelry market.</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Latin America</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selected financial data for the Latin America segment after translation to U.S. dollars from its functional currency of the Mexican peso: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Fiscal Year Ended September 30,</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Merchandise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41,949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25,237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Jewelry scrapping sales</w:t>
            </w:r>
          </w:p>
        </w:tc>
        <w:tc>
          <w:tcPr>
            <w:tcW w:w="42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15,732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15,997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Pawn service charges</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24,997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Consumer loan fees</w:t>
            </w:r>
          </w:p>
        </w:tc>
        <w:tc>
          <w:tcPr>
            <w:tcW w:w="42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26,901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110,927</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58,257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Merchandise cost of goods sold</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22,729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14,672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Jewelry scrapping cost of goods sold</w:t>
            </w:r>
          </w:p>
        </w:tc>
        <w:tc>
          <w:tcPr>
            <w:tcW w:w="42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11,893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bad debt</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75,996</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31,380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Store operations</w:t>
            </w:r>
          </w:p>
        </w:tc>
        <w:tc>
          <w:tcPr>
            <w:tcW w:w="42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28,919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20,636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Loss on sale or disposal of assets</w:t>
            </w:r>
          </w:p>
        </w:tc>
        <w:tc>
          <w:tcPr>
            <w:tcW w:w="42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contribution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32,182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180"/>
              <w:spacing w:after="0"/>
              <w:rPr>
                <w:sz w:val="20"/>
                <w:szCs w:val="20"/>
                <w:color w:val="auto"/>
              </w:rPr>
            </w:pPr>
            <w:r>
              <w:rPr>
                <w:rFonts w:ascii="Arial" w:cs="Arial" w:eastAsia="Arial" w:hAnsi="Arial"/>
                <w:sz w:val="18"/>
                <w:szCs w:val="18"/>
                <w:color w:val="auto"/>
              </w:rPr>
              <w:t>Other data:</w:t>
            </w: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merchandise sales</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total sales</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yield on pawn loan portfolio (a)</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7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1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average exchange rate used to translate Latin America's results from Mexican pesos to U.S. dollars was 13.3 to 1, pesos to the dollar, 9% higher than the prior year's rate of 12.1 to 1. Total revenues increased 90% in U.S. dollars and 109% in local currency. Total operating expenses increased 57% in U.S. dollars and 102% in local currency. In fiscal 2012, we opened 52 de novo pawn stores, and on January 30, 2012, we acquired a 60% interest in Crediamigo, a specialty consumer finance company headquartered in Mexico City with 45 loan servicing locations throughout the county. Crediamigo is included in our current year results for eight months of the twelve-month period.</w:t>
      </w:r>
    </w:p>
    <w:p>
      <w:pPr>
        <w:spacing w:after="0" w:line="13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Latin America segment's total revenues increased $52.7 million, or 90%, in fiscal 2012 to $110.9 million. Same store total revenues increased $4.1 million, or 7%, and new and acquired stores contributed $48.6 million. The overall increase in total revenues was mostly due to the $26.9 million in Crediamigo consumer loan fees, $16.5 million increase in merchandise and jewelry scrapping sales, a $8.1 million increase in pawn service charges and a $1.2 million increase in other revenues.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Latin America segment's pawn service charge revenues increased $8.1 million, or 48%, in fiscal 2012 to $25.0 million. Same store pawn service charges increased $2.5 million, or 15%, and new and acquired stores contributed $5.6 million. The total increase was due to a 42% increase in the average outstanding pawn loan balance during the period coupled with an 8 percentage point increase in the pawn yield. The yield increased primarily due to a 2 percentage point increase in the loan redemption rate as we continued to focus on loan values.</w:t>
      </w:r>
    </w:p>
    <w:p>
      <w:pPr>
        <w:spacing w:after="0" w:line="13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Merchandise gross profit increased $8.7 million, or 82%, from the prior year to $19.2 million. The increase was due to a $5.6 million, or 22%, same store sales increase and a $11.1 million increase in sales from new and acquired stores coupled with a 4.0 percentage point increase in gross margins to 46%.</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on jewelry scrapping sales stayed relatively flat at $3.8 million. Jewelry scrapping revenues decreased slightly as the 11% increase in proceeds realized per gram of gold jewelry scrapped was offset by the 15% decrease in gold volume processed. Same store jewelry scrapping sales decreased $4.0 million, or 25%, and new and acquired stores contributed $3.7 million. Scrap cost of goods increased $0.3 million, or 3%, due to the 10% increase in cost per gram.</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Total segment expenses increased to $43.8 million (39% of revenues) in fiscal 2012 from $28.0 million (48% of revenues) in the prior year. The dollar increase was due to a 40%, or $8.3 million, increase in store operations expenses due to higher operating costs resulting from the addition of 52 Empeño Fácil stores since the prior period. Segment administrative expenses increased $9.8 million from the prior year to $14.3 million, mainly due to Crediamigo administrative expenses and other acquisition costs. Depreciation and amortization increased $2.3 million from the prior year to $5.1 million, mainly due to depreciation of assets placed in service at new stores and amortization of acquisition related intangible assets.</w:t>
      </w:r>
    </w:p>
    <w:p>
      <w:pPr>
        <w:spacing w:after="0" w:line="11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Within the segment, purchase accounting pre-tax income impact during the year totaled $9.3 million, of which $5.6 million was attributable to EZCORP, Inc. with the majority of the adjustment coming from the accelerated amortization of debt premium associated with the refinanced debt at Crediamigo. The weighted average rate on Crediamigo's third party debt was 11% at September 30, 2012 compared to 19% at the time of acquisition.</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2012, the $44.6 million greater net revenues were partially offset by the $15.8 million higher operations expense, resulting in a $28.8 million increase in contribution for the Latin America segment. Contribution margin increased 23.1 percentage points to 29%. For fiscal 2012, Latin America's segment contribution represents 12% of consolidated segment contribution compared to 1% a year ago, this 11 percentage point increase makes Latin America our fastest growing segment.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Other International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Fiscal Year Ended September 30,</w:t>
            </w:r>
          </w:p>
        </w:tc>
        <w:tc>
          <w:tcPr>
            <w:tcW w:w="0" w:type="dxa"/>
            <w:vAlign w:val="bottom"/>
          </w:tcPr>
          <w:p>
            <w:pPr>
              <w:spacing w:after="0"/>
              <w:rPr>
                <w:sz w:val="1"/>
                <w:szCs w:val="1"/>
                <w:color w:val="auto"/>
              </w:rPr>
            </w:pPr>
          </w:p>
        </w:tc>
      </w:tr>
      <w:tr>
        <w:trPr>
          <w:trHeight w:val="264"/>
        </w:trPr>
        <w:tc>
          <w:tcPr>
            <w:tcW w:w="80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fees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9,884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4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10,192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Consumer loan bad debt</w:t>
            </w:r>
          </w:p>
        </w:tc>
        <w:tc>
          <w:tcPr>
            <w:tcW w:w="4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Store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4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or disposal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Interest, net</w:t>
            </w:r>
          </w:p>
        </w:tc>
        <w:tc>
          <w:tcPr>
            <w:tcW w:w="40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net income of unconsolidated affiliates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0" w:type="dxa"/>
            <w:vAlign w:val="bottom"/>
          </w:tcPr>
          <w:p>
            <w:pPr>
              <w:spacing w:after="0"/>
              <w:rPr>
                <w:sz w:val="1"/>
                <w:szCs w:val="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contribution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17,325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15,610</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180"/>
              <w:spacing w:after="0"/>
              <w:rPr>
                <w:sz w:val="20"/>
                <w:szCs w:val="20"/>
                <w:color w:val="auto"/>
              </w:rPr>
            </w:pPr>
            <w:r>
              <w:rPr>
                <w:rFonts w:ascii="Arial" w:cs="Arial" w:eastAsia="Arial" w:hAnsi="Arial"/>
                <w:sz w:val="18"/>
                <w:szCs w:val="18"/>
                <w:color w:val="auto"/>
              </w:rPr>
              <w:t>Other data:</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bad debt as a percent of consumer loan fees</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8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first quarter of fiscal 2012, we began offering consumer loans online in the U.K. On April 14, 2012, we acquired a 72% interest in Cash Genie, an online lending business in the U.K. and consolidated it with our existing U.K. operations. In fiscal 2012, consumer loan fees were $9.9 million, with bad debt as a percentage of fees at 37%.</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equity in the net income of unconsolidated affiliates increased $1.2 million, or 7%, from the prior year to $17.4 million. The increase is due to strong performance by Cash Converters International and a slight increase by Albermarle &amp; Bond.</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fiscal 2012, the $6.5 million net revenues, the $1.2 million increase in our equity in the net income of unconsolidated affiliates and $0.4 million increase in other income were mostly offset by a $6.4 million increase in other operations expense, resulting in a $1.7 million increase in contribution for the Other International segment. Operations expenses include $6.1 million of Cash Genie expenses. For fiscal 2012, segment contribution from the Other International segment stayed relatively constant at 6% of consolidated segment contribution.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reconciles our consolidated store operating income discussed above to net income, including items that affect our consolidated financial results but are not allocated among segments: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Fiscal Year Ended September 30,</w:t>
            </w:r>
          </w:p>
        </w:tc>
      </w:tr>
      <w:tr>
        <w:trPr>
          <w:trHeight w:val="264"/>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2011</w:t>
            </w:r>
          </w:p>
        </w:tc>
      </w:tr>
      <w:tr>
        <w:trPr>
          <w:trHeight w:val="196"/>
        </w:trPr>
        <w:tc>
          <w:tcPr>
            <w:tcW w:w="8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279,300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50,584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3,832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Gain on sale or disposal of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Consolidated income before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221,600</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188,711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71,023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66,552</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150,577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122,159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attributable to noncontrolling interest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EZCORP, Inc.</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143,708</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122,159</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Corporate expenses increased $1.7 million, or 3%, to $57.7 million as a result of a $1.7 million increase in depreciation expense and a $1.3 million increase in interest expense, partially offset by a $1.3 million decrease in administrative expense. The decrease in administrative expense is primarily due to a pre-tax charge of $10.9 million related to the retirement of our former Chief Executive officer in fiscal 2011. This charge included a $3.4 million attributable to a cash payment and $7.5 million attributable to the accelerated vesting of restricted stock. Excluding this charge, administrative expenses increased $9.6 million, or 24%, which was primarily associated with supporting accelerated growth of the de novo and international operations. In fiscal 2012, interest expense increased 83% due to greater utilization of our revolver and depreciation expense increased 42% due to assets placed in service as we continue to invest in the infrastructure to support our growth.</w:t>
      </w:r>
    </w:p>
    <w:p>
      <w:pPr>
        <w:spacing w:after="0" w:line="13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Consolidated income before taxes increased $32.9 million, or 17%, to $221.6 million mostly due to a $4.1 million, $28.8 million and $1.7 million increase in contribution from the U.S. &amp; Canada, Latin America and Other International segments, respectfully, offset by a $1.7 million increase in corporate expenses.</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fiscal 2012, income tax expense increased $4.5 million, or 7%, to $71.0 million. The fiscal 2012 effective tax rate is 32%, compared to 35% in the prior year. The decrease is primarily due to a larger portion of income being derived from countries outside the United States, as well as the recognition of state net operation losses.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fiscal 2012, net income attributable to EZCORP, Inc. increased $21.5 million, or 18%, to $143.7 million, after $6.9 million of net income attributable to the noncontrolling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2011 Compared to Fiscal 2010</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discussion compares our results of operations for the year ended September 30, 2011 to the year ended September 30, 2010. It should be read with the accompanying consolidated financial statements and related notes.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fiscal 2011, consolidated total revenues increased 19%, or $136.3 million, to $869.3 million, compared to fiscal 2010. Same store total revenues increased $70.4 million, or 10%, and new and acquired stores contributed $65.9 million. Net income increased 26%, or $24.9 million. Excluding the one-time $10.9 million charge related to the retirement of our former Chief Executive Officer and the related tax benefit in the first quarter of fiscal 2011, net income increased 33% to $129.3 million from $97.3 million in fiscal 2010.</w:t>
      </w:r>
    </w:p>
    <w:p>
      <w:pPr>
        <w:spacing w:after="0" w:line="12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U.S. &amp; Canada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Fiscal Year Ended September 30,</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Merchandise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256,846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226,424</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Jewelry scrapping sales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196,482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164,022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Pawn service charges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184,234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154,505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Consumer loan fees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171,951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157,022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811,060</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702,436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Merchandise cost of goods sold</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147,388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131,825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Jewelry scrapping cost of goods sold</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121,355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104,701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bad debt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38,759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34,444</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503,558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431,466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Store operations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246,416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225,006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19,444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16,550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11,211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Loss on sale or disposal of assets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expenses(income)</w:t>
            </w:r>
          </w:p>
        </w:tc>
        <w:tc>
          <w:tcPr>
            <w:tcW w:w="4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contribution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225,708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178,644</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Other data:</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on merchandise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Gross margin on jewelry scrapping sales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on total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Average pawn loan balance per pawn store at period end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yield on pawn loan portfolio (a)</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Pawn loan redemption rate</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bad debt as a percentage of consumer loan fees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right="480" w:hanging="330"/>
        <w:spacing w:after="0" w:line="27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yield on pawn loan portfolio is calculated as annualized pawn service charge revenue for the period divided by the average pawn loan balance during the period.</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U.S. &amp; Canada segment total revenues increased $108.6 million, or 15%, from fiscal 2010 to $811.1 million in fiscal 2011. Same store total revenues increased $59.9 million, or 9%, and new and acquired stores net of closed stores contributed $48.7 million. The overall increase in total revenues consisted of a $62.9 million increase in merchandise and jewelry scrapping sales, a $29.7 million increase in pawn service charges and a $16.0 million increase in loan fees and other revenues. In fiscal 2011,</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acquired 34 U.S. pawn stores for an aggregate of $68.3 million. As part of these acquisitions, we began operations in three new states: Iowa, Utah and Wisconsin. We also opened 10 new de novo pawn stores in the U.S. and 15 new de novo buy/sell and financial services stores in Canada.</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fiscal 2011, pawn service charge revenue increased 19%, or $29.7 million, from the prior year to $184.2 million. Same store pawn service charges increased $18.4 million, or 12%, with new and acquired stores, net of closed stores, contributing $11.3 million. The same store improvement was due to a higher average same store pawn loan balance coupled with higher yield. The yield improved primarily due to a slightly higher loan redemption rate as we continued to focus on loan values and better qualifying customers to determine those that prefer to sell their merchandise rather than use it as collateral for a loan.</w:t>
      </w:r>
    </w:p>
    <w:p>
      <w:pPr>
        <w:spacing w:after="0" w:line="1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fiscal 2011, merchandise sales gross profit increased $14.9 million, or 16%, from the prior year to $109.4 million. This was due to a $13.0 million, or 6%, increase in same store sales, a $17.4 million increase in sales from new and acquired stores net of closed stores and a 0.8 percentage point improvement in gross margins.</w:t>
      </w:r>
    </w:p>
    <w:p>
      <w:pPr>
        <w:spacing w:after="0" w:line="127" w:lineRule="exact"/>
        <w:rPr>
          <w:sz w:val="20"/>
          <w:szCs w:val="20"/>
          <w:color w:val="auto"/>
        </w:rPr>
      </w:pPr>
    </w:p>
    <w:p>
      <w:pPr>
        <w:jc w:val="both"/>
        <w:ind w:right="380"/>
        <w:spacing w:after="0" w:line="288" w:lineRule="auto"/>
        <w:rPr>
          <w:sz w:val="20"/>
          <w:szCs w:val="20"/>
          <w:color w:val="auto"/>
        </w:rPr>
      </w:pPr>
      <w:r>
        <w:rPr>
          <w:rFonts w:ascii="Arial" w:cs="Arial" w:eastAsia="Arial" w:hAnsi="Arial"/>
          <w:sz w:val="16"/>
          <w:szCs w:val="16"/>
          <w:color w:val="auto"/>
        </w:rPr>
        <w:t>In fiscal 2011, gross profit on jewelry scrapping sales increased $15.8 million, or 27%, from the prior year to $75.1 million. Jewelry scrapping revenues increased $32.5 million, or 20%, due to a 28% increase in proceeds realized per gram of gold jewelry scrapped, partially offset by a 9% decrease in gold volume. Same store jewelry scrapping sales increased $15.9 million, or 10%, and new and acquired stores net of closed stores contributed $16.6 million.</w:t>
      </w:r>
    </w:p>
    <w:p>
      <w:pPr>
        <w:spacing w:after="0" w:line="261" w:lineRule="auto"/>
        <w:rPr>
          <w:sz w:val="20"/>
          <w:szCs w:val="20"/>
          <w:color w:val="auto"/>
        </w:rPr>
      </w:pPr>
      <w:r>
        <w:rPr>
          <w:rFonts w:ascii="Arial" w:cs="Arial" w:eastAsia="Arial" w:hAnsi="Arial"/>
          <w:sz w:val="18"/>
          <w:szCs w:val="18"/>
          <w:color w:val="auto"/>
        </w:rPr>
        <w:t>Jewelry scrapping sales include the sale of approximately $8.1 million of loose diamonds removed from scrap jewelry in fiscal 2011 and $3.2 million in fiscal 2010. As a result of the higher average cost per gram of jewelry scrapped, scrap cost of goods increased $16.7 million, or 16%.</w:t>
      </w:r>
    </w:p>
    <w:p>
      <w:pPr>
        <w:spacing w:after="0" w:line="13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fiscal 2011, consumer loan fees increased $14.9 million, or 10%, from the prior year to $172.0 million. Net fees increased 9%, reflecting a significant improvement in bad debt performance. Consumer loan bad debt as a percentage of fees stayed relatively constant at 23% in fiscal 2011 compared to 22% in the prior year.</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segment expenses increased to $277.9 million (34% of revenues) in fiscal 2011 from $252.8 million (36% of revenues) in fiscal 2010. Store operations expense increased $21.4 million, or 10%, due to higher operating costs resulting from new and acquired stores. Administrative expenses increased 17%, or $2.9 million, to $19.4 million mainly due to increased labor, benefits and additional investments made in infrastructure to support our growth. Depreciation and amortization increased 20%, or $2.0 million, from fiscal 2011 to $11.7 million, mainly due to assets placed in service at new and acquired stores. Loss on sale or disposal of assets decreased $1.3 million, or 81%, as fiscal 2010 included a $1.5 million loss on the closure or consolidation of several financial services stores in the states of Colorado and Wisconsin.</w:t>
      </w:r>
    </w:p>
    <w:p>
      <w:pPr>
        <w:spacing w:after="0" w:line="13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fiscal 2011, the U.S. &amp; Canada's segment contribution increased $47.1 million, or 26%, to $225.7 million. Contribution margin increased 2.4 percentage points to 27.8%. In fiscal 2011, the U.S &amp; Canada's segment contribution comprised 92% of consolidated segment contribution compared to 94% in fiscal 2010.</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Latin America</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selected financial data for the Latin America segment after translation to U.S. dollars from its functional currency of the Mexican peso: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80" w:type="dxa"/>
            <w:vAlign w:val="bottom"/>
            <w:gridSpan w:val="3"/>
          </w:tcPr>
          <w:p>
            <w:pPr>
              <w:jc w:val="right"/>
              <w:ind w:right="294"/>
              <w:spacing w:after="0"/>
              <w:rPr>
                <w:sz w:val="20"/>
                <w:szCs w:val="20"/>
                <w:color w:val="auto"/>
              </w:rPr>
            </w:pPr>
            <w:r>
              <w:rPr>
                <w:rFonts w:ascii="Arial" w:cs="Arial" w:eastAsia="Arial" w:hAnsi="Arial"/>
                <w:sz w:val="14"/>
                <w:szCs w:val="14"/>
                <w:i w:val="1"/>
                <w:iCs w:val="1"/>
                <w:color w:val="auto"/>
              </w:rPr>
              <w:t>(dollars in thousands)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Merchandise sales</w:t>
            </w: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25,237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14,030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Jewelry scrapping sales</w:t>
            </w:r>
          </w:p>
        </w:tc>
        <w:tc>
          <w:tcPr>
            <w:tcW w:w="980" w:type="dxa"/>
            <w:vAlign w:val="bottom"/>
          </w:tcPr>
          <w:p>
            <w:pPr>
              <w:spacing w:after="0"/>
              <w:rPr>
                <w:sz w:val="21"/>
                <w:szCs w:val="21"/>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w w:val="87"/>
              </w:rPr>
              <w:t>15,997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Pawn service charges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16,901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980" w:type="dxa"/>
            <w:vAlign w:val="bottom"/>
          </w:tcPr>
          <w:p>
            <w:pPr>
              <w:spacing w:after="0"/>
              <w:rPr>
                <w:sz w:val="21"/>
                <w:szCs w:val="21"/>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58,257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30,609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Merchandise cost of goods sold</w:t>
            </w:r>
          </w:p>
        </w:tc>
        <w:tc>
          <w:tcPr>
            <w:tcW w:w="980" w:type="dxa"/>
            <w:vAlign w:val="bottom"/>
          </w:tcPr>
          <w:p>
            <w:pPr>
              <w:spacing w:after="0"/>
              <w:rPr>
                <w:sz w:val="21"/>
                <w:szCs w:val="21"/>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w w:val="87"/>
              </w:rPr>
              <w:t>14,672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cost of goods sold</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12,205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87"/>
              </w:rPr>
              <w:t>31,380</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7"/>
              </w:rPr>
              <w:t>16,013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9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Store operations</w:t>
            </w:r>
          </w:p>
        </w:tc>
        <w:tc>
          <w:tcPr>
            <w:tcW w:w="980" w:type="dxa"/>
            <w:vAlign w:val="bottom"/>
          </w:tcPr>
          <w:p>
            <w:pPr>
              <w:spacing w:after="0"/>
              <w:rPr>
                <w:sz w:val="21"/>
                <w:szCs w:val="21"/>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w w:val="87"/>
              </w:rPr>
              <w:t>20,636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w w:val="87"/>
              </w:rPr>
              <w:t>11,658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4,447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21"/>
                <w:szCs w:val="21"/>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(Gain)/loss on sale or disposal of assets</w:t>
            </w:r>
          </w:p>
        </w:tc>
        <w:tc>
          <w:tcPr>
            <w:tcW w:w="980" w:type="dxa"/>
            <w:vAlign w:val="bottom"/>
          </w:tcPr>
          <w:p>
            <w:pPr>
              <w:spacing w:after="0"/>
              <w:rPr>
                <w:sz w:val="21"/>
                <w:szCs w:val="21"/>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expenses/(income)</w:t>
            </w:r>
          </w:p>
        </w:tc>
        <w:tc>
          <w:tcPr>
            <w:tcW w:w="980" w:type="dxa"/>
            <w:vAlign w:val="bottom"/>
          </w:tcPr>
          <w:p>
            <w:pPr>
              <w:spacing w:after="0"/>
              <w:rPr>
                <w:sz w:val="21"/>
                <w:szCs w:val="21"/>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contribution</w:t>
            </w: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180"/>
              <w:spacing w:after="0"/>
              <w:rPr>
                <w:sz w:val="20"/>
                <w:szCs w:val="20"/>
                <w:color w:val="auto"/>
              </w:rPr>
            </w:pPr>
            <w:r>
              <w:rPr>
                <w:rFonts w:ascii="Arial" w:cs="Arial" w:eastAsia="Arial" w:hAnsi="Arial"/>
                <w:sz w:val="18"/>
                <w:szCs w:val="18"/>
                <w:color w:val="auto"/>
              </w:rPr>
              <w:t>Other data:</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merchandise sales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9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total sales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yield on pawn loan portfolio (a)</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9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 for the period divided by the average pawn loan balance during the period.</w:t>
      </w:r>
    </w:p>
    <w:p>
      <w:pPr>
        <w:spacing w:after="0" w:line="16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average exchange rate used to translate Latin America's current year results from Mexican pesos to U.S. dollars was 12.1 pesos to the dollar, 6% stronger than in the prior year. Total revenues increased 90% in U.S. dollars and 80% in local currency. Operating expenses increased 72% in U.S. dollars and 63% in local currency. We expect new stores will be a drag on earnings until they become profitable in their second year of operation. Approximately 32% of the stores open at September 30, 2011 had been open less than one year. We opened 57 new stores in fiscal 2011, 14 of which are Empeñe Su Oro jewelry-only pawn stores. These jewelry-only stores are smaller and require less staff than our full-line pawn stores, but also carry smaller average loan balances per store.</w:t>
      </w:r>
    </w:p>
    <w:p>
      <w:pPr>
        <w:spacing w:after="0" w:line="10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Latin America segment total revenues increased $27.6 million, or 90%, in fiscal 2011 to $58.3 million. Same store total revenues increased $10.5 million, or 34%, and new and acquired stores contributed $17.1 million. The overall increase in total revenues comprised a $19.8 million increase in merchandise and jewelry scrapping sales, a $7.7 million increase in pawn service charges and a $0.1 million increase in other revenues.</w:t>
      </w:r>
    </w:p>
    <w:p>
      <w:pPr>
        <w:spacing w:after="0" w:line="1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Latin America's pawn service charge revenues increased $7.7 million, or 84%, in fiscal 2011 to $16.9 million. Same store pawn service charges increased approximately $3.4 million, or 37%, and new and acquired stores contributed $4.3 million. The same store increase was due to an improvement in the average pawn loan yield coupled with an increase in average loan balance during the period. The yield increased primarily due to an increase in pawn service charge rates in certain geographic areas compared to the prior year, partially offset by a lower loan redemption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Merchandise gross profit increased $5.0 million, or 90%, from fiscal 2010 to $10.6 million. This was due to a $4.2 million, or 30%, same store sales increase and $7.0 million in sales from new and acquired stores in addition to a 2.2 percentage point increase in gross margins to 41.9%.</w:t>
      </w:r>
    </w:p>
    <w:p>
      <w:pPr>
        <w:spacing w:after="0" w:line="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profit on jewelry scrapping sales increased $2.5 million, or 203%, from fiscal 2010 to $3.8 million. Jewelry scrapping revenues increased $8.6 million, or 116%, due to 107% increase in gold volume and a 5% increase in proceeds realized per gram of gold jewelry scrapped. Same store jewelry scrapping sales increased $2.9 million, or 40%, and new and acquired stores contributed $5.7 million. The significant volume increase and the margin increase are due primarily to the continued maturation of our Empeñe Su Oro jewelry-only stores. As a result of the greater volume, scrap cost of goods increased $6.1 million.</w:t>
      </w:r>
    </w:p>
    <w:p>
      <w:pPr>
        <w:spacing w:after="0" w:line="13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Total segment expenses increased to $28.0 million (48% of revenues) in fiscal 2011 from $16.2 million (53% of revenues) in fiscal 2010. The dollar increase was due to a 77%, or $9.0 million, increase in store operations expenses and a $1.7 million dollar increase in administrative expenses due to higher operating costs resulting from the addition of 63 new stores. During fiscal 2011 depreciation and amortization increased $1.0 million from fiscal 2010 to $2.8 million, mainly due to depreciation of assets place in service at new stores.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fiscal 2011, the $15.4 million greater net revenues were partially offset by the $11.8 million higher operations expense, resulting in a $3.6 million increase in contribution for the Latin America segment. Contribution margin increased 7 percentage points to 6%. In fiscal 2011, Latin America's segment contribution was 1% of consolidated segment contribution compared to a small loss in fiscal 2010.</w:t>
      </w:r>
    </w:p>
    <w:p>
      <w:pPr>
        <w:spacing w:after="0" w:line="12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Other International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534"/>
              <w:spacing w:after="0"/>
              <w:rPr>
                <w:sz w:val="20"/>
                <w:szCs w:val="20"/>
                <w:color w:val="auto"/>
              </w:rPr>
            </w:pPr>
            <w:r>
              <w:rPr>
                <w:rFonts w:ascii="Arial" w:cs="Arial" w:eastAsia="Arial" w:hAnsi="Arial"/>
                <w:sz w:val="14"/>
                <w:szCs w:val="14"/>
                <w:b w:val="1"/>
                <w:bCs w:val="1"/>
                <w:color w:val="auto"/>
              </w:rPr>
              <w:t>Fiscal Year Ended September 30,</w:t>
            </w:r>
          </w:p>
        </w:tc>
      </w:tr>
      <w:tr>
        <w:trPr>
          <w:trHeight w:val="264"/>
        </w:trPr>
        <w:tc>
          <w:tcPr>
            <w:tcW w:w="8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2010</w:t>
            </w:r>
          </w:p>
        </w:tc>
      </w:tr>
      <w:tr>
        <w:trPr>
          <w:trHeight w:val="196"/>
        </w:trPr>
        <w:tc>
          <w:tcPr>
            <w:tcW w:w="8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(16,237)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(10,750)</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7"/>
        </w:trPr>
        <w:tc>
          <w:tcPr>
            <w:tcW w:w="8120" w:type="dxa"/>
            <w:vAlign w:val="bottom"/>
          </w:tcPr>
          <w:p>
            <w:pPr>
              <w:ind w:left="500"/>
              <w:spacing w:after="0"/>
              <w:rPr>
                <w:sz w:val="20"/>
                <w:szCs w:val="20"/>
                <w:color w:val="auto"/>
              </w:rPr>
            </w:pPr>
            <w:r>
              <w:rPr>
                <w:rFonts w:ascii="Arial" w:cs="Arial" w:eastAsia="Arial" w:hAnsi="Arial"/>
                <w:sz w:val="18"/>
                <w:szCs w:val="18"/>
                <w:color w:val="auto"/>
              </w:rPr>
              <w:t>Segment Contribution</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15,610</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10,774</w:t>
            </w: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Administrative expenses increased $0.7 million in fiscal 2011, mainly due to transactions costs related to our additional investment in Cash Converters, which was subsequently canceled.</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equity in the net income of Albemarle &amp; Bond increased $0.5 million, or 7%, in fiscal 2011 to $7.3 million as a result of Albemarle &amp; Bond's higher earnings and a slightly stronger British pound in relation to the U.S. dollar. On November 6, 2009, we acquired 108,218,000 newly issued shares, or approximately 30% of the capital stock of Cash Converters International Limited, a publicly traded company headquartered in Perth, Australia for approximately AUS $54.1 million (approximately U.S. $49.6 million). We acquired 16,200,000 additional shares on May 20, 2010 at a cost of AUS $9.7 million (approximately U.S. $8.2 million), which increased our ownership level to approximately 33%. In fiscal 2011, our equity in the net income of Cash Converters was $8.9 million compared to $3.9 million in fiscal 2010. As we account for our earnings from Cash Converters on a 3-month lag, fiscal 2010 included our pro rata share of their results of operations for the 237-day period from our November 6, 2009 initial investment date to the June 30, 2010 end of Cash Converters' period.</w:t>
      </w:r>
    </w:p>
    <w:p>
      <w:pPr>
        <w:spacing w:after="0" w:line="13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fiscal 2011, the Other International segment contribution increased $4.8 million, or 45%, to $15.6 million. The $5.5 million, or 51%, increase in our equity in the net income of unconsolidated affiliates was partially offset by a $0.7 million increase in administrative and other expenses in the fiscal 2011 compared to fiscal 2010. Segment contribution from the Other International segment remained constant at 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reconciles our consolidated store operating income discussed above to net income, including items that affect our consolidated financial results but are not allocated among segments: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2010</w:t>
            </w:r>
          </w:p>
        </w:tc>
      </w:tr>
      <w:tr>
        <w:trPr>
          <w:trHeight w:val="196"/>
        </w:trPr>
        <w:tc>
          <w:tcPr>
            <w:tcW w:w="8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center"/>
              <w:ind w:left="535"/>
              <w:spacing w:after="0"/>
              <w:rPr>
                <w:sz w:val="20"/>
                <w:szCs w:val="20"/>
                <w:color w:val="auto"/>
              </w:rPr>
            </w:pPr>
            <w:r>
              <w:rPr>
                <w:rFonts w:ascii="Arial" w:cs="Arial" w:eastAsia="Arial" w:hAnsi="Arial"/>
                <w:sz w:val="14"/>
                <w:szCs w:val="14"/>
                <w:i w:val="1"/>
                <w:iCs w:val="1"/>
                <w:color w:val="auto"/>
                <w:w w:val="95"/>
              </w:rPr>
              <w:t>(dollars in thousands)</w:t>
            </w:r>
          </w:p>
        </w:tc>
        <w:tc>
          <w:tcPr>
            <w:tcW w:w="98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contribution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244,746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50,584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33,358</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3,135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sale or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Interest, net</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1,197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 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188,711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151,530</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66,552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54,236</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122,159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97,294</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Corporate expenses increased $18.3 million, or 48%, to $56.0 million mostly due to a $17.2 million increase in administrative expenses to $50.6 million. This increase is primarily due to a pre-tax charge of $10.9 million related to the retirement of our former Chief Executive Officer in the first quarter of fiscal 2011. This charge included $3.4 million attributable to a cash payment and $7.5 million attributable to the accelerated vesting of restricted stock. Excluding this charge, administrative expenses increased $6.3 million, mostly related to an increase in professional fees associated with our continued investment in growth and profitability initiatives. In fiscal 2011, interest expense increased $0.4 million, or 35%, due to greater utilization of our revolver; and, depreciation increased $0.7 million, or 22%, due to assets placed in service as we continue to invest in the infrastructure to support our growth.</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Consolidated income before taxes increased $37.2 million, or 25%, to $188.7 million due to a $47.1 million, $3.6 million and $4.8 million increase in contribution from the U.S. &amp; Canada, Latin America and Other International segments, respectively, partially offset by an $18.3 million increase in corporate expenses.</w:t>
      </w:r>
    </w:p>
    <w:p>
      <w:pPr>
        <w:spacing w:after="0" w:line="127"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In fiscal 2011, income tax expense increased $12.3 million, or 23%, to $66.6 million. The fiscal 2011 effective tax rate was 35.3% compared to 35.8% in fiscal 2010. The decrease in the effective tax rates was primarily due to an increase in both domestic employment tax credits and the foreign tax credit on overseas earnings, partially offset by the valuation allowance established for operating losses in our Canada operations during their start-up period.</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fiscal 2011, net income increased $24.9 million, or 26%, to $122.2 million. Excluding the one-time $10.9 million charge related to the retirement of our former Chief Executive Officer in the first quarter of fiscal 2011 and the related tax benefit, net income increased 33% to $129.3 million from $97.3 million in fiscal 2010.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 fiscal 2012, our $150.4 million cash flow from operations consisted of (i) net income plus several non-cash items, aggregating to $185.8 million, net of</w:t>
      </w:r>
    </w:p>
    <w:p>
      <w:pPr>
        <w:spacing w:after="0" w:line="35"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$38.5 million of normal, recurring changes in operating assets and liabilities. In the prior year, our $146.0 million cash flow from operations consisted of</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income plus several non-cash items, aggregating to $166.5 million, net of (ii) $20.5 million of normal, recurring changes in operating assets and</w:t>
      </w:r>
    </w:p>
    <w:p>
      <w:pPr>
        <w:spacing w:after="0" w:line="20" w:lineRule="exact"/>
        <w:rPr>
          <w:rFonts w:ascii="Arial" w:cs="Arial" w:eastAsia="Arial" w:hAnsi="Arial"/>
          <w:sz w:val="17"/>
          <w:szCs w:val="17"/>
          <w:color w:val="auto"/>
        </w:rPr>
      </w:pPr>
    </w:p>
    <w:p>
      <w:pPr>
        <w:ind w:right="340"/>
        <w:spacing w:after="0" w:line="255" w:lineRule="auto"/>
        <w:rPr>
          <w:rFonts w:ascii="Arial" w:cs="Arial" w:eastAsia="Arial" w:hAnsi="Arial"/>
          <w:sz w:val="17"/>
          <w:szCs w:val="17"/>
          <w:color w:val="auto"/>
        </w:rPr>
      </w:pPr>
      <w:r>
        <w:rPr>
          <w:rFonts w:ascii="Arial" w:cs="Arial" w:eastAsia="Arial" w:hAnsi="Arial"/>
          <w:sz w:val="18"/>
          <w:szCs w:val="18"/>
          <w:color w:val="auto"/>
        </w:rPr>
        <w:t>liabilities. The primary differences in cash flow from operations between fiscal 2012 and the prior years were the contributions from acquisitions, organic growth throughout our other operations and revenue streams, and the decrease in stock compensation expense from fiscal 2011, which was primarily attributable to the retirement of our former CEO, net of higher taxes paid.</w:t>
      </w:r>
    </w:p>
    <w:p>
      <w:pPr>
        <w:spacing w:after="0" w:line="13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$211.2 million of net cash used in investing activities during fiscal 2012 was funded by cash flow from operations, cash on hand and borrowings on our line of credit facility. We received $5.6 million in cash dividends from our unconsolidated affiliates. We invested $128.6 million in cash to acquire 50 stores in the U.S., one store in Canada, a 60% interest in Crediamigo, a decision science model for the underwriting of consumer loans and a 72% interest in Cash Genie. Other significant investments in the period were the $45.8 million in additions of property and equipment. Partially offsetting these investments was the $42.4 million of loans made in excess of customer loan repayments and the recovery of principal through the sale of forfeited pawn loan collateral.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net effect of these and other smaller cash flows was a $24.5 million increase in cash on hand, providing a $48.5 million ending cash balance. Of this amount approximately 48%, or $23.2 million, is held by foreign subsidiaries and is not available to fund domestic operations, as we intend to permanently reinvest earnings from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412"/>
        </w:trPr>
        <w:tc>
          <w:tcPr>
            <w:tcW w:w="4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Contractual Obligations</w:t>
            </w: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More than 5 years</w:t>
            </w:r>
          </w:p>
        </w:tc>
      </w:tr>
      <w:tr>
        <w:trPr>
          <w:trHeight w:val="264"/>
        </w:trPr>
        <w:tc>
          <w:tcPr>
            <w:tcW w:w="4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167,646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Interest on long-term debt obligations</w:t>
            </w:r>
          </w:p>
        </w:tc>
        <w:tc>
          <w:tcPr>
            <w:tcW w:w="4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28,464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11,636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13,953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37,346</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4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467,345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85,498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266,013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78,488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37,346</w:t>
            </w:r>
          </w:p>
        </w:tc>
      </w:tr>
      <w:tr>
        <w:trPr>
          <w:trHeight w:val="20"/>
        </w:trPr>
        <w:tc>
          <w:tcPr>
            <w:tcW w:w="4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addition to the contractual obligations in the table above, we are obligated under letters of credit issued to unaffiliated lenders as part of our credit service operations. At September 30, 2012, our maximum exposure for losses on letters of credit, if all brokered loans defaulted and none was collected, was $27.4 million. Of that total, $6.7 million was secured by titles to customers’ automobiles. These amounts include principal, interest and insufficient funds fees.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fiscal year ended September 30, 2012, these collectively amounted to $17.9 million.</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operating lease obligations in the table above include expected rent for all our store locations through the end of their current lease terms. Of the 442 U.S. EZMONEY financial services stores, 159 adjoin an EZPAWN store. The lease agreements at approximately 94% of the remaining 283 free-standing EZMONEY stores contain provisions that limit our exposure for additional rent to only a few months if laws were enacted that had a significant negative effect on our operations at these stores.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fiscal 2013, we plan to open 25 to 30 pawn stores in the U.S., 70 to 80 pawn stores in Mexico and 65 to 75 financial services stores in the U.S. (most of which will follow our store-within-a-store format). The aggregate investment for this de novo activity is expected to be $26.3 million of capital expenditures plus the funding of working capital and start-up losses. We believe new stores will create a drag on earnings and liquidity until their second year of operations.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10, 2011, we entered into a new senior secured credit agreement with a syndication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all other outstanding debt. The new credit facility increases our available credit and provides greater flexibility to make investments and acquisitions both domestically and internationally. Terms of the credit agreement require, among other things, that we meet certain financial covenants. We were in compliance with all covenants at September 30, 2012 and expect to remain in compliance based on our expected future performance. At September 30, 2012, we had borrowed $130.0 million, leaving $45.0 million available on the facility.</w:t>
      </w:r>
    </w:p>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September 30, 2012, Crediamigo's third party debt (nonrecourse to EZCORP) was $89.9 million, with a weighted average interest rate of 11%. Since the acquisition of Crediamigo in January, Crediamigo's debt has decreased $19.8 million, and its weighted average interest rate has decreased 8.0 percentage points, due to debt refinancing. This refinancing effort was a key assumption in our investment analysis and will result in significantly reduced interest expenses going forward. In July 2012 Crediamigo transferred certain consumer loans to a bankruptcy remote trust in a securitization transaction. The securitization borrowing facility has a maximum capacity of approximately $117 million. At September 30, 2012 $32.7 million were outstanding under the securitization borrowing facility. We expect Crediamigo to continue its use of the borrowing facility and utilize proceeds to fund loan originations, operations and contractual obligations.</w:t>
      </w:r>
    </w:p>
    <w:p>
      <w:pPr>
        <w:spacing w:after="0" w:line="13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anticipate that cash flow from operations, cash on hand and availability under our revolving credit facility will be adequate to fund our contractual obligations, planned store growth, capital expenditures and working capital requirements during the coming year.</w:t>
      </w:r>
    </w:p>
    <w:p>
      <w:pPr>
        <w:spacing w:after="0" w:line="11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an effective “shelf” Registration Statement on Form S-4 covering an aggregate of 2.0 million shares of our Class A Common Stock that we may offer from time to time in connection with future acquisitions of businesses, assets or securities. At September 30, 2012, we had issued an aggregate of approximately 843,000 shares of Class A Common Stock in connection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with acquisitions of several pawn stores and the acquisition of a 72% interest in Cash Genie, leaving approximately 1.2 million shares covered by the registration statement and available for issuance in future acquisitions as of that time. Subsequent to September 30, 2012, we issued approximately 592,000 additional shares of Class A Common Stock in connection with the acquisition of an additional 23% interest in Cash Genie, bringing our total ownership to 95%. Following that acquisition, we have approximately 565,000 shares covered by the Form S-4 registration statement and available for issuance in future acquisitions.</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3, 2012, we filed a “shelf” registration statement on Form S-3 registering the offer and sale of an indeterminate amount of a variety of securities, including debt securities (and related guarantees), equity securities, warrants to purchase debt or equity securities, stock purchase contracts and stock purchase units. The proceeds of any offering and sale under that registration statement will be used for general corporate purposes, including debt reduction or refinancing, acquisitions, capital expenditures and working capital. Unless otherwise indicated in connection with a particular offering of debt securities, each of our domestic subsidiaries will fully and unconditionally guarantee on a joint and several basis our payment obligations under such debt securities. As of September 30, 2012, we had not issued any securities under this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 or late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include an allowance for Expected LOC Losses in “Accounts payable and other accrued expenses” on our balance sheet. At September 30, 2012, the allowance for Expected LOC Losses was $1.8 million. At that date, our maximum exposure for losses on letters of credit, if all brokered loans defaulted and none was collected, was $27.4 million. This amount includes principal, interest, insufficient funds fees and late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spacing w:after="0" w:line="1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12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payroll withholding lending business is less impacted by seasonality, with the exception of the summer months when new loan originations tend to moderate.</w:t>
      </w:r>
    </w:p>
    <w:p>
      <w:pPr>
        <w:spacing w:after="0" w:line="116" w:lineRule="exact"/>
        <w:rPr>
          <w:sz w:val="20"/>
          <w:szCs w:val="20"/>
          <w:color w:val="auto"/>
        </w:rPr>
      </w:pPr>
    </w:p>
    <w:p>
      <w:pPr>
        <w:ind w:right="340"/>
        <w:spacing w:after="0" w:line="438" w:lineRule="auto"/>
        <w:rPr>
          <w:sz w:val="20"/>
          <w:szCs w:val="20"/>
          <w:color w:val="auto"/>
        </w:rPr>
      </w:pPr>
      <w:r>
        <w:rPr>
          <w:rFonts w:ascii="Arial" w:cs="Arial" w:eastAsia="Arial" w:hAnsi="Arial"/>
          <w:sz w:val="18"/>
          <w:szCs w:val="18"/>
          <w:color w:val="auto"/>
        </w:rPr>
        <w:t xml:space="preserve">The net effect of these factors is that net revenues and net income typically are strongest in the fourth fiscal quarter and weakest in the third fiscal quarter. </w:t>
      </w:r>
      <w:r>
        <w:rPr>
          <w:rFonts w:ascii="Arial" w:cs="Arial" w:eastAsia="Arial" w:hAnsi="Arial"/>
          <w:sz w:val="18"/>
          <w:szCs w:val="18"/>
          <w:b w:val="1"/>
          <w:bCs w:val="1"/>
          <w:color w:val="auto"/>
        </w:rPr>
        <w:t xml:space="preserve">Cautionary Statement Regarding Risks and Uncertainties That May Affect Future Results </w:t>
      </w:r>
      <w:r>
        <w:rPr>
          <w:rFonts w:ascii="Arial" w:cs="Arial" w:eastAsia="Arial" w:hAnsi="Arial"/>
          <w:sz w:val="18"/>
          <w:szCs w:val="18"/>
          <w:i w:val="1"/>
          <w:iCs w:val="1"/>
          <w:color w:val="auto"/>
        </w:rPr>
        <w:t>Forward-Looking Information</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These risks and uncertainties include:</w:t>
      </w:r>
    </w:p>
    <w:p>
      <w:pPr>
        <w:spacing w:after="0" w:line="13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and regulations, including regulation of our financial services business by the Consumer Financial Protection Bureau;</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gold prices or volumes;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Concentration of business in Texas;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relationships with unaffiliated lenders;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continue growing our store count through acquisitions and de novo openings;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business, regulatory or political climate in Mexico;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pawn redemption rates, loan default and collection rates or other important operating metrics;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liquidity, capital requirements or access to debt and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controlled ownership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infrastructure failures or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new online lending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achieve adequate return on our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uninsured property, casualty or other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disruptive effect of acquisitions, investments and new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U.S. or international tax rates;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beyond our control.</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For a discussion of the important risk factors that could cause results or events to differ from current expectations, see “Part I — Item 1A — Risk Factors.”</w:t>
      </w:r>
    </w:p>
    <w:p>
      <w:pPr>
        <w:spacing w:after="0" w:line="1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to interest rates, gold values and changes in foreign currency exchange rates.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earnings are affected by changes in interest rates as our debt has a variable rate. If interest rates average 50 basis points more than our current rate in the fiscal year ending September 30, 2013, our interest expense during the year would increase by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approximately $875,000. This amount is determined by considering the impact of the hypothetical interest rate change on our variable-rate debt at September 30, 2012.</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In the first quarter of fiscal 2012, we began using derivative financial instruments, in order to manage our commodity price risk associated with the forecasted sales of gold scrap. These derivatives are not designated as hedges as they do not meet the hedge accounting requirements of the Derivatives and Hedging topic of the FASB codification, and changes in their fair value are recorded directly in earnings. For further discussion, you should read “Part I — Item 1A — Risk Factors.”</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earnings and financial position are affected by foreign exchange rate fluctuations related to our equity investments and our foreign operations. Albemarle &amp; Bond and Cash Genie's functional currency is the British pound, Cash Converters’ International functional currency is the Australian dollar, Empeño Fácil and Crediamigo’s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translation adjustment from Albemarle &amp; Bond representing the weakening in the British pound during the year ended June 30, 2012 (included in our September 30, 2012 results on a three-month lag) was a $0.7 million decrease to stockholders’ equity. The translation adjustment from Cash Genie represents the strengthening in the British pound, was a $0.5 million increase to stockholders' equity. On September 30, 2012, the British pound strengthened to £1.00 to $1.6164 U.S. from $1.5625 at September 30, 2011.</w:t>
      </w:r>
    </w:p>
    <w:p>
      <w:pPr>
        <w:spacing w:after="0" w:line="133"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translation adjustment from Cash Converters International representing the weakening in the Australian dollar from our investment dates to June 30, 2012 (included in our September 30, 2012 results on a three-month lag) was an $3.2 million decrease to stockholders’ equity. On September 30, 2012, the Australian dollar strengthened to $1.00 Australian dollar to $1.0377 U.S. from $0.9791 at September 30, 2011.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translation adjustment from Latin America representing the strengthening of the Mexican peso during the year ended September 30, 2012 was a</w:t>
      </w:r>
    </w:p>
    <w:p>
      <w:pPr>
        <w:spacing w:after="0" w:line="3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$3.8 million increase to stockholders’ equity. We have currently assumed permanent reinvestment of earnings and capital in Mexico. Accumulated translation gains or losses related to any future repatriation of earnings or capital would impact our earnings in the period of repatriation. On September 30, 2012, the peso further strengthened to $1.00 Mexican peso to $0.0778 U.S. from $0.0745 at September 30, 2011.</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translation adjustment from our Canadian operations representing the strengthening of the Canadian dollar during the year ended September 30, 2012 was a $0.6 million increase to stockholders’ equity. On September 30, 2012, the Canadian dollar strengthened to $1.00 Canadian dollar to $1.0164 U.S. from $0.9682 at September 30, 2011.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cannot predict the future valuation of foreign currencies or how further movements in exchange rates could affect our future earnings or financial position.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Page</w:t>
            </w:r>
          </w:p>
        </w:tc>
      </w:tr>
      <w:tr>
        <w:trPr>
          <w:trHeight w:val="202"/>
        </w:trPr>
        <w:tc>
          <w:tcPr>
            <w:tcW w:w="4220" w:type="dxa"/>
            <w:vAlign w:val="bottom"/>
            <w:gridSpan w:val="4"/>
          </w:tcPr>
          <w:p>
            <w:pPr>
              <w:spacing w:after="0" w:line="202"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Report of Independent Registered Public Accounting Firm</w:t>
              </w:r>
            </w:hyperlink>
          </w:p>
        </w:tc>
        <w:tc>
          <w:tcPr>
            <w:tcW w:w="6140" w:type="dxa"/>
            <w:vAlign w:val="bottom"/>
            <w:gridSpan w:val="6"/>
          </w:tcPr>
          <w:p>
            <w:pPr>
              <w:spacing w:after="0"/>
              <w:rPr>
                <w:sz w:val="17"/>
                <w:szCs w:val="17"/>
                <w:color w:val="auto"/>
              </w:rPr>
            </w:pPr>
          </w:p>
        </w:tc>
        <w:tc>
          <w:tcPr>
            <w:tcW w:w="1020" w:type="dxa"/>
            <w:vAlign w:val="bottom"/>
            <w:gridSpan w:val="3"/>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50"/>
        </w:trPr>
        <w:tc>
          <w:tcPr>
            <w:tcW w:w="4220" w:type="dxa"/>
            <w:vAlign w:val="bottom"/>
            <w:tcBorders>
              <w:top w:val="single" w:sz="8" w:color="0000FF"/>
            </w:tcBorders>
            <w:gridSpan w:val="4"/>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Financial Statements:</w:t>
              </w:r>
            </w:hyperlink>
          </w:p>
        </w:tc>
        <w:tc>
          <w:tcPr>
            <w:tcW w:w="6140" w:type="dxa"/>
            <w:vAlign w:val="bottom"/>
            <w:gridSpan w:val="6"/>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680" w:type="dxa"/>
            <w:vAlign w:val="bottom"/>
            <w:gridSpan w:val="4"/>
          </w:tcPr>
          <w:p>
            <w:pPr>
              <w:spacing w:after="0"/>
              <w:rPr>
                <w:rFonts w:ascii="Arial" w:cs="Arial" w:eastAsia="Arial" w:hAnsi="Arial"/>
                <w:sz w:val="18"/>
                <w:szCs w:val="18"/>
                <w:color w:val="0000FF"/>
                <w:w w:val="88"/>
              </w:rPr>
            </w:pPr>
            <w:hyperlink w:anchor="page50">
              <w:r>
                <w:rPr>
                  <w:rFonts w:ascii="Arial" w:cs="Arial" w:eastAsia="Arial" w:hAnsi="Arial"/>
                  <w:sz w:val="18"/>
                  <w:szCs w:val="18"/>
                  <w:color w:val="0000FF"/>
                  <w:w w:val="88"/>
                </w:rPr>
                <w:t>Consolidated Balance Sheets as of September 30, 2012 and 2011</w:t>
              </w:r>
            </w:hyperlink>
          </w:p>
        </w:tc>
        <w:tc>
          <w:tcPr>
            <w:tcW w:w="5440" w:type="dxa"/>
            <w:vAlign w:val="bottom"/>
            <w:gridSpan w:val="5"/>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120" w:type="dxa"/>
            <w:vAlign w:val="bottom"/>
            <w:gridSpan w:val="9"/>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Statements of Operations for each of the Three Years Ended September 30, 2012</w:t>
              </w:r>
            </w:hyperlink>
          </w:p>
        </w:tc>
        <w:tc>
          <w:tcPr>
            <w:tcW w:w="1020" w:type="dxa"/>
            <w:vAlign w:val="bottom"/>
            <w:gridSpan w:val="3"/>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740" w:type="dxa"/>
            <w:vAlign w:val="bottom"/>
            <w:gridSpan w:val="8"/>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Consolidated Statements of Comprehensive Income for each of the Three Years Ended September 30, 2012</w:t>
              </w:r>
            </w:hyperlink>
          </w:p>
        </w:tc>
        <w:tc>
          <w:tcPr>
            <w:tcW w:w="2380" w:type="dxa"/>
            <w:vAlign w:val="bottom"/>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740" w:type="dxa"/>
            <w:vAlign w:val="bottom"/>
            <w:gridSpan w:val="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Consolidated Statements of Cash Flows for each of the Three Years Ended September 30, 2012</w:t>
              </w:r>
            </w:hyperlink>
          </w:p>
        </w:tc>
        <w:tc>
          <w:tcPr>
            <w:tcW w:w="2380" w:type="dxa"/>
            <w:vAlign w:val="bottom"/>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120" w:type="dxa"/>
            <w:vAlign w:val="bottom"/>
            <w:gridSpan w:val="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Consolidated Statements of Stockholders’ Equity for each of the Three Years Ended September 30, 2012</w:t>
              </w:r>
            </w:hyperlink>
          </w:p>
        </w:tc>
        <w:tc>
          <w:tcPr>
            <w:tcW w:w="1020" w:type="dxa"/>
            <w:vAlign w:val="bottom"/>
            <w:gridSpan w:val="3"/>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400" w:type="dxa"/>
            <w:vAlign w:val="bottom"/>
            <w:gridSpan w:val="5"/>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540" w:type="dxa"/>
            <w:vAlign w:val="bottom"/>
            <w:gridSpan w:val="7"/>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Notes to Consolidated Financial Statements</w:t>
              </w:r>
            </w:hyperlink>
          </w:p>
        </w:tc>
        <w:tc>
          <w:tcPr>
            <w:tcW w:w="2580" w:type="dxa"/>
            <w:vAlign w:val="bottom"/>
            <w:gridSpan w:val="2"/>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507"/>
        </w:trPr>
        <w:tc>
          <w:tcPr>
            <w:tcW w:w="240" w:type="dxa"/>
            <w:vAlign w:val="bottom"/>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3660" w:type="dxa"/>
            <w:vAlign w:val="bottom"/>
            <w:gridSpan w:val="3"/>
          </w:tcPr>
          <w:p>
            <w:pPr>
              <w:jc w:val="right"/>
              <w:ind w:right="128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31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audited the accompanying consolidated balance sheets of EZCORP, Inc. (the Company) as of September 30, 2012 and 2011 and the related consolidated statements of operations and comprehensive income, stockholders' equity, and cash flows for each of the three years in the period ended September 30, 2012.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EZCORP, Inc. at September 30, 2012 and 2011, and the results of its operations and its cash flows for each of the three years in the period ended September 30, 2012</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EZCORP, Inc.'s internal control over financial reporting as of September 30,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COSO criteria) and our report dated November 20, 2012 expressed an unqualified opinion thereon.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48,477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23,969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Pawn loans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157,648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145,318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Consumer loans, net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34,152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14,611</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Pawn service charges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26,455</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Consumer loan fees receivable, net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30,416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6,775</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Inventory,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109,214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90,373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Deferred tax asset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14,984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18,125</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Federal income 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45,451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30,611</w:t>
            </w:r>
          </w:p>
        </w:tc>
        <w:tc>
          <w:tcPr>
            <w:tcW w:w="0" w:type="dxa"/>
            <w:vAlign w:val="bottom"/>
          </w:tcPr>
          <w:p>
            <w:pPr>
              <w:spacing w:after="0"/>
              <w:rPr>
                <w:sz w:val="1"/>
                <w:szCs w:val="1"/>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481,399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356,237</w:t>
            </w: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126,066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120,319</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108,131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78,498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Restricted cash, non-current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4,337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374,663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173,206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45,185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19,790</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Non-current consumer loans,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Other assets, net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16,229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8,400</w:t>
            </w:r>
          </w:p>
        </w:tc>
        <w:tc>
          <w:tcPr>
            <w:tcW w:w="0" w:type="dxa"/>
            <w:vAlign w:val="bottom"/>
          </w:tcPr>
          <w:p>
            <w:pPr>
              <w:spacing w:after="0"/>
              <w:rPr>
                <w:sz w:val="1"/>
                <w:szCs w:val="1"/>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 xml:space="preserve">Total assets </w:t>
            </w:r>
            <w:r>
              <w:rPr>
                <w:rFonts w:ascii="Arial" w:cs="Arial" w:eastAsia="Arial" w:hAnsi="Arial"/>
                <w:sz w:val="14"/>
                <w:szCs w:val="14"/>
                <w:color w:val="auto"/>
              </w:rPr>
              <w:t>(1)</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1,218,007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756,450</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Current maturities of long-term 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21,085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Accounts payable and other accrued expenses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78,925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57,400</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Customer layaway deposits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107,842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64,269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Long-term debt, less current maturities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198,836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17,500</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Long-term capital lease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Deferred tax liability</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7,922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8,331</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Deferred gains and 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17"/>
        </w:trPr>
        <w:tc>
          <w:tcPr>
            <w:tcW w:w="8580" w:type="dxa"/>
            <w:vAlign w:val="bottom"/>
            <w:gridSpan w:val="2"/>
          </w:tcPr>
          <w:p>
            <w:pPr>
              <w:ind w:left="600"/>
              <w:spacing w:after="0"/>
              <w:rPr>
                <w:sz w:val="20"/>
                <w:szCs w:val="20"/>
                <w:color w:val="auto"/>
              </w:rPr>
            </w:pPr>
            <w:r>
              <w:rPr>
                <w:rFonts w:ascii="Arial" w:cs="Arial" w:eastAsia="Arial" w:hAnsi="Arial"/>
                <w:sz w:val="14"/>
                <w:szCs w:val="14"/>
                <w:color w:val="auto"/>
              </w:rPr>
              <w:t xml:space="preserve">Total liabilities </w:t>
            </w:r>
            <w:r>
              <w:rPr>
                <w:rFonts w:ascii="Arial" w:cs="Arial" w:eastAsia="Arial" w:hAnsi="Arial"/>
                <w:sz w:val="16"/>
                <w:szCs w:val="16"/>
                <w:color w:val="auto"/>
              </w:rPr>
              <w:t>(2)</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329,498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92,202</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Temporary equity: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Redeemable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Class A Non-voting Common Stock, par value $.01 per share; authorized 54 million shares; 48,255,536 issued and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outstanding in 2012; 47,228,610 issued and outstanding in 2011</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20"/>
        </w:trPr>
        <w:tc>
          <w:tcPr>
            <w:tcW w:w="8580" w:type="dxa"/>
            <w:vAlign w:val="bottom"/>
            <w:gridSpan w:val="2"/>
          </w:tcPr>
          <w:p>
            <w:pPr>
              <w:ind w:left="380"/>
              <w:spacing w:after="0"/>
              <w:rPr>
                <w:sz w:val="20"/>
                <w:szCs w:val="20"/>
                <w:color w:val="auto"/>
              </w:rPr>
            </w:pPr>
            <w:r>
              <w:rPr>
                <w:rFonts w:ascii="Arial" w:cs="Arial" w:eastAsia="Arial" w:hAnsi="Arial"/>
                <w:sz w:val="16"/>
                <w:szCs w:val="16"/>
                <w:color w:val="auto"/>
                <w:w w:val="94"/>
              </w:rPr>
              <w:t>Class B Voting Common Stock, convertible, par value $.01 per share; 3 million shares authorized; issued and outstanding: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380"/>
              <w:spacing w:after="0"/>
              <w:rPr>
                <w:sz w:val="20"/>
                <w:szCs w:val="20"/>
                <w:color w:val="auto"/>
              </w:rPr>
            </w:pPr>
            <w:r>
              <w:rPr>
                <w:rFonts w:ascii="Arial" w:cs="Arial" w:eastAsia="Arial" w:hAnsi="Arial"/>
                <w:sz w:val="16"/>
                <w:szCs w:val="16"/>
                <w:color w:val="auto"/>
              </w:rPr>
              <w:t>2,970,171</w:t>
            </w:r>
          </w:p>
        </w:tc>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268,626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242,398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565,803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422,095</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EZCORP, Inc. stockholders’ equity</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834,828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664,248</w:t>
            </w:r>
          </w:p>
        </w:tc>
        <w:tc>
          <w:tcPr>
            <w:tcW w:w="0" w:type="dxa"/>
            <w:vAlign w:val="bottom"/>
          </w:tcPr>
          <w:p>
            <w:pPr>
              <w:spacing w:after="0"/>
              <w:rPr>
                <w:sz w:val="1"/>
                <w:szCs w:val="1"/>
                <w:color w:val="auto"/>
              </w:rPr>
            </w:pPr>
          </w:p>
        </w:tc>
      </w:tr>
      <w:tr>
        <w:trPr>
          <w:trHeight w:val="244"/>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1,218,007</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756,450</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 and Liabilities of Crediamigo Securitization Trust</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40" w:firstLine="8"/>
        <w:spacing w:after="0" w:line="273" w:lineRule="auto"/>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consolidated assets as of September 30, 2012, include the following assets of the Crediamigo securitization trust that can only be used to settle its liabilities: Restricted cash, $4.3 million; Consumer loans, net, $33.6 million; Consumer loan fees receivable, net, $7.7 million; Intangible assets, net $2.6 million and total assets, $48.2 million.</w:t>
      </w:r>
    </w:p>
    <w:p>
      <w:pPr>
        <w:spacing w:after="0" w:line="1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consolidated liabilities as of September 30, 2012, include $32.7 million of long-term debt for which the creditors of the Crediamigo securitization trust do not have recourse to EZCORP, Inc.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6"/>
          </w:tcPr>
          <w:p>
            <w:pPr>
              <w:jc w:val="center"/>
              <w:ind w:left="511"/>
              <w:spacing w:after="0"/>
              <w:rPr>
                <w:sz w:val="20"/>
                <w:szCs w:val="20"/>
                <w:color w:val="auto"/>
              </w:rPr>
            </w:pPr>
            <w:r>
              <w:rPr>
                <w:rFonts w:ascii="Arial" w:cs="Arial" w:eastAsia="Arial" w:hAnsi="Arial"/>
                <w:sz w:val="16"/>
                <w:szCs w:val="16"/>
                <w:b w:val="1"/>
                <w:bCs w:val="1"/>
                <w:color w:val="auto"/>
                <w:w w:val="89"/>
              </w:rPr>
              <w:t>Fiscal Years Ended September 30,</w:t>
            </w:r>
          </w:p>
        </w:tc>
        <w:tc>
          <w:tcPr>
            <w:tcW w:w="90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6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6"/>
                <w:szCs w:val="16"/>
                <w:b w:val="1"/>
                <w:bCs w:val="1"/>
                <w:color w:val="auto"/>
              </w:rPr>
              <w:t>2010</w:t>
            </w:r>
          </w:p>
        </w:tc>
      </w:tr>
      <w:tr>
        <w:trPr>
          <w:trHeight w:val="3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jc w:val="center"/>
              <w:ind w:left="511"/>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900" w:type="dxa"/>
            <w:vAlign w:val="bottom"/>
          </w:tcPr>
          <w:p>
            <w:pPr>
              <w:spacing w:after="0"/>
              <w:rPr>
                <w:sz w:val="16"/>
                <w:szCs w:val="16"/>
                <w:color w:val="auto"/>
              </w:rPr>
            </w:pPr>
          </w:p>
        </w:tc>
      </w:tr>
      <w:tr>
        <w:trPr>
          <w:trHeight w:val="256"/>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335,410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282,083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240,454</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212,479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171,411</w:t>
            </w: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235,642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201,135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163,695</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fees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207,671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171,951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157,022</w:t>
            </w: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463</w:t>
            </w: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869,317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733,045</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192,014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162,060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140,284</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134,848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110,838</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41,377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38,759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34,444</w:t>
            </w: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534,938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447,479</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303,486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267,052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236,664</w:t>
            </w: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94,035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75,270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52,740</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14,030</w:t>
            </w: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631</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 loss on sale or disposal of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w:t>
            </w:r>
          </w:p>
        </w:tc>
      </w:tr>
      <w:tr>
        <w:trPr>
          <w:trHeight w:val="237"/>
        </w:trPr>
        <w:tc>
          <w:tcPr>
            <w:tcW w:w="69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422,788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360,975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305,593</w:t>
            </w: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201,440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173,963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141,886</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Interest (income)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1,199</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188,711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151,530</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71,023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66,552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54,236</w:t>
            </w: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150,577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97,294</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6,869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143,708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122,159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97,294</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04"/>
        </w:trPr>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r>
      <w:tr>
        <w:trPr>
          <w:trHeight w:val="251"/>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49,917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49,033</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51,133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50,369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49,576</w:t>
            </w:r>
          </w:p>
        </w:tc>
      </w:tr>
      <w:tr>
        <w:trPr>
          <w:trHeight w:val="27"/>
        </w:trPr>
        <w:tc>
          <w:tcPr>
            <w:tcW w:w="6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125" w:right="41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150,577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97,294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Unrealized holding gain (loss) arising during period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5,629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152,165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127,788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95,539</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380"/>
              <w:spacing w:after="0"/>
              <w:rPr>
                <w:sz w:val="20"/>
                <w:szCs w:val="20"/>
                <w:color w:val="auto"/>
              </w:rPr>
            </w:pPr>
            <w:r>
              <w:rPr>
                <w:rFonts w:ascii="Arial" w:cs="Arial" w:eastAsia="Arial" w:hAnsi="Arial"/>
                <w:sz w:val="18"/>
                <w:szCs w:val="18"/>
                <w:color w:val="auto"/>
              </w:rPr>
              <w:t>Attributable to redeemable noncontrolling interest:</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Foreign currency translation gain</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attributable to EZCORP, Inc.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144,341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127,788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95,539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88"/>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2010</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3"/>
              </w:rPr>
              <w:t>(In thousands)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150,577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122,159</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97,294</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08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25,268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18,344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14,661</w:t>
            </w:r>
          </w:p>
        </w:tc>
      </w:tr>
      <w:tr>
        <w:trPr>
          <w:trHeight w:val="276"/>
        </w:trPr>
        <w:tc>
          <w:tcPr>
            <w:tcW w:w="7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Consumer loan loss provisions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11,588</w:t>
            </w:r>
          </w:p>
        </w:tc>
      </w:tr>
      <w:tr>
        <w:trPr>
          <w:trHeight w:val="264"/>
        </w:trPr>
        <w:tc>
          <w:tcPr>
            <w:tcW w:w="708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13,663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(1,287)</w:t>
            </w:r>
          </w:p>
        </w:tc>
      </w:tr>
      <w:tr>
        <w:trPr>
          <w:trHeight w:val="276"/>
        </w:trPr>
        <w:tc>
          <w:tcPr>
            <w:tcW w:w="7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 loss on sale or disposal of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1,528</w:t>
            </w:r>
          </w:p>
        </w:tc>
      </w:tr>
      <w:tr>
        <w:trPr>
          <w:trHeight w:val="264"/>
        </w:trPr>
        <w:tc>
          <w:tcPr>
            <w:tcW w:w="7080" w:type="dxa"/>
            <w:vAlign w:val="bottom"/>
          </w:tcPr>
          <w:p>
            <w:pPr>
              <w:ind w:left="600"/>
              <w:spacing w:after="0"/>
              <w:rPr>
                <w:sz w:val="20"/>
                <w:szCs w:val="20"/>
                <w:color w:val="auto"/>
              </w:rPr>
            </w:pPr>
            <w:r>
              <w:rPr>
                <w:rFonts w:ascii="Arial" w:cs="Arial" w:eastAsia="Arial" w:hAnsi="Arial"/>
                <w:sz w:val="14"/>
                <w:szCs w:val="14"/>
                <w:color w:val="auto"/>
              </w:rPr>
              <w:t>Stock compensation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6,714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13,208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4,512</w:t>
            </w:r>
          </w:p>
        </w:tc>
      </w:tr>
      <w:tr>
        <w:trPr>
          <w:trHeight w:val="276"/>
        </w:trPr>
        <w:tc>
          <w:tcPr>
            <w:tcW w:w="7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Income from investments in unconsolidated affiliates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(10,750)</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Service charges and fees receivable,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w:t>
            </w:r>
          </w:p>
        </w:tc>
      </w:tr>
      <w:tr>
        <w:trPr>
          <w:trHeight w:val="264"/>
        </w:trPr>
        <w:tc>
          <w:tcPr>
            <w:tcW w:w="7080" w:type="dxa"/>
            <w:vAlign w:val="bottom"/>
          </w:tcPr>
          <w:p>
            <w:pPr>
              <w:ind w:left="600"/>
              <w:spacing w:after="0"/>
              <w:rPr>
                <w:sz w:val="20"/>
                <w:szCs w:val="20"/>
                <w:color w:val="auto"/>
              </w:rPr>
            </w:pPr>
            <w:r>
              <w:rPr>
                <w:rFonts w:ascii="Arial" w:cs="Arial" w:eastAsia="Arial" w:hAnsi="Arial"/>
                <w:sz w:val="14"/>
                <w:szCs w:val="14"/>
                <w:color w:val="auto"/>
              </w:rPr>
              <w:t>Inventory, net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(4,017)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(2,144)</w:t>
            </w:r>
          </w:p>
        </w:tc>
      </w:tr>
      <w:tr>
        <w:trPr>
          <w:trHeight w:val="276"/>
        </w:trPr>
        <w:tc>
          <w:tcPr>
            <w:tcW w:w="7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Prepaid expenses, other current assets, and other assets,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(6,277)</w:t>
            </w:r>
          </w:p>
        </w:tc>
      </w:tr>
      <w:tr>
        <w:trPr>
          <w:trHeight w:val="264"/>
        </w:trPr>
        <w:tc>
          <w:tcPr>
            <w:tcW w:w="7080" w:type="dxa"/>
            <w:vAlign w:val="bottom"/>
          </w:tcPr>
          <w:p>
            <w:pPr>
              <w:ind w:left="60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4,347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5,411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15,592</w:t>
            </w:r>
          </w:p>
        </w:tc>
      </w:tr>
      <w:tr>
        <w:trPr>
          <w:trHeight w:val="276"/>
        </w:trPr>
        <w:tc>
          <w:tcPr>
            <w:tcW w:w="7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Customer layaway deposits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1,824</w:t>
            </w:r>
          </w:p>
        </w:tc>
      </w:tr>
      <w:tr>
        <w:trPr>
          <w:trHeight w:val="264"/>
        </w:trPr>
        <w:tc>
          <w:tcPr>
            <w:tcW w:w="7080" w:type="dxa"/>
            <w:vAlign w:val="bottom"/>
          </w:tcPr>
          <w:p>
            <w:pPr>
              <w:ind w:left="600"/>
              <w:spacing w:after="0"/>
              <w:rPr>
                <w:sz w:val="20"/>
                <w:szCs w:val="20"/>
                <w:color w:val="auto"/>
              </w:rPr>
            </w:pPr>
            <w:r>
              <w:rPr>
                <w:rFonts w:ascii="Arial" w:cs="Arial" w:eastAsia="Arial" w:hAnsi="Arial"/>
                <w:sz w:val="14"/>
                <w:szCs w:val="14"/>
                <w:color w:val="auto"/>
              </w:rPr>
              <w:t>Deferred gains and other long-term liabilities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(8,782)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(736)</w:t>
            </w:r>
          </w:p>
        </w:tc>
      </w:tr>
      <w:tr>
        <w:trPr>
          <w:trHeight w:val="276"/>
        </w:trPr>
        <w:tc>
          <w:tcPr>
            <w:tcW w:w="7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Excess tax benefit from stock compensation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r>
      <w:tr>
        <w:trPr>
          <w:trHeight w:val="264"/>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Income taxes receivable/payable</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(7,787)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5,093</w:t>
            </w:r>
          </w:p>
        </w:tc>
      </w:tr>
      <w:tr>
        <w:trPr>
          <w:trHeight w:val="256"/>
        </w:trPr>
        <w:tc>
          <w:tcPr>
            <w:tcW w:w="70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150,448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145,993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124,725</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made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(802,896)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(649,249)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(545,579)</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Loans repaid</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520,193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404,392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335,832</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240,381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205,662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174,224</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Additions to property and equipment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(45,796)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(34,122)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(25,741)</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net of cash acquired</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(128,647)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(21,837)</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(59,188)</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from unconsolidated affiliates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3,841</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on disposal of assets</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1,347</w:t>
            </w:r>
          </w:p>
        </w:tc>
      </w:tr>
      <w:tr>
        <w:trPr>
          <w:trHeight w:val="256"/>
        </w:trPr>
        <w:tc>
          <w:tcPr>
            <w:tcW w:w="708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(211,205)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(133,963)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(137,101)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1,602</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Excess tax benefit from stock compensation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3,230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1,861</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issuance costs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Taxes paid related to net share settlement of equity awards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restricted cash</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on revolving line of credit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792,927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164,500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63,050</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revolving line of credit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(695,077)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(63,050)</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bank borrowings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bank borrowings and capital lease obligations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250"/>
        </w:trPr>
        <w:tc>
          <w:tcPr>
            <w:tcW w:w="7080" w:type="dxa"/>
            <w:vAlign w:val="bottom"/>
          </w:tcPr>
          <w:p>
            <w:pPr>
              <w:ind w:left="8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(6,534)</w:t>
            </w: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80" w:type="dxa"/>
            <w:vAlign w:val="bottom"/>
          </w:tcPr>
          <w:p>
            <w:pPr>
              <w:ind w:left="180"/>
              <w:spacing w:after="0"/>
              <w:rPr>
                <w:sz w:val="20"/>
                <w:szCs w:val="20"/>
                <w:color w:val="auto"/>
              </w:rPr>
            </w:pPr>
            <w:r>
              <w:rPr>
                <w:rFonts w:ascii="Arial" w:cs="Arial" w:eastAsia="Arial" w:hAnsi="Arial"/>
                <w:sz w:val="14"/>
                <w:szCs w:val="14"/>
                <w:color w:val="auto"/>
              </w:rPr>
              <w:t>Change in cash and equivalents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(18,910)</w:t>
            </w: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23,969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25,854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44,764</w:t>
            </w:r>
          </w:p>
        </w:tc>
      </w:tr>
      <w:tr>
        <w:trPr>
          <w:trHeight w:val="283"/>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Cash and equivalents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48,477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23,969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25,854</w:t>
            </w:r>
          </w:p>
        </w:tc>
      </w:tr>
      <w:tr>
        <w:trPr>
          <w:trHeight w:val="224"/>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during the period for:</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4"/>
        </w:trPr>
        <w:tc>
          <w:tcPr>
            <w:tcW w:w="7080" w:type="dxa"/>
            <w:vAlign w:val="bottom"/>
          </w:tcPr>
          <w:p>
            <w:pPr>
              <w:ind w:left="600"/>
              <w:spacing w:after="0"/>
              <w:rPr>
                <w:sz w:val="20"/>
                <w:szCs w:val="20"/>
                <w:color w:val="auto"/>
              </w:rPr>
            </w:pPr>
            <w:r>
              <w:rPr>
                <w:rFonts w:ascii="Arial" w:cs="Arial" w:eastAsia="Arial" w:hAnsi="Arial"/>
                <w:sz w:val="14"/>
                <w:szCs w:val="14"/>
                <w:color w:val="auto"/>
              </w:rPr>
              <w:t>Interest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2,480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1,147</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913</w:t>
            </w:r>
          </w:p>
        </w:tc>
      </w:tr>
      <w:tr>
        <w:trPr>
          <w:trHeight w:val="276"/>
        </w:trPr>
        <w:tc>
          <w:tcPr>
            <w:tcW w:w="7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Income taxes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83,010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50,631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Pawn loans forfeited and transferred to inventory</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215,188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177,821</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Issuance of common stock due to acquisitions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17,984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7,304</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Contingent consideration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Deferred consideration</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401 (K) plan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r>
    </w:tbl>
    <w:p>
      <w:pPr>
        <w:sectPr>
          <w:pgSz w:w="11900" w:h="16838" w:orient="portrait"/>
          <w:cols w:equalWidth="0" w:num="1">
            <w:col w:w="11420"/>
          </w:cols>
          <w:pgMar w:left="240" w:top="125" w:right="239" w:bottom="0" w:gutter="0" w:footer="0" w:header="0"/>
        </w:sectPr>
      </w:pPr>
    </w:p>
    <w:bookmarkStart w:id="54" w:name="page55"/>
    <w:bookmarkEnd w:id="54"/>
    <w:p>
      <w:pP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184" w:right="1440"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3"/>
                <w:szCs w:val="13"/>
                <w:b w:val="1"/>
                <w:bCs w:val="1"/>
                <w:color w:val="auto"/>
              </w:rPr>
              <w:t>Common Stock</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 Other</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44"/>
        </w:trPr>
        <w:tc>
          <w:tcPr>
            <w:tcW w:w="3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77"/>
              <w:spacing w:after="0" w:line="144" w:lineRule="exact"/>
              <w:rPr>
                <w:sz w:val="20"/>
                <w:szCs w:val="20"/>
                <w:color w:val="auto"/>
              </w:rPr>
            </w:pPr>
            <w:r>
              <w:rPr>
                <w:rFonts w:ascii="Arial" w:cs="Arial" w:eastAsia="Arial" w:hAnsi="Arial"/>
                <w:sz w:val="13"/>
                <w:szCs w:val="13"/>
                <w:b w:val="1"/>
                <w:bCs w:val="1"/>
                <w:color w:val="auto"/>
              </w:rPr>
              <w:t>Par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Additional Paid In</w:t>
            </w:r>
          </w:p>
        </w:tc>
        <w:tc>
          <w:tcPr>
            <w:tcW w:w="320" w:type="dxa"/>
            <w:vAlign w:val="bottom"/>
          </w:tcPr>
          <w:p>
            <w:pPr>
              <w:spacing w:after="0"/>
              <w:rPr>
                <w:sz w:val="12"/>
                <w:szCs w:val="12"/>
                <w:color w:val="auto"/>
              </w:rPr>
            </w:pPr>
          </w:p>
        </w:tc>
        <w:tc>
          <w:tcPr>
            <w:tcW w:w="102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2"/>
                <w:szCs w:val="12"/>
                <w:color w:val="auto"/>
              </w:rPr>
            </w:pPr>
          </w:p>
        </w:tc>
        <w:tc>
          <w:tcPr>
            <w:tcW w:w="116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auto"/>
                <w:w w:val="86"/>
              </w:rPr>
              <w:t>Total Shareholders'</w:t>
            </w:r>
          </w:p>
        </w:tc>
      </w:tr>
      <w:tr>
        <w:trPr>
          <w:trHeight w:val="174"/>
        </w:trPr>
        <w:tc>
          <w:tcPr>
            <w:tcW w:w="3340" w:type="dxa"/>
            <w:vAlign w:val="bottom"/>
          </w:tcPr>
          <w:p>
            <w:pPr>
              <w:spacing w:after="0"/>
              <w:rPr>
                <w:sz w:val="15"/>
                <w:szCs w:val="15"/>
                <w:color w:val="auto"/>
              </w:rPr>
            </w:pPr>
          </w:p>
        </w:tc>
        <w:tc>
          <w:tcPr>
            <w:tcW w:w="138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Shares</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Value</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Equity</w:t>
            </w:r>
          </w:p>
        </w:tc>
      </w:tr>
      <w:tr>
        <w:trPr>
          <w:trHeight w:val="181"/>
        </w:trPr>
        <w:tc>
          <w:tcPr>
            <w:tcW w:w="3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i w:val="1"/>
                <w:iCs w:val="1"/>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Balances at September 30, 2009</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48,703</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217,176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202,642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415,685</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Issuance of Common Stock to 401(k) plan</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260</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4,512</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Stock options and warrants exercised</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494</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1,596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1,602</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due to acquisitions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Release of Restricted Stock</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Excess tax benefit from stock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1,861</w:t>
            </w:r>
          </w:p>
        </w:tc>
      </w:tr>
      <w:tr>
        <w:trPr>
          <w:trHeight w:val="262"/>
        </w:trPr>
        <w:tc>
          <w:tcPr>
            <w:tcW w:w="3340" w:type="dxa"/>
            <w:vAlign w:val="bottom"/>
          </w:tcPr>
          <w:p>
            <w:pPr>
              <w:ind w:left="380"/>
              <w:spacing w:after="0"/>
              <w:rPr>
                <w:sz w:val="20"/>
                <w:szCs w:val="20"/>
                <w:color w:val="auto"/>
              </w:rPr>
            </w:pPr>
            <w:r>
              <w:rPr>
                <w:rFonts w:ascii="Arial" w:cs="Arial" w:eastAsia="Arial" w:hAnsi="Arial"/>
                <w:sz w:val="13"/>
                <w:szCs w:val="13"/>
                <w:color w:val="auto"/>
                <w:w w:val="96"/>
              </w:rPr>
              <w:t>Unrealized gain (loss) on available-for-sale securities</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w:t>
            </w:r>
          </w:p>
        </w:tc>
      </w:tr>
      <w:tr>
        <w:trPr>
          <w:trHeight w:val="264"/>
        </w:trPr>
        <w:tc>
          <w:tcPr>
            <w:tcW w:w="3340" w:type="dxa"/>
            <w:vAlign w:val="bottom"/>
          </w:tcPr>
          <w:p>
            <w:pPr>
              <w:ind w:left="180"/>
              <w:spacing w:after="0"/>
              <w:rPr>
                <w:sz w:val="20"/>
                <w:szCs w:val="20"/>
                <w:color w:val="auto"/>
              </w:rPr>
            </w:pPr>
            <w:r>
              <w:rPr>
                <w:rFonts w:ascii="Arial" w:cs="Arial" w:eastAsia="Arial" w:hAnsi="Arial"/>
                <w:sz w:val="13"/>
                <w:szCs w:val="13"/>
                <w:color w:val="auto"/>
              </w:rPr>
              <w:t>Net income attributable to EZCORP, Inc.</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97,294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97,294</w:t>
            </w:r>
          </w:p>
        </w:tc>
      </w:tr>
      <w:tr>
        <w:trPr>
          <w:trHeight w:val="28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Balances at September 30, 2010</w:t>
            </w:r>
          </w:p>
        </w:tc>
        <w:tc>
          <w:tcPr>
            <w:tcW w:w="1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49,226</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493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225,374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299,936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(6,375)</w:t>
            </w:r>
          </w:p>
        </w:tc>
        <w:tc>
          <w:tcPr>
            <w:tcW w:w="1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519,428</w:t>
            </w:r>
          </w:p>
        </w:tc>
      </w:tr>
      <w:tr>
        <w:trPr>
          <w:trHeight w:val="225"/>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to 401(k) plan</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377</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Stock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13,208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13,208</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397</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Issuance of Common Stock due to acquisitions</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7,302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7,304</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Release of Restricted Stock</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Excess tax benefit from stock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3,225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3,230</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Taxes paid related to net share settlement of equity awards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(7,484)</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Unrealized gain (loss) on available-for-sale securities</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605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605</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5,024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5,024</w:t>
            </w:r>
          </w:p>
        </w:tc>
      </w:tr>
      <w:tr>
        <w:trPr>
          <w:trHeight w:val="264"/>
        </w:trPr>
        <w:tc>
          <w:tcPr>
            <w:tcW w:w="3340" w:type="dxa"/>
            <w:vAlign w:val="bottom"/>
          </w:tcPr>
          <w:p>
            <w:pPr>
              <w:ind w:left="180"/>
              <w:spacing w:after="0"/>
              <w:rPr>
                <w:sz w:val="20"/>
                <w:szCs w:val="20"/>
                <w:color w:val="auto"/>
              </w:rPr>
            </w:pPr>
            <w:r>
              <w:rPr>
                <w:rFonts w:ascii="Arial" w:cs="Arial" w:eastAsia="Arial" w:hAnsi="Arial"/>
                <w:sz w:val="13"/>
                <w:szCs w:val="13"/>
                <w:color w:val="auto"/>
              </w:rPr>
              <w:t>Net income attributable to EZCORP, Inc.</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122,159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122,159</w:t>
            </w:r>
          </w:p>
        </w:tc>
      </w:tr>
      <w:tr>
        <w:trPr>
          <w:trHeight w:val="242"/>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September 30, 2011</w:t>
            </w:r>
          </w:p>
        </w:tc>
        <w:tc>
          <w:tcPr>
            <w:tcW w:w="12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50,199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242,398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422,095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664,248</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3340" w:type="dxa"/>
            <w:vAlign w:val="bottom"/>
          </w:tcPr>
          <w:p>
            <w:pPr>
              <w:ind w:left="180"/>
              <w:spacing w:after="0"/>
              <w:rPr>
                <w:sz w:val="20"/>
                <w:szCs w:val="20"/>
                <w:color w:val="auto"/>
              </w:rPr>
            </w:pPr>
            <w:r>
              <w:rPr>
                <w:rFonts w:ascii="Arial" w:cs="Arial" w:eastAsia="Arial" w:hAnsi="Arial"/>
                <w:sz w:val="13"/>
                <w:szCs w:val="13"/>
                <w:color w:val="auto"/>
              </w:rPr>
              <w:t>Issuance of Common Stock to 401(k) plan</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459</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6,714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6,714</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Stock options exercised</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647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649</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due to acquisitions</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635</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17,998</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Release of Restricted Stock</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Excess tax benefit from stock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1,602</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w w:val="92"/>
              </w:rPr>
              <w:t>Taxes paid related to net share settlement of equity awards</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(1,184)</w:t>
            </w: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gain (loss) on available-for-sale securities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1,111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1,111</w:t>
            </w:r>
          </w:p>
        </w:tc>
      </w:tr>
      <w:tr>
        <w:trPr>
          <w:trHeight w:val="272"/>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 attributable to EZCORP, Inc.</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143,708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143,708</w:t>
            </w:r>
          </w:p>
        </w:tc>
      </w:tr>
      <w:tr>
        <w:trPr>
          <w:trHeight w:val="242"/>
        </w:trPr>
        <w:tc>
          <w:tcPr>
            <w:tcW w:w="3340" w:type="dxa"/>
            <w:vAlign w:val="bottom"/>
          </w:tcPr>
          <w:p>
            <w:pPr>
              <w:ind w:left="40"/>
              <w:spacing w:after="0"/>
              <w:rPr>
                <w:sz w:val="20"/>
                <w:szCs w:val="20"/>
                <w:color w:val="auto"/>
              </w:rPr>
            </w:pPr>
            <w:r>
              <w:rPr>
                <w:rFonts w:ascii="Arial" w:cs="Arial" w:eastAsia="Arial" w:hAnsi="Arial"/>
                <w:sz w:val="13"/>
                <w:szCs w:val="13"/>
                <w:color w:val="auto"/>
              </w:rPr>
              <w:t>Balances at September 30, 2012</w:t>
            </w:r>
          </w:p>
        </w:tc>
        <w:tc>
          <w:tcPr>
            <w:tcW w:w="1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51,226</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268,626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565,803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834,828</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ind w:right="4060"/>
        <w:spacing w:after="0" w:line="440" w:lineRule="auto"/>
        <w:rPr>
          <w:sz w:val="20"/>
          <w:szCs w:val="20"/>
          <w:color w:val="auto"/>
        </w:rPr>
      </w:pPr>
      <w:r>
        <w:rPr>
          <w:rFonts w:ascii="Arial" w:cs="Arial" w:eastAsia="Arial" w:hAnsi="Arial"/>
          <w:sz w:val="18"/>
          <w:szCs w:val="18"/>
          <w:b w:val="1"/>
          <w:bCs w:val="1"/>
          <w:color w:val="auto"/>
        </w:rPr>
        <w:t>NOTE 1: ORGANIZATION AND SUMMARY OF SIGNIFICANT ACCOUNTING POLICIES Organization</w:t>
      </w:r>
    </w:p>
    <w:p>
      <w:pPr>
        <w:spacing w:after="0" w:line="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are a leading provider of specialty consumer financial services. We provide collateralized, non-recourse loans, commonly known as pawn loans, and a variety of short-term consumer loans including single-payment and multiple-payment unsecured loans and single-payment and multiple-payment auto title loans, or fee-based credit services to customers seeking loans.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September 30, 2012, we operated a total of 1,262 locations, consisting of 470 U.S. pawn stores (operating as EZPAWN or Value Pawn), seven U.S. buy/sell stores (operating as Cash Converters), 230 pawn stores in Mexico (operating as Empeño Fácil or Empeñe Su Oro), 442 U.S. financial services stores (operating primarily as EZMONEY), 33 financial services stores in Canada (operating as CASHMAX) and 35 buy/sell and financial services stores in Canada (operating as Cash Converters). In addition, we are the franchisor for 10 franchised stores in Canada pursuant to our acquisition of the Cash Converters master franchise in that country. We also own approximately 30% of Albemarle &amp; Bond Holdings PLC, one of the U.K.’s largest pawnbroking businesses with approximately 230 stores, and approximately 33% of Cash Converters International Limited, which franchises and operates a worldwide network of approximately 700 financial services and second-hand retail stores.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consolidated financial statements include the accounts of EZCORP, Inc. and our controlled subsidiaries. All significant inter-company accounts and transactions have been eliminated in consolidation. We own 60% of the outstanding equity interests in Prestaciones Finmart, S.A.P.I de C.V., SOFOM, E.N.R. ("Crediamigo") and 72% of Ariste Holding Limited and its affiliates ("Cash Genie"), and therefore, include their results in our consolidated financial statements. We account for our investments in Albemarle &amp; Bond Holdings, PLC and Cash Converters International Limited using the equity method.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Loan and Sales Revenue Recognition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on the sale of inventory is excluded from the amount recognized as sales and instead recorded as a liability in “Accounts payable and other accrued expenses” on our balance sheets until remitted to the appropriate governmental authorities.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Loans</w:t>
      </w:r>
    </w:p>
    <w:p>
      <w:pPr>
        <w:spacing w:after="0" w:line="17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We provide a variety of short-term consumer loans including single-payment and multiple-payment unsecured loans and single-payment and multiple-payment auto title loans. In Texas, we provide fee-based credit services to customers seeking loans. In Mexico, Crediamigo enters into agreements with employers that permit it to market consumer loans to employees. Payments are withheld by the employers through payroll deductions and remitted to Crediamigo.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left="340" w:right="160"/>
        <w:spacing w:after="0" w:line="257" w:lineRule="auto"/>
        <w:rPr>
          <w:sz w:val="20"/>
          <w:szCs w:val="20"/>
          <w:color w:val="auto"/>
        </w:rPr>
      </w:pPr>
      <w:r>
        <w:rPr>
          <w:rFonts w:ascii="Arial" w:cs="Arial" w:eastAsia="Arial" w:hAnsi="Arial"/>
          <w:sz w:val="18"/>
          <w:szCs w:val="18"/>
          <w:i w:val="1"/>
          <w:iCs w:val="1"/>
          <w:color w:val="auto"/>
        </w:rPr>
        <w:t xml:space="preserve">Unsecured Consumer Loan Credit Service Fees — </w:t>
      </w:r>
      <w:r>
        <w:rPr>
          <w:rFonts w:ascii="Arial" w:cs="Arial" w:eastAsia="Arial" w:hAnsi="Arial"/>
          <w:sz w:val="18"/>
          <w:szCs w:val="18"/>
          <w:color w:val="auto"/>
        </w:rPr>
        <w:t>We earn credit service fees when we assist customers in obtaining unsecured loans from unaffiliated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Unsecured loan credit service fee revenue is included in “Consumer loan fees” on our statements of operations.</w:t>
      </w:r>
    </w:p>
    <w:p>
      <w:pPr>
        <w:spacing w:after="0" w:line="134" w:lineRule="exact"/>
        <w:rPr>
          <w:sz w:val="20"/>
          <w:szCs w:val="20"/>
          <w:color w:val="auto"/>
        </w:rPr>
      </w:pPr>
    </w:p>
    <w:p>
      <w:pPr>
        <w:ind w:left="340" w:right="320"/>
        <w:spacing w:after="0" w:line="312" w:lineRule="auto"/>
        <w:rPr>
          <w:sz w:val="20"/>
          <w:szCs w:val="20"/>
          <w:color w:val="auto"/>
        </w:rPr>
      </w:pPr>
      <w:r>
        <w:rPr>
          <w:rFonts w:ascii="Arial" w:cs="Arial" w:eastAsia="Arial" w:hAnsi="Arial"/>
          <w:sz w:val="16"/>
          <w:szCs w:val="16"/>
          <w:i w:val="1"/>
          <w:iCs w:val="1"/>
          <w:color w:val="auto"/>
        </w:rPr>
        <w:t xml:space="preserve">Unsecured Consumer Loan Revenue — </w:t>
      </w:r>
      <w:r>
        <w:rPr>
          <w:rFonts w:ascii="Arial" w:cs="Arial" w:eastAsia="Arial" w:hAnsi="Arial"/>
          <w:sz w:val="16"/>
          <w:szCs w:val="16"/>
          <w:color w:val="auto"/>
        </w:rPr>
        <w:t>We accrue fees in accordance with state and provincial laws on the percentage of unsecured loans (single-payment and multiple-payment) we have made that we believe to be collectible. Accrued fees related to defaulted loans reduce fee revenue upon loan default, and increase fee revenue upon collection. Unsecured loan revenue is included in “Consumer loan fees” on our statements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right="200"/>
        <w:spacing w:after="0" w:line="302" w:lineRule="auto"/>
        <w:rPr>
          <w:sz w:val="20"/>
          <w:szCs w:val="20"/>
          <w:color w:val="auto"/>
        </w:rPr>
      </w:pPr>
      <w:r>
        <w:rPr>
          <w:rFonts w:ascii="Arial" w:cs="Arial" w:eastAsia="Arial" w:hAnsi="Arial"/>
          <w:sz w:val="16"/>
          <w:szCs w:val="16"/>
          <w:i w:val="1"/>
          <w:iCs w:val="1"/>
          <w:color w:val="auto"/>
        </w:rPr>
        <w:t xml:space="preserve">Long-term Unsecured Consumer Loan Revenue — </w:t>
      </w:r>
      <w:r>
        <w:rPr>
          <w:rFonts w:ascii="Arial" w:cs="Arial" w:eastAsia="Arial" w:hAnsi="Arial"/>
          <w:sz w:val="16"/>
          <w:szCs w:val="16"/>
          <w:color w:val="auto"/>
        </w:rPr>
        <w:t>Crediamigo customers obtain installment loans with a series of payments due over as long as a four-year period. We recognize consumer loan fees related to loans we originate based on the percentage of consumer loans made that we believe to be collectible. We recognize interest revenue ratably over the life of the related loans. We reserve the percentage of interest we expect not to collect. Accrued fees related to defaulted loans reduce consumer loan revenue upon loan default and increase consumer loan fee revenue upon collection.</w:t>
      </w:r>
    </w:p>
    <w:p>
      <w:pPr>
        <w:spacing w:after="0" w:line="100"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i w:val="1"/>
          <w:iCs w:val="1"/>
          <w:color w:val="auto"/>
        </w:rPr>
        <w:t xml:space="preserve">Auto Title Loan Credit Service Fee Revenue — </w:t>
      </w:r>
      <w:r>
        <w:rPr>
          <w:rFonts w:ascii="Arial" w:cs="Arial" w:eastAsia="Arial" w:hAnsi="Arial"/>
          <w:sz w:val="18"/>
          <w:szCs w:val="18"/>
          <w:color w:val="auto"/>
        </w:rPr>
        <w:t>We earn auto title credit service fees when we assist customers in obtaining auto title loans from</w:t>
      </w:r>
      <w:r>
        <w:rPr>
          <w:rFonts w:ascii="Arial" w:cs="Arial" w:eastAsia="Arial" w:hAnsi="Arial"/>
          <w:sz w:val="18"/>
          <w:szCs w:val="18"/>
          <w:i w:val="1"/>
          <w:iCs w:val="1"/>
          <w:color w:val="auto"/>
        </w:rPr>
        <w:t xml:space="preserve"> </w:t>
      </w:r>
      <w:r>
        <w:rPr>
          <w:rFonts w:ascii="Arial" w:cs="Arial" w:eastAsia="Arial" w:hAnsi="Arial"/>
          <w:sz w:val="18"/>
          <w:szCs w:val="18"/>
          <w:color w:val="auto"/>
        </w:rPr>
        <w:t>unaffiliated lenders. We recognize the fee revenue ratably over the life of the loan, and reserve the percentage of fees we expect not to collect. Auto title loan credit service fee revenue is included in “Consumer loan fees” on our statements of operations.</w:t>
      </w:r>
    </w:p>
    <w:p>
      <w:pPr>
        <w:spacing w:after="0" w:line="127"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i w:val="1"/>
          <w:iCs w:val="1"/>
          <w:color w:val="auto"/>
        </w:rPr>
        <w:t xml:space="preserve">Auto Title Loan Revenue — </w:t>
      </w:r>
      <w:r>
        <w:rPr>
          <w:rFonts w:ascii="Arial" w:cs="Arial" w:eastAsia="Arial" w:hAnsi="Arial"/>
          <w:sz w:val="18"/>
          <w:szCs w:val="18"/>
          <w:color w:val="auto"/>
        </w:rPr>
        <w:t>We accrue fees in accordance with state laws on the percentage of auto title loans we have made that we believe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collectible. We recognize the fee revenue ratably over the life of the loan. Auto title loan revenue is included in “Consumer loan fees” on our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Debt and Allowance For Losses</w:t>
      </w:r>
    </w:p>
    <w:p>
      <w:pPr>
        <w:spacing w:after="0" w:line="171"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i w:val="1"/>
          <w:iCs w:val="1"/>
          <w:color w:val="auto"/>
        </w:rPr>
        <w:t xml:space="preserve">Unsecured Consumer Loan Credit Service Bad Debt — </w:t>
      </w:r>
      <w:r>
        <w:rPr>
          <w:rFonts w:ascii="Arial" w:cs="Arial" w:eastAsia="Arial" w:hAnsi="Arial"/>
          <w:sz w:val="17"/>
          <w:szCs w:val="17"/>
          <w:color w:val="auto"/>
        </w:rPr>
        <w:t>We issue letters of credit to enhance the creditworthiness of our customers seeking unsecured</w:t>
      </w:r>
      <w:r>
        <w:rPr>
          <w:rFonts w:ascii="Arial" w:cs="Arial" w:eastAsia="Arial" w:hAnsi="Arial"/>
          <w:sz w:val="17"/>
          <w:szCs w:val="17"/>
          <w:i w:val="1"/>
          <w:iCs w:val="1"/>
          <w:color w:val="auto"/>
        </w:rPr>
        <w:t xml:space="preserve"> </w:t>
      </w:r>
      <w:r>
        <w:rPr>
          <w:rFonts w:ascii="Arial" w:cs="Arial" w:eastAsia="Arial" w:hAnsi="Arial"/>
          <w:sz w:val="17"/>
          <w:szCs w:val="17"/>
          <w:color w:val="auto"/>
        </w:rPr>
        <w:t>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consumer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w:t>
      </w:r>
    </w:p>
    <w:p>
      <w:pPr>
        <w:spacing w:after="0" w:line="124" w:lineRule="exact"/>
        <w:rPr>
          <w:sz w:val="20"/>
          <w:szCs w:val="20"/>
          <w:color w:val="auto"/>
        </w:rPr>
      </w:pPr>
    </w:p>
    <w:p>
      <w:pPr>
        <w:ind w:left="340" w:right="80"/>
        <w:spacing w:after="0" w:line="279" w:lineRule="auto"/>
        <w:rPr>
          <w:sz w:val="20"/>
          <w:szCs w:val="20"/>
          <w:color w:val="auto"/>
        </w:rPr>
      </w:pPr>
      <w:r>
        <w:rPr>
          <w:rFonts w:ascii="Arial" w:cs="Arial" w:eastAsia="Arial" w:hAnsi="Arial"/>
          <w:sz w:val="17"/>
          <w:szCs w:val="17"/>
          <w:color w:val="auto"/>
        </w:rPr>
        <w:t>The majority of our credit service customers obtain short-term unsecured loans with a single maturity date. These short-term loans, with terms averaging about 16 days, are considered defaulted if they have not been repaid or renewed by the maturity date. Other credit service customers obtain multiple-payment loans with a series of payments due over as much as a seven-month period. If one payment of multiple-payment loan is delinquent, that one payment is considered defaulted. If more than one payment is delinquent at any time, the entire loan is considered defaulted.</w:t>
      </w:r>
    </w:p>
    <w:p>
      <w:pPr>
        <w:spacing w:after="0" w:line="117"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i w:val="1"/>
          <w:iCs w:val="1"/>
          <w:color w:val="auto"/>
        </w:rPr>
        <w:t xml:space="preserve">Allowance for Losses on Unsecured Consumer Loan Credit Services — </w:t>
      </w:r>
      <w:r>
        <w:rPr>
          <w:rFonts w:ascii="Arial" w:cs="Arial" w:eastAsia="Arial" w:hAnsi="Arial"/>
          <w:sz w:val="17"/>
          <w:szCs w:val="17"/>
          <w:color w:val="auto"/>
        </w:rPr>
        <w:t>We provide an allowance for losses we expect to incur under letters of credit for</w:t>
      </w:r>
      <w:r>
        <w:rPr>
          <w:rFonts w:ascii="Arial" w:cs="Arial" w:eastAsia="Arial" w:hAnsi="Arial"/>
          <w:sz w:val="17"/>
          <w:szCs w:val="17"/>
          <w:i w:val="1"/>
          <w:iCs w:val="1"/>
          <w:color w:val="auto"/>
        </w:rPr>
        <w:t xml:space="preserve"> </w:t>
      </w:r>
      <w:r>
        <w:rPr>
          <w:rFonts w:ascii="Arial" w:cs="Arial" w:eastAsia="Arial" w:hAnsi="Arial"/>
          <w:sz w:val="17"/>
          <w:szCs w:val="17"/>
          <w:color w:val="auto"/>
        </w:rPr>
        <w:t>brokered unsecured loans that have not yet matured. The allowance is based on recent loan default experience adjusted for seasonal variations. It includes all amounts we expect to pay to the unaffiliated lenders upon loan default, including loan principal, accrued interest, insufficient funds fees and late fees, net of the amounts we expect to collect from borrowers (collectively, “Expected LOC Losses”). Changes in the allowance are charged to consumer loan bad debt. We include the balance of Expected LOC Losses in “Accounts payable and other accrued expenses” on our balance sheets. Based on the expected loss and collection percentages, we also provide an allowance for the unsecured loan credit service fees we expect not to collect, and charge changes in this allowance to consumer loan fee revenue.</w:t>
      </w:r>
    </w:p>
    <w:p>
      <w:pPr>
        <w:spacing w:after="0" w:line="124"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i w:val="1"/>
          <w:iCs w:val="1"/>
          <w:color w:val="auto"/>
        </w:rPr>
        <w:t xml:space="preserve">Unsecured Consumer Loan Bad Debt — </w:t>
      </w:r>
      <w:r>
        <w:rPr>
          <w:rFonts w:ascii="Arial" w:cs="Arial" w:eastAsia="Arial" w:hAnsi="Arial"/>
          <w:sz w:val="17"/>
          <w:szCs w:val="17"/>
          <w:color w:val="auto"/>
        </w:rPr>
        <w:t>We consider a single-payment loan defaulted if it has not been repaid or renewed by the maturity date. If one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We record collections of principal as a reduction of consumer loan bad debt when collected. After attempting collection of bad debts internally, we occasionally sell them to an unaffiliated company as another method of recovery and record the proceeds from such sales as a reduction of bad debt at the time of sale.</w:t>
      </w:r>
    </w:p>
    <w:p>
      <w:pPr>
        <w:spacing w:after="0" w:line="124" w:lineRule="exact"/>
        <w:rPr>
          <w:sz w:val="20"/>
          <w:szCs w:val="20"/>
          <w:color w:val="auto"/>
        </w:rPr>
      </w:pPr>
    </w:p>
    <w:p>
      <w:pPr>
        <w:ind w:left="340" w:right="260"/>
        <w:spacing w:after="0" w:line="286" w:lineRule="auto"/>
        <w:rPr>
          <w:sz w:val="20"/>
          <w:szCs w:val="20"/>
          <w:color w:val="auto"/>
        </w:rPr>
      </w:pPr>
      <w:r>
        <w:rPr>
          <w:rFonts w:ascii="Arial" w:cs="Arial" w:eastAsia="Arial" w:hAnsi="Arial"/>
          <w:sz w:val="17"/>
          <w:szCs w:val="17"/>
          <w:i w:val="1"/>
          <w:iCs w:val="1"/>
          <w:color w:val="auto"/>
        </w:rPr>
        <w:t xml:space="preserve">Unsecured Consumer Loan Allowance for Losses — </w:t>
      </w:r>
      <w:r>
        <w:rPr>
          <w:rFonts w:ascii="Arial" w:cs="Arial" w:eastAsia="Arial" w:hAnsi="Arial"/>
          <w:sz w:val="17"/>
          <w:szCs w:val="17"/>
          <w:color w:val="auto"/>
        </w:rPr>
        <w:t>We provide an allowance for losses on unsecured loans that have not yet matured and related fees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based on recent loan default experience adjusted for seasonal variations. We charge any changes in the principal valuation allowance to consumer loan bad debt. We record changes in the fee receivable valuation allowance to consumer loan fee revenue.</w:t>
      </w:r>
    </w:p>
    <w:p>
      <w:pPr>
        <w:spacing w:after="0" w:line="111"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i w:val="1"/>
          <w:iCs w:val="1"/>
          <w:color w:val="auto"/>
        </w:rPr>
        <w:t xml:space="preserve">Long-Term Unsecured Consumer Loan Bad Debt — </w:t>
      </w:r>
      <w:r>
        <w:rPr>
          <w:rFonts w:ascii="Arial" w:cs="Arial" w:eastAsia="Arial" w:hAnsi="Arial"/>
          <w:sz w:val="16"/>
          <w:szCs w:val="16"/>
          <w:color w:val="auto"/>
        </w:rPr>
        <w:t>Consumer loans made by Crediamigo are considered in current status as long as the customer is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employed and Crediamigo receives payments via payroll withholdings. Loans made to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Crediamigo charges the loan principal to consumer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loan bad debt upon default, leaving only active loans in the reported balance. Collections of principal are recorded as a reduction of consumer loan bad debt when collected.</w:t>
      </w:r>
    </w:p>
    <w:p>
      <w:pPr>
        <w:spacing w:after="0" w:line="116" w:lineRule="exact"/>
        <w:rPr>
          <w:sz w:val="20"/>
          <w:szCs w:val="20"/>
          <w:color w:val="auto"/>
        </w:rPr>
      </w:pPr>
    </w:p>
    <w:p>
      <w:pPr>
        <w:ind w:left="340" w:right="160"/>
        <w:spacing w:after="0" w:line="286" w:lineRule="auto"/>
        <w:rPr>
          <w:sz w:val="20"/>
          <w:szCs w:val="20"/>
          <w:color w:val="auto"/>
        </w:rPr>
      </w:pPr>
      <w:r>
        <w:rPr>
          <w:rFonts w:ascii="Arial" w:cs="Arial" w:eastAsia="Arial" w:hAnsi="Arial"/>
          <w:sz w:val="17"/>
          <w:szCs w:val="17"/>
          <w:i w:val="1"/>
          <w:iCs w:val="1"/>
          <w:color w:val="auto"/>
        </w:rPr>
        <w:t xml:space="preserve">Long-Term Unsecured Consumer Loan Allowance for Losses — </w:t>
      </w:r>
      <w:r>
        <w:rPr>
          <w:rFonts w:ascii="Arial" w:cs="Arial" w:eastAsia="Arial" w:hAnsi="Arial"/>
          <w:sz w:val="17"/>
          <w:szCs w:val="17"/>
          <w:color w:val="auto"/>
        </w:rPr>
        <w:t>Crediamigo provides an allowance for losses on consumer loans that have not yet</w:t>
      </w:r>
      <w:r>
        <w:rPr>
          <w:rFonts w:ascii="Arial" w:cs="Arial" w:eastAsia="Arial" w:hAnsi="Arial"/>
          <w:sz w:val="17"/>
          <w:szCs w:val="17"/>
          <w:i w:val="1"/>
          <w:iCs w:val="1"/>
          <w:color w:val="auto"/>
        </w:rPr>
        <w:t xml:space="preserve"> </w:t>
      </w:r>
      <w:r>
        <w:rPr>
          <w:rFonts w:ascii="Arial" w:cs="Arial" w:eastAsia="Arial" w:hAnsi="Arial"/>
          <w:sz w:val="17"/>
          <w:szCs w:val="17"/>
          <w:color w:val="auto"/>
        </w:rPr>
        <w:t>matured and related fees receivable based on recent loan default experience. Changes in the principal valuation allowance are charged to consumer loan bad debt and changes in the interest receivable valuation allowance are charged to consumer loan fee revenue.</w:t>
      </w:r>
    </w:p>
    <w:p>
      <w:pPr>
        <w:spacing w:after="0" w:line="111"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i w:val="1"/>
          <w:iCs w:val="1"/>
          <w:color w:val="auto"/>
        </w:rPr>
        <w:t xml:space="preserve">Auto Title Loan Credit Services Bad Debt and Allowance for Losses — </w:t>
      </w:r>
      <w:r>
        <w:rPr>
          <w:rFonts w:ascii="Arial" w:cs="Arial" w:eastAsia="Arial" w:hAnsi="Arial"/>
          <w:sz w:val="17"/>
          <w:szCs w:val="17"/>
          <w:color w:val="auto"/>
        </w:rPr>
        <w:t>We issue letters of credit to enhance the creditworthiness of our customers seeking</w:t>
      </w:r>
      <w:r>
        <w:rPr>
          <w:rFonts w:ascii="Arial" w:cs="Arial" w:eastAsia="Arial" w:hAnsi="Arial"/>
          <w:sz w:val="17"/>
          <w:szCs w:val="17"/>
          <w:i w:val="1"/>
          <w:iCs w:val="1"/>
          <w:color w:val="auto"/>
        </w:rPr>
        <w:t xml:space="preserve"> </w:t>
      </w:r>
      <w:r>
        <w:rPr>
          <w:rFonts w:ascii="Arial" w:cs="Arial" w:eastAsia="Arial" w:hAnsi="Arial"/>
          <w:sz w:val="17"/>
          <w:szCs w:val="17"/>
          <w:color w:val="auto"/>
        </w:rPr>
        <w:t>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w:t>
      </w:r>
    </w:p>
    <w:p>
      <w:pPr>
        <w:spacing w:after="0" w:line="124"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i w:val="1"/>
          <w:iCs w:val="1"/>
          <w:color w:val="auto"/>
        </w:rPr>
        <w:t xml:space="preserve">Auto Title Loan Bad Debt and Allowance for Losses — </w:t>
      </w:r>
      <w:r>
        <w:rPr>
          <w:rFonts w:ascii="Arial" w:cs="Arial" w:eastAsia="Arial" w:hAnsi="Arial"/>
          <w:sz w:val="18"/>
          <w:szCs w:val="18"/>
          <w:color w:val="auto"/>
        </w:rPr>
        <w:t>Based on historical collection experience, the age of past-due loans and amounts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through the sale of repossessed vehicles, we provide an allowance for losses on auto title loans and related fees receivable. We charge any increases in the principal valuation allowance to consumer loan bad debt and charge uncollectable loans against this allowance. We record changes in the fee receivable valuation allowance to consumer loan fee revenue.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Cost of Goods Sold</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 pawn loan is not redeemed, we record the forfeited collateral at cost (the principal amount of the pawn loan). We do not record loan loss allowances or charge-offs on the principal portion of pawn loans, as they are fully collateralized.</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to state inventory at the lower of cost (specific identification) or market value, we record an allowance for excess, obsolete or slow moving inventory based on the type and age of merchandise. We include in cost of goods sold the historical cost of inventory sold, inventory shrinkage and any change in the allowance for inventory shrinkage and valuation. We also include the cost of operating our central jewelry processing unit, as it relates directly to sales of precious metals to refiners.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Cash Concentrations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Cash and cash equivalents consist primarily of cash on deposit or highly liquid investments or mutual funds with original contractual maturities of three months or less.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 Restricted cash amounts represent amounts that can only be used to settle liabilities of Crediamigo's securitization trust or for interest payments on Crediamigo's debt. See Note 8, “Long-Term Debt and Capital Lease Obligations.”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capitalize certain costs incurred in connection with developing or obtaining software for internal use and amortize the costs by the straight-line method over the estimated useful lives of each system, typically five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Layaway Deposits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Customer layaway deposits are recorded as deferred revenue until we collect the entire related sales price and deliver the related merchandise to the customer.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Goodwill and other intangible assets having indefinite lives are not subject to amortization. In fiscal 2012 we early adopted the Financial Accounting Standards Board "FASB" issued Accounting Standards Update "ASU"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xml:space="preserve"> and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which allows for a level of qualitative review for potential impairment of an indefinite lived asset. We review qualitative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indicators annually on July 1st, or more frequently if necessary, to identify potential areas of risk for impairment. If there is an indicator that the fair market value of the segment has potentially dropped below the carrying value, then a full valuation of the segment is performed, using analyses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flows and other market valuation methods. We amortize intangible assets with definite lives over their estimated useful lives using the straight-line method.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record property and equipment at cost. We depreciate these assets on a straight-line basis using estimated useful lives of 30 years for buildings and 2 to 7 years for furniture, equipment and software development costs. We depreciate leasehold improvements over the shorter of their estimated useful life (typically 10 years) or the reasonably assured lease term at the inception of the lease.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Tangible Long-Lived Assets</w:t>
      </w:r>
    </w:p>
    <w:p>
      <w:pPr>
        <w:spacing w:after="0" w:line="175"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When we determine that the net recorded amount of tangible long-lived assets may not be recoverable, we measure impairment based on the excess of the assets’ net recorded amount over the estimated fair value.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record all derivative instruments according to FASB ASC 815-20-25, “Derivatives and Hedging – Recognition.” Accounting for changes in the fair value of derivatives is determined by the intended use of the derivative, whether it is designated as a hedge and whether the hedging relationship is effective in achieving offsetting changes for the risk being hedged. Derivatives designated to hedge the changes in the fair value of an asset, liability or firm commitment due to an identified risk in the hedged item, such as interest rate risk or foreign currency exchange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cash flow hedge. We may enter into derivative contracts that are intended to economically hedge certain of our risks, even though hedge accounting does not apply or we elect not to apply hedge accounting.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adopted FASB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immediately expense transaction costs that would have been included in the purchase price allocation under previous accounting standards.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7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equity investments in Albemarle &amp; Bond and Cash Converters International are translated from British pounds and Australian dollars, respectively, into U.S. dollars at the exchange rates as of the investees’ balance sheet date of June 30. The related interest in the investees’ net income is translated at the average exchange rates for each six-month period reported by the investees. The functional currency of Empeño Fácil, our wholly-owned subsidiary, and Crediamigo, our 60% owned subsidiary, is the Mexican peso. The functional currency of our wholly-owned foreign subsidiary in Canada is the Canadian dollar, and the functional currency of Cash Genie, our 72% owned subsidiary, is the British Pound. Our foreign subsidiaries'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as a separate component of stockholders’ equity. Foreign currency transaction gains and losses have not been significant, and are reported as “Other” (income) or expense in our statements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of Consumer Loans</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majority-owned subsidiary, Crediamigo, periodically transfers certain consumer loans to a bankruptcy remote trust in securitization transactions. These securitizations are accounted for as secured borrowings, and no gains or losses are recognized at the time of the transaction. Secured borrowings are transactions involving transfers of financial assets that are accounted for as financings with the assets pledged as collateral. We consolidate the assets and liabilities of the trust and disclose on our consolidated balance sheet the consolidated assets and liabilities of the trust that can only be used to settle its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Expense</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Included in operations expense are costs related to operating our stores. These costs include labor, other direct expenses such as utilities, supplies and banking fees, and indirect expenses such as store rent, building repairs and maintenance, advertising, store property taxes and insurance, regional and area management expenses and the costs of our bad debt collection center.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w:t>
      </w:r>
    </w:p>
    <w:p>
      <w:pPr>
        <w:spacing w:after="0" w:line="1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Included in administrative expense are costs related to our executive and administrative offices. This includes executive and administrative salaries, wages, stock and incentive compensation, professional fees, license fees and costs related to the operation of our administrative offices such as rent, property taxes, insurance and information technology.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expense advertising costs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would be charged to earnings in the period such determination is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When we grant options, our policy is to estimate the grant-date fair value of the options using the Black-Scholes-Merton option-pricing model and amortize that fair value to compensation expense on a ratable basis over the options’ vesting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Generally accepted accounting principles require us to make estimates and assumptions that affect the amounts reported in the financial statements and accompanying notes. Actual results could differ materially from those estimates.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Previously, we reported segment information based primarily on product offerings. Beginning with the second quarter of fiscal 2012, we redefined our reportable operating segments based on geography as our company is increasingly being organized and managed along geographic lines, with product offerings and channels based on local custom and regulation. For this reason, we concluded that segment reporting based on geography more closely aligns with our management organization and strategic direction. In connection with the new segment structure, we have changed the accountability for, and reporting of, certain items including administrative expenses, depreciation and amortization, interest and our equity in the net income of unconsolidated affiliates. When practical, these items are allocated to segments. Interest is also allocated to operating segments when debt is incurred at the local country level and is nonrecourse to EZCORP, Inc. These items are now included in the segment’s measure of profit or loss (“segment contribution”). Expenses that cannot be allocated are included as corporate expenses.</w:t>
      </w:r>
    </w:p>
    <w:p>
      <w:pPr>
        <w:spacing w:after="0" w:line="1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our second fiscal quarter of 2011,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 throughout management’s discussion and analysis.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October 2012, the FASB ASU 2012-04, </w:t>
      </w:r>
      <w:r>
        <w:rPr>
          <w:rFonts w:ascii="Arial" w:cs="Arial" w:eastAsia="Arial" w:hAnsi="Arial"/>
          <w:sz w:val="17"/>
          <w:szCs w:val="17"/>
          <w:i w:val="1"/>
          <w:iCs w:val="1"/>
          <w:color w:val="auto"/>
        </w:rPr>
        <w:t>Technical Corrections and Improvements.</w:t>
      </w:r>
      <w:r>
        <w:rPr>
          <w:rFonts w:ascii="Arial" w:cs="Arial" w:eastAsia="Arial" w:hAnsi="Arial"/>
          <w:sz w:val="17"/>
          <w:szCs w:val="17"/>
          <w:color w:val="auto"/>
        </w:rPr>
        <w:t xml:space="preserve"> This update clarifies the Codification or corrects unintended application of guidance and includes amendments identifying when the use of fair value should be linked to the definition of fair value in Topic 820, Fair Value Measurement. Amendments to the Codification without transition guidance are effective upon issuance for both public and nonpublic entities. For public entities, amendments subject to transition guidance will be effective for fiscal periods beginning after December 15, 2012. We do not anticipate that the adoption of ASU 2012-04 will have a material effect on our financial position, results of operations or cash flows.</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December 2011, the FASB issued ASU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January 1, 2013. Disclosures are required retrospectively for all comparative periods presented. Currently, we do not enter into any right of offset arrangements and we do not anticipate that the adoption of ASU 2011-11 will have a material effect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2012, the FASB issued ASU 2012-03, </w:t>
      </w:r>
      <w:r>
        <w:rPr>
          <w:rFonts w:ascii="Arial" w:cs="Arial" w:eastAsia="Arial" w:hAnsi="Arial"/>
          <w:sz w:val="18"/>
          <w:szCs w:val="18"/>
          <w:i w:val="1"/>
          <w:iCs w:val="1"/>
          <w:color w:val="auto"/>
        </w:rPr>
        <w:t>Technical Amendments and Corrections to SEC Sections—Amendments to SEC Paragraphs Pursuant to SEC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Staff Accounting Bulletin No. 114, Technical Amendments Pursuant to SEC Release No. 33-9250, and Corrections Related to FASB Accounting Standards Update 2010-22. </w:t>
      </w:r>
      <w:r>
        <w:rPr>
          <w:rFonts w:ascii="Arial" w:cs="Arial" w:eastAsia="Arial" w:hAnsi="Arial"/>
          <w:sz w:val="18"/>
          <w:szCs w:val="18"/>
          <w:color w:val="auto"/>
        </w:rPr>
        <w:t>This update Amends various SEC paragraphs pursuant to the issuance of Staff Accounting Bulletin No. 114; pursuant to the issuance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SEC’s Final Rule, “Technical Amendments to Commission Rules and Forms Related to the FASB’s Accounting Standards Codification,” Release Nos. 33-9250, 34-65052, and IC-29748 August 8, 2011; and related to ASU 2010-22, </w:t>
      </w:r>
      <w:r>
        <w:rPr>
          <w:rFonts w:ascii="Arial" w:cs="Arial" w:eastAsia="Arial" w:hAnsi="Arial"/>
          <w:sz w:val="18"/>
          <w:szCs w:val="18"/>
          <w:i w:val="1"/>
          <w:iCs w:val="1"/>
          <w:color w:val="auto"/>
        </w:rPr>
        <w:t>Accounting for Various Topics</w:t>
      </w:r>
      <w:r>
        <w:rPr>
          <w:rFonts w:ascii="Arial" w:cs="Arial" w:eastAsia="Arial" w:hAnsi="Arial"/>
          <w:sz w:val="18"/>
          <w:szCs w:val="18"/>
          <w:color w:val="auto"/>
        </w:rPr>
        <w:t>. The amendments in this update are effective upon issuance. We adopted this update during our interim period beginning July 1, 2012 with no material effect on our financial position, results of operations or cash flows.</w:t>
      </w:r>
    </w:p>
    <w:p>
      <w:pPr>
        <w:spacing w:after="0" w:line="13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July 2012, the FASB issued Accounting Standards Updates ("ASU") 2012-02,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This update amends FASB ASC 350 (Intangibles – Goodwill and Other) by allowing entities to first assess qualitative factors to determine whether it is necessary to perform a quantitative impairment test. The amendments in this update are effective for annual and interim impairment tests performed for fiscal years beginning on or after September 15, 2012. We early adopted this ASU 2012-02 in our interim period beginning July 1, 2012 with no material effect on our financial position, results of operations or cash flows.</w:t>
      </w:r>
    </w:p>
    <w:p>
      <w:pPr>
        <w:spacing w:after="0" w:line="1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September 2011, the FASB issued ASU 2011-08,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xml:space="preserve"> This update amends FASB ASC 350 (Intangibles – Goodwill and Other) by allowing entities to first assess qualitative factors to determine whether it is necessary to perform the two-step quantitative goodwill impairment test. The amendments in this update are effective for annual and interim goodwill impairment tests performed for fiscal years beginning on or after December 15, 2011. We early adopted this ASU 2011-08 in our interim period beginning July 1, 2012 with no material effect on our financial position, results of operations or cash flows.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May 2011, the FASB issued ASU 2011-04, </w:t>
      </w:r>
      <w:r>
        <w:rPr>
          <w:rFonts w:ascii="Arial" w:cs="Arial" w:eastAsia="Arial" w:hAnsi="Arial"/>
          <w:sz w:val="16"/>
          <w:szCs w:val="16"/>
          <w:i w:val="1"/>
          <w:iCs w:val="1"/>
          <w:color w:val="auto"/>
        </w:rPr>
        <w:t>Amendments to Achieve Common Fair Value Measurement and Disclosure Requirements in U.S. 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Accepted Accounting Principles (“GAAP”) and International Financial Reporting Standards (“IFRS”). </w:t>
      </w:r>
      <w:r>
        <w:rPr>
          <w:rFonts w:ascii="Arial" w:cs="Arial" w:eastAsia="Arial" w:hAnsi="Arial"/>
          <w:sz w:val="16"/>
          <w:szCs w:val="16"/>
          <w:color w:val="auto"/>
        </w:rPr>
        <w:t>This update amends FASB ASC 820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by providing common principles and requirements for measuring fair value, as well as similar disclosure requirements between U.S. GAAP and IFRS. It changes certain fair value measurement principles, clarifies the application of existing fair value concepts, and expands disclosure requirements, particularly for Level 3 fair value measurements. ASU 2011-04 is effective for interim and annual periods beginning on or after December 15, 2011. We adopted ASU 2011-04 in our interim period beginning January 1, 2012 with no material effect on our financial position, results of operations or cash flows.</w:t>
      </w:r>
    </w:p>
    <w:p>
      <w:pPr>
        <w:spacing w:after="0" w:line="1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December 2011, the FASB issued ASU 2011-12, </w:t>
      </w:r>
      <w:r>
        <w:rPr>
          <w:rFonts w:ascii="Arial" w:cs="Arial" w:eastAsia="Arial" w:hAnsi="Arial"/>
          <w:sz w:val="16"/>
          <w:szCs w:val="16"/>
          <w:i w:val="1"/>
          <w:iCs w:val="1"/>
          <w:color w:val="auto"/>
        </w:rPr>
        <w:t>Deferral of the Effective Date for Amendments to the Presentation of Reclassifications of Items Out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Accumulated Other Comprehensive Income in ASU 2011-05. </w:t>
      </w:r>
      <w:r>
        <w:rPr>
          <w:rFonts w:ascii="Arial" w:cs="Arial" w:eastAsia="Arial" w:hAnsi="Arial"/>
          <w:sz w:val="16"/>
          <w:szCs w:val="16"/>
          <w:color w:val="auto"/>
        </w:rPr>
        <w:t>This update supersedes certain content in ASU 2011-05</w:t>
      </w:r>
      <w:r>
        <w:rPr>
          <w:rFonts w:ascii="Arial" w:cs="Arial" w:eastAsia="Arial" w:hAnsi="Arial"/>
          <w:sz w:val="16"/>
          <w:szCs w:val="16"/>
          <w:i w:val="1"/>
          <w:iCs w:val="1"/>
          <w:color w:val="auto"/>
        </w:rPr>
        <w:t xml:space="preserve"> Presentation of Comprehensive Income </w:t>
      </w:r>
      <w:r>
        <w:rPr>
          <w:rFonts w:ascii="Arial" w:cs="Arial" w:eastAsia="Arial" w:hAnsi="Arial"/>
          <w:sz w:val="16"/>
          <w:szCs w:val="16"/>
          <w:color w:val="auto"/>
        </w:rPr>
        <w:t>that requires entities to present on the face of the financial statements reclassification adjustments for items that are reclassified from other comprehensive income to net income in the statements where the components of net income and the components of other comprehensive income are presented. This update is effective for fiscal years, and interim periods within those years, beginning after December 15, 2011. All other requirements in ASU 2011-05, including the requirement to report comprehensive income in either a single continuous financial statement or in two separate but consecutive financial statements, were not affected by ASU 2011-12. This update is effective for fiscal years beginning on or after December 15, 2011. We early adopted this amended standard in our fiscal year beginning October 1, 2011 with no effect on our financial position, results of operations or cash flows.</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December 2010, the FASB issued ASU 2010-29, </w:t>
      </w:r>
      <w:r>
        <w:rPr>
          <w:rFonts w:ascii="Arial" w:cs="Arial" w:eastAsia="Arial" w:hAnsi="Arial"/>
          <w:sz w:val="17"/>
          <w:szCs w:val="17"/>
          <w:i w:val="1"/>
          <w:iCs w:val="1"/>
          <w:color w:val="auto"/>
        </w:rPr>
        <w:t>Disclosure of Supplementary Pro Forma Information for Business Combinations</w:t>
      </w:r>
      <w:r>
        <w:rPr>
          <w:rFonts w:ascii="Arial" w:cs="Arial" w:eastAsia="Arial" w:hAnsi="Arial"/>
          <w:sz w:val="17"/>
          <w:szCs w:val="17"/>
          <w:color w:val="auto"/>
        </w:rPr>
        <w:t>. The amendments in this update specify that, when presenting comparative financial statements, entities should disclose revenue and earnings of the combined entity as though the business combinations that occurred during the current year had occurred as of the beginning of the comparable prior annual reporting period. ASU 2010-29 also expands the supplemental pro forma disclosures to include a description of the nature and amount of material, nonrecurring pro forma adjustments directly attributable to the business combination included in the reported pro forma revenue and earnings. The amendments are effective prospectively for material (on an individual or an aggregate basis) business combinations entered into in fiscal years beginning on or after December 15, 2010. We adopted this amended standard on October 1, 2011, resulting in no effect on our financial position, operations or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Crediamigo</w:t>
      </w:r>
    </w:p>
    <w:p>
      <w:pPr>
        <w:spacing w:after="0" w:line="17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On January 30, 2012, we acquired a 60% interest in Crediamigo, a specialty consumer finance company headquartered in Mexico City. The total consideration of $60.1 million, net of cash acquired, includes contingent consideration related to two earn out payments. If certain financial performance targets are achieved during calendar years 2012 and 2013, we will make a payment to the sellers of $12.0 million dollars, each year, for a total amount of $24.0 million dollars. The purchase price above includes a fair value amount of $23.0 million attributable to the contingent consideration payments. This amount was calculated using a probability-weighted discounted cash flow approach, in which all outcomes were successful. The significant inputs used for the valuation are not observable in the market, and thus this fair value measurement represents a Level 3 measurement within the fair value hierarchy.</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the Master Transaction Agreement, the sellers have a put option with respect to their remaining shares of Crediamigo. Each seller has the right to sell their Crediamigo shares to us during the exercise period commencing on January 30, 2014 and ending on January 30, 2017 , with no more than 50% of the seller's shares being sold within a consecutive twelve-month period. Under the guidance in ASC 480-10-S99, securities that are redeemable for cash or other assets are to be classified outside of permanent equity; therefore, we have included the redeemable noncontrolling interest related to Crediamigo in temporary equity.</w:t>
      </w:r>
    </w:p>
    <w:p>
      <w:pPr>
        <w:spacing w:after="0" w:line="1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fair value of the redeemable noncontrolling interest in Crediamigo was estimated by applying an income approach and a market approach. This fair value measurement is based on significant inputs that are not observable in the market and thus represents a Level 3 measurement. Key assumptions include discount rates ranging from 10% to 18%, representing discounts for lack of control and lack of marketability that market participants would consider when estimating the fair value of the noncontrolling interest. The fair market value of Crediamigo was determined using a multiple of future earnings.</w:t>
      </w:r>
    </w:p>
    <w:p>
      <w:pPr>
        <w:spacing w:after="0" w:line="10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year ended September 30, 2012, includes $27.7 million in total revenues and $10.1 million in income attributable to EZCORP, Inc. related to the Crediamigo acquisition. The purchase price allocation is preliminary as we continue to receive information regarding the acquired assets. We have recorded provisional amounts for certain assets and liabilities for which we have not yet received all information necessary to finalize our assessment.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Genie</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April 14, 2012, we acquired a 72% interest in Ariste Holding Limited and its affiliates, which provides online loans in the U.K under the name "Cash Genie." As this acquisition was individually immaterial, we present its related information, other than information related to the redeemable noncontrolling interest, on a combined basis.</w:t>
      </w:r>
    </w:p>
    <w:p>
      <w:pPr>
        <w:spacing w:after="0" w:line="1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Pursuant to the acquisition agreement, the sellers have a put option with respect to their remaining shares of Cash Genie. Each of the sellers has the right to sell his Cash Genie shares to us for cash, during the exercise period commencing on April 14, 2014 and ending on April 14, 2016, with no more than 50% of the seller's shares being sold within a consecutive 12-month period. In addition, each of the sellers has the right to sell his Cash Genie shares to us in exchange for shares of Class A non-voting common stock at any time after April 14, 2012. Under the guidance in ASC 480-10-S99, securities that are redeemable for cash or other assets are to be classified outside of permanent equity; therefore, we have included the redeemable noncontrolling interest related to Cash Genie in temporary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Effective November 13, 2012, we increased out ownership in Cash Genie to 95%. See Note 24, “Subsequent Events.”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fair value of the Cash Genie redeemable noncontrolling interest was estimated by applying an income and market approach. This fair value measurement is based on significant inputs that are not observable in the market and thus represents a Level 3 measurement. Key assumptions include discount rates ranging from 10% to 18%, representing discounts for lack of control and lack of marketability that market participants would consider when estimating the fair value of the noncontrolling interest. The fair market value of Cash Genie was determined using a multiple of future earnings.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year ended September 30, 2012, includes the acquisition of 50 locations in the U.S. and one in Canada. As these acquisitions were individually immaterial, we present their related information on a combined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related to domestic and foreign acquisitions for the years ended September 30, 2012, 2011 and 2010: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Fiscal 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2012</w:t>
            </w:r>
          </w:p>
        </w:tc>
        <w:tc>
          <w:tcPr>
            <w:tcW w:w="1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212"/>
              <w:spacing w:after="0"/>
              <w:rPr>
                <w:sz w:val="20"/>
                <w:szCs w:val="20"/>
                <w:color w:val="auto"/>
              </w:rPr>
            </w:pPr>
            <w:r>
              <w:rPr>
                <w:rFonts w:ascii="Arial" w:cs="Arial" w:eastAsia="Arial" w:hAnsi="Arial"/>
                <w:sz w:val="14"/>
                <w:szCs w:val="14"/>
                <w:b w:val="1"/>
                <w:bCs w:val="1"/>
                <w:color w:val="auto"/>
              </w:rPr>
              <w:t>Crediamigo</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Acquisitions</w:t>
            </w:r>
          </w:p>
        </w:tc>
        <w:tc>
          <w:tcPr>
            <w:tcW w:w="480" w:type="dxa"/>
            <w:vAlign w:val="bottom"/>
          </w:tcPr>
          <w:p>
            <w:pPr>
              <w:spacing w:after="0"/>
              <w:rPr>
                <w:sz w:val="22"/>
                <w:szCs w:val="22"/>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asset purchase acquisitions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stock purchase acquisitions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stores acquired</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stores acquired</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stores acquired</w:t>
            </w: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Fiscal Year Ended September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2012</w:t>
            </w:r>
          </w:p>
        </w:tc>
        <w:tc>
          <w:tcPr>
            <w:tcW w:w="1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Crediamigo</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Other Acquisitions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3"/>
          </w:tcPr>
          <w:p>
            <w:pPr>
              <w:jc w:val="center"/>
              <w:ind w:left="755"/>
              <w:spacing w:after="0"/>
              <w:rPr>
                <w:sz w:val="20"/>
                <w:szCs w:val="20"/>
                <w:color w:val="auto"/>
              </w:rPr>
            </w:pPr>
            <w:r>
              <w:rPr>
                <w:rFonts w:ascii="Arial" w:cs="Arial" w:eastAsia="Arial" w:hAnsi="Arial"/>
                <w:sz w:val="14"/>
                <w:szCs w:val="14"/>
                <w:i w:val="1"/>
                <w:iCs w:val="1"/>
                <w:color w:val="auto"/>
                <w:w w:val="94"/>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45,001</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95,415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69,057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21,864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Deferred consideration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Fair value of total consideration transferred</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73,786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113,399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76,361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21,864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acquired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60,145</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110,566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75,223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21,806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67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Fiscal 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2012</w:t>
            </w:r>
          </w:p>
        </w:tc>
        <w:tc>
          <w:tcPr>
            <w:tcW w:w="1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Crediamigo</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Other Acquisitions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Consumer loans,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charges and fees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Non-current consumer loans,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other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Customer layaway deposits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116,706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6,674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 acquired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60,145</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110,566</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75,223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21,806</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deductible for tax purposes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48,445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Indefinite lived intangible assets acquired:</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Pawn licenses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Favorable lease asset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Contractual relationship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13,900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acquisitions were made as part of our continuing strategy to enhance and diversify our earnings.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 purchase price allocation of assets acquired in the most recent twelve months is preliminary as we continue to receive information regarding the acquired assets. Transaction related expenses for the years ended September 30, 2012, 2011 and 2010 of approximately $2.2 million, $0.9 million and $0.6 million, respectively, were expensed as incurred and recorded as administrative expenses.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amounts above for the year ended September 30, 2012 include the acquisition of a decision science model for the underwriting of consumer loans, a contractual relationship with an income tax return preparer to facilitate refund anticipation loans, an online lending business in the U.K., and 15 financial services stores in Hawaii and Texas. The 15 financial services stores in Hawaii and Texas were acquired from FS Management, 1st Money Centers, Inc. and 1429 Funding, Inc., companies owned partially by Brent Turner, the former President of our eCommerce and Card Services division and a former executive officer, for total consideration of $3.0 million in cash and 387,924 shares of our Class A Non-Voting common stock. The basic terms of the acquisitions were agreed prior to the commencement of Mr. Turner's employment (and, thus, prior to Mr. Turner's becoming an executive officer), subject to our completion of appropriate due diligence and the execution of appropriate definitive documentation. Even though the terms of the acquisitions were agreed to prior to</w:t>
      </w:r>
    </w:p>
    <w:p>
      <w:pPr>
        <w:spacing w:after="0" w:line="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Mr. Turner's becoming an executive officer, we treated the transactions as related party transactions. Consequently, pursuant to our Policy for Review and Evaluation of Related Party Transactions, the Audit Committee reviewed and evaluated the terms of the acquisitions and concluded that the transactions were fair to, and in the best interest of the company and its stockholders. Mr. Turner received $2.0 million in cash and 167,811 shares of stock in connection with these acquisitions.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w:t>
      </w:r>
    </w:p>
    <w:p>
      <w:pPr>
        <w:spacing w:after="0" w:line="13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2"/>
              </w:rPr>
              <w:t>Fiscal Year Ended September 30,</w:t>
            </w:r>
          </w:p>
        </w:tc>
        <w:tc>
          <w:tcPr>
            <w:tcW w:w="90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jc w:val="center"/>
              <w:ind w:left="515"/>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i w:val="1"/>
                <w:iCs w:val="1"/>
                <w:color w:val="auto"/>
                <w:w w:val="92"/>
              </w:rPr>
              <w:t>in thousands, except per share amounts</w:t>
            </w:r>
            <w:r>
              <w:rPr>
                <w:rFonts w:ascii="Arial" w:cs="Arial" w:eastAsia="Arial" w:hAnsi="Arial"/>
                <w:sz w:val="14"/>
                <w:szCs w:val="14"/>
                <w:color w:val="auto"/>
                <w:w w:val="92"/>
              </w:rPr>
              <w:t>)</w:t>
            </w:r>
          </w:p>
        </w:tc>
        <w:tc>
          <w:tcPr>
            <w:tcW w:w="900" w:type="dxa"/>
            <w:vAlign w:val="bottom"/>
          </w:tcPr>
          <w:p>
            <w:pPr>
              <w:spacing w:after="0"/>
              <w:rPr>
                <w:sz w:val="17"/>
                <w:szCs w:val="17"/>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 (A)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143,708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122,159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97,294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outstanding shares of common stock (B)</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50,877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49,917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49,033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stock and common stock equivalents (C)</w:t>
            </w: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51,133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50,369</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49,576</w:t>
            </w: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(A/B)</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share (A/C)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1.96</w:t>
            </w:r>
          </w:p>
        </w:tc>
      </w:tr>
      <w:tr>
        <w:trPr>
          <w:trHeight w:val="23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earnings per share</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September 30, 2012, we owned 16,644,640 ordinary shares of Albemarle &amp; Bond Holdings, PLC, representing approximately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fiscal year ended September 30, 2012 represents our percentage interest in the results of Albemarle &amp; Bond’s operations from July 1, 2011 to June 30, 2012. In fiscal 2012, 2011 and 2010, we received dividends from Albemarle &amp; Bond of $3.3 million, $3.2 million and $2.3 million, respectively. Albemarle &amp; Bond’s accumulated undistributed after-tax earnings included in our consolidated retained earnings were $27.6 million at September 30, 2012.</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Conversion of Albemarle &amp; Bond’s financial statements into US Generally Accepted Accounting Principles (“GAAP”) resulted in no material differences from those reported by Albemarle &amp; Bond following International Financial Reporting Standards (“IFRS”).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its functional currency of British pounds, Albemarle &amp; Bond’s total assets increased 14% from June 30, 2011 to June 30, 2012 and its net income improved 2% for the year ended June 30, 2012. The following table presents summary financial information for Albemarle &amp; Bond’s most recently reported results after translation to U.S. dollars (using the exchange rate as of June 30 of each year for balance sheet items and average exchange rates for the income statement items for the periods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141,880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125,862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69,282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64,325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211,162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190,187</w:t>
            </w:r>
          </w:p>
        </w:tc>
      </w:tr>
      <w:tr>
        <w:trPr>
          <w:trHeight w:val="20"/>
        </w:trPr>
        <w:tc>
          <w:tcPr>
            <w:tcW w:w="7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15,772</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18,620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70,016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57,016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125,374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114,551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211,162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190,187</w:t>
            </w:r>
          </w:p>
        </w:tc>
      </w:tr>
      <w:tr>
        <w:trPr>
          <w:trHeight w:val="20"/>
        </w:trPr>
        <w:tc>
          <w:tcPr>
            <w:tcW w:w="7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81"/>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Year ended June 30,</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186,479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162,002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129,794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109,474</w:t>
            </w: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97,197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84,850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for the year (net income)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24,835</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24,324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22,792</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At September 30, 2012, the recorded balance of our investment in Albemarle &amp; Bond, accounted for on the equity method, was $51.8 million. Because Albemarle &amp; Bond publicly reports its financial results only semi-annually as of June 30 and December 31, the latest Albemarle &amp; Bond figures available are as of June 30, 2012, at which point our equity in net assets of Albemarle &amp; Bond was $37.6 million. The difference between the recorded balance and our equity in Albemarle &amp; Bond’s net assets represents the $10.0 million of unamortized goodwill, plus the cumulative difference resulting from Albemarle &amp; Bond’s earnings, dividend payments and translation gains and losses since the dates of investment. Albermarle &amp; Bond's accumulated undistributed after-tax earnings included in our consolidated retained earnings were $27.6 million at September 30, 2012.</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September 30, 2012, we owned 124,418,000 shares, or approximately 33% of the total ordinary shares of Cash Converters International Limited, which is a publicly-traded company headquartered in Perth, Australia. We acquired the shares between November 2009 and May 2010 for approximately $57.8 million. Cash Converters franchises and operates a worldwide network of approximately 700 specialty financial services and retail stores that provide pawn loans, short-term unsecured loans and other consumer finance products, and buy and sell second-hand goods. Cash Converters has significant store concentrations in Australia and the United Kingdom.</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Due to the three-month lag, income reported for our fiscal years ended September 30, 2012 and 2011 represents our percentage interest in the results of cash Converters’ operations from July 1, 2011 to June 30, 2012 and from July 1, 2010 to June 30, 2011. Our results for the twelve-month period ended September 30, 2010 include our percentage interest in Cash Converters’ 237 days of earnings from November 6, 2009 to June 30, 2010. This amount was estimated through daily proration of Cash Converters’ reported results for the twelve months ended June 30, 2010. In fiscal 2012, 2011 and 2010 we recorded dividends from Cash Converters of $4.4 million, $4.1 million and $1.5 million, respectfully. Cash Converters’ accumulated undistributed after-tax earnings included in our consolidated retained earnings were $12.8 million at September 30, 2012.</w:t>
      </w:r>
    </w:p>
    <w:p>
      <w:pPr>
        <w:spacing w:after="0" w:line="1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Conversion of Cash Converters’ financial statements into US GAAP resulted in no material differences from those reported by Cash Converters following IFRS.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its functional currency of Australian dollars, Cash Converters’ total assets increased 17% from June 30, 2011 to June 30, 2012 and its net income improved 6% for the year ended June 30, 2012. The following table presents summary financial information for Cash Converters’ most recently reported results after translation to U.S. dollars (using the exchange rate as of June 30 of each year for balance sheet items and average exchange rates for the income statement items for the periods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4"/>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137,646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119,633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129,274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117,301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266,920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236,934</w:t>
            </w: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45,392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38,105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19,180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189,600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179,649</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266,920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236,934</w:t>
            </w: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81"/>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4"/>
                <w:szCs w:val="14"/>
                <w:b w:val="1"/>
                <w:bCs w:val="1"/>
                <w:color w:val="auto"/>
                <w:w w:val="91"/>
              </w:rPr>
              <w:t>Year Ended June 30,</w:t>
            </w:r>
          </w:p>
        </w:tc>
        <w:tc>
          <w:tcPr>
            <w:tcW w:w="900" w:type="dxa"/>
            <w:vAlign w:val="bottom"/>
            <w:tcBorders>
              <w:bottom w:val="single" w:sz="8" w:color="auto"/>
            </w:tcBorders>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2"/>
              </w:rPr>
              <w:t>(in thousands)</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241,924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184,315</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111,218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162,598</w:t>
            </w:r>
          </w:p>
        </w:tc>
        <w:tc>
          <w:tcPr>
            <w:tcW w:w="28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126,628</w:t>
            </w:r>
          </w:p>
        </w:tc>
        <w:tc>
          <w:tcPr>
            <w:tcW w:w="4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84,296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for the year (net income)</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30,366</w:t>
            </w:r>
          </w:p>
        </w:tc>
        <w:tc>
          <w:tcPr>
            <w:tcW w:w="2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27,385</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19,122</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At September 30, 2012, the recorded balance of our investment in Cash Converters, accounted for on the equity method, was $74.3 million. Because Cash Converters publicly reports its financial results only semi-annually as of June 30 and December 31, the latest Cash Converters figures available are as of June 30, 2012, at which point our equity in net assets of Cash Converters was $62.1 million. The difference between the recorded balance and our equity in Cash Converters’ net assets represents the $15.0 million of unamortized goodwill, plus the cumulative difference resulting from Cash Converters’ earnings, dividend payments and translation gains and losses since the dates of investment.</w:t>
      </w:r>
    </w:p>
    <w:p>
      <w:pPr>
        <w:spacing w:after="0" w:line="1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table below summarizes the recorded value and fair value of each of these strategic investments at the dates indicated. These fair values are considered Level 1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ind w:right="474"/>
              <w:spacing w:after="0"/>
              <w:rPr>
                <w:sz w:val="20"/>
                <w:szCs w:val="20"/>
                <w:color w:val="auto"/>
              </w:rPr>
            </w:pPr>
            <w:r>
              <w:rPr>
                <w:rFonts w:ascii="Arial" w:cs="Arial" w:eastAsia="Arial" w:hAnsi="Arial"/>
                <w:sz w:val="14"/>
                <w:szCs w:val="14"/>
                <w:i w:val="1"/>
                <w:iCs w:val="1"/>
                <w:color w:val="auto"/>
              </w:rPr>
              <w:t>(in thousands of U.S. dollars)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Albemarle &amp; Bond: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Recorded value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51,812</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48,361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65,109</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91,741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Converters: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Recorded value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74,254</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71,958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Fair value</w:t>
            </w:r>
          </w:p>
        </w:tc>
        <w:tc>
          <w:tcPr>
            <w:tcW w:w="3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100,705</w:t>
            </w:r>
          </w:p>
        </w:tc>
        <w:tc>
          <w:tcPr>
            <w:tcW w:w="5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53,600</w:t>
            </w:r>
          </w:p>
        </w:tc>
      </w:tr>
    </w:tbl>
    <w:p>
      <w:pPr>
        <w:spacing w:after="0" w:line="175"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In August 2011, legislation was proposed in Australia that would, among other things, limit the interest charged on certain consumer loans and prohibit loan extensions and refinancing. That legislation, as proposed, could have adversely affected, Cash Converters’ consumer loan business in Australia, which could have the effect of decreasing Cash Converters’ revenues and earnings. As of September 30, 2011, the fair value of our investment in Cash Converters (based on the market price of Cash Converters’ stock as of that date) was below our recorded value. In light of Cash Converters’ statements at that time regarding its ability to mitigate the potential impact of the proposed legislation, we considered this loss in value to be temporary.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500"/>
        <w:spacing w:after="0" w:line="279" w:lineRule="auto"/>
        <w:rPr>
          <w:sz w:val="20"/>
          <w:szCs w:val="20"/>
          <w:color w:val="auto"/>
        </w:rPr>
      </w:pPr>
      <w:r>
        <w:rPr>
          <w:rFonts w:ascii="Arial" w:cs="Arial" w:eastAsia="Arial" w:hAnsi="Arial"/>
          <w:sz w:val="17"/>
          <w:szCs w:val="17"/>
          <w:color w:val="auto"/>
        </w:rPr>
        <w:t>Consumer Credit and Corporations Legislation Amendment (Enhancements) Bill 2011 was passed by the Australian Parliament in August 2012. While imposing new restrictions and limitations on microlending, the new law, which goes into effect on July 1, 2013, incorporates amendments that increase permitted fees and charges over what had been proposed. As of September 30, 2012, the fair value of our investment in Cash Converters was above our recorded value, further supporting our assessment of the loss in value of its stock to be temporary.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152"/>
        </w:trPr>
        <w:tc>
          <w:tcPr>
            <w:tcW w:w="2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Net Book</w:t>
            </w:r>
          </w:p>
        </w:tc>
        <w:tc>
          <w:tcPr>
            <w:tcW w:w="380" w:type="dxa"/>
            <w:vAlign w:val="bottom"/>
          </w:tcPr>
          <w:p>
            <w:pPr>
              <w:spacing w:after="0"/>
              <w:rPr>
                <w:sz w:val="13"/>
                <w:szCs w:val="13"/>
                <w:color w:val="auto"/>
              </w:rPr>
            </w:pPr>
          </w:p>
        </w:tc>
        <w:tc>
          <w:tcPr>
            <w:tcW w:w="10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1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Net Book</w:t>
            </w:r>
          </w:p>
        </w:tc>
      </w:tr>
      <w:tr>
        <w:trPr>
          <w:trHeight w:val="192"/>
        </w:trPr>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r>
      <w:tr>
        <w:trPr>
          <w:trHeight w:val="196"/>
        </w:trPr>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106,229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44,201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88,263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35,169</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42,440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33,092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Capital lease equipment</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5,415</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7,890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7,890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4,818</w:t>
            </w:r>
          </w:p>
        </w:tc>
      </w:tr>
      <w:tr>
        <w:trPr>
          <w:trHeight w:val="27"/>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260,379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108,131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207,392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78,498</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Depreciation expense for fiscal 2012, 2011 and 2010 was $23.3 million, $17.5 million and $14.0 million, respectively. Included in these amounts for fiscal 2012, 2011 and 2010 is $2.9 million, $1.4 million and $0.9 million, respectively, of depreciation expense related to capitalized computer software.</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Property and equipment at September 30, 2012 includes approximately $1.6 million of equipment leased under a capital lease. Amortization of equipment under capital leases is included with depreciation expense and was $0.1 million for the fiscal year ended 2012 .</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indefinite-lived intangible asset at the specified dates: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licenses</w:t>
            </w:r>
          </w:p>
        </w:tc>
        <w:tc>
          <w:tcPr>
            <w:tcW w:w="5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8,836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5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9,845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374,663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173,206</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52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393,344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186,912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240" w:type="dxa"/>
            <w:vAlign w:val="bottom"/>
            <w:vMerge w:val="restart"/>
          </w:tcPr>
          <w:p>
            <w:pPr>
              <w:jc w:val="right"/>
              <w:ind w:right="2690"/>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the carrying value of goodwill, by segment, for the fiscal years ended September 30, 2012 and 2011:</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Canada</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Consolidated</w:t>
            </w:r>
          </w:p>
        </w:tc>
      </w:tr>
      <w:tr>
        <w:trPr>
          <w:trHeight w:val="250"/>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2010</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117,305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53,642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56,790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Balances at September 30, 2011</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163,897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9,309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173,206</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199,233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2,224</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224,306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110,401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39,956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374,663</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 at the specified dates: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152"/>
        </w:trPr>
        <w:tc>
          <w:tcPr>
            <w:tcW w:w="2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Net Book</w:t>
            </w:r>
          </w:p>
        </w:tc>
        <w:tc>
          <w:tcPr>
            <w:tcW w:w="380" w:type="dxa"/>
            <w:vAlign w:val="bottom"/>
          </w:tcPr>
          <w:p>
            <w:pPr>
              <w:spacing w:after="0"/>
              <w:rPr>
                <w:sz w:val="13"/>
                <w:szCs w:val="13"/>
                <w:color w:val="auto"/>
              </w:rPr>
            </w:pPr>
          </w:p>
        </w:tc>
        <w:tc>
          <w:tcPr>
            <w:tcW w:w="10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10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Net Book</w:t>
            </w:r>
          </w:p>
        </w:tc>
      </w:tr>
      <w:tr>
        <w:trPr>
          <w:trHeight w:val="192"/>
        </w:trPr>
        <w:tc>
          <w:tcPr>
            <w:tcW w:w="2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Pr>
          <w:p>
            <w:pPr>
              <w:spacing w:after="0"/>
              <w:rPr>
                <w:sz w:val="16"/>
                <w:szCs w:val="16"/>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Value</w:t>
            </w:r>
          </w:p>
        </w:tc>
      </w:tr>
      <w:tr>
        <w:trPr>
          <w:trHeight w:val="250"/>
        </w:trPr>
        <w:tc>
          <w:tcPr>
            <w:tcW w:w="26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finders’ fees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1,263</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1,515</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2,149</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Contractual relationship</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14,517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13,442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Internally developed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w:t>
            </w:r>
          </w:p>
        </w:tc>
      </w:tr>
      <w:tr>
        <w:trPr>
          <w:trHeight w:val="27"/>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35,511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26,504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6,084</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our credit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and classification of amortization recognized as expense in each of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258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Operations expense</w:t>
            </w:r>
          </w:p>
        </w:tc>
        <w:tc>
          <w:tcPr>
            <w:tcW w:w="1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7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2,478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w w:val="95"/>
              </w:rPr>
              <w:t>Total expense from the amortization of definite-lived intangible assets</w:t>
            </w:r>
          </w:p>
        </w:tc>
        <w:tc>
          <w:tcPr>
            <w:tcW w:w="17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88"/>
              </w:rPr>
              <w:t>4,595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720" w:type="dxa"/>
            <w:vAlign w:val="bottom"/>
            <w:vMerge w:val="restart"/>
          </w:tcPr>
          <w:p>
            <w:pPr>
              <w:jc w:val="right"/>
              <w:ind w:right="1190"/>
              <w:spacing w:after="0"/>
              <w:rPr>
                <w:sz w:val="20"/>
                <w:szCs w:val="20"/>
                <w:color w:val="auto"/>
              </w:rPr>
            </w:pPr>
            <w:r>
              <w:rPr>
                <w:rFonts w:ascii="Arial" w:cs="Arial" w:eastAsia="Arial" w:hAnsi="Arial"/>
                <w:sz w:val="18"/>
                <w:szCs w:val="18"/>
                <w:color w:val="auto"/>
              </w:rPr>
              <w:t>68</w:t>
            </w: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 of amortization expense for definite-lived intangible assets: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Years Ended September 30,</w:t>
            </w:r>
          </w:p>
        </w:tc>
        <w:tc>
          <w:tcPr>
            <w:tcW w:w="2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Operations Expense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Interest Expense</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6700"/>
              <w:spacing w:after="0"/>
              <w:rPr>
                <w:sz w:val="20"/>
                <w:szCs w:val="20"/>
                <w:color w:val="auto"/>
              </w:rPr>
            </w:pPr>
            <w:r>
              <w:rPr>
                <w:rFonts w:ascii="Arial" w:cs="Arial" w:eastAsia="Arial" w:hAnsi="Arial"/>
                <w:sz w:val="18"/>
                <w:szCs w:val="18"/>
                <w:color w:val="auto"/>
                <w:w w:val="89"/>
              </w:rPr>
              <w:t>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43"/>
        </w:trPr>
        <w:tc>
          <w:tcPr>
            <w:tcW w:w="7080" w:type="dxa"/>
            <w:vAlign w:val="bottom"/>
          </w:tcPr>
          <w:p>
            <w:pPr>
              <w:ind w:left="6700"/>
              <w:spacing w:after="0"/>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700"/>
              <w:spacing w:after="0"/>
              <w:rPr>
                <w:sz w:val="20"/>
                <w:szCs w:val="20"/>
                <w:color w:val="auto"/>
              </w:rPr>
            </w:pPr>
            <w:r>
              <w:rPr>
                <w:rFonts w:ascii="Arial" w:cs="Arial" w:eastAsia="Arial" w:hAnsi="Arial"/>
                <w:sz w:val="18"/>
                <w:szCs w:val="18"/>
                <w:color w:val="auto"/>
                <w:w w:val="89"/>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7080" w:type="dxa"/>
            <w:vAlign w:val="bottom"/>
          </w:tcPr>
          <w:p>
            <w:pPr>
              <w:ind w:left="670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700"/>
              <w:spacing w:after="0"/>
              <w:rPr>
                <w:sz w:val="20"/>
                <w:szCs w:val="20"/>
                <w:color w:val="auto"/>
              </w:rPr>
            </w:pPr>
            <w:r>
              <w:rPr>
                <w:rFonts w:ascii="Arial" w:cs="Arial" w:eastAsia="Arial" w:hAnsi="Arial"/>
                <w:sz w:val="18"/>
                <w:szCs w:val="18"/>
                <w:color w:val="auto"/>
                <w:w w:val="89"/>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8580" w:type="dxa"/>
            <w:vAlign w:val="bottom"/>
            <w:gridSpan w:val="4"/>
          </w:tcPr>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80" w:type="dxa"/>
            <w:vAlign w:val="bottom"/>
          </w:tcPr>
          <w:p>
            <w:pPr>
              <w:spacing w:after="0"/>
              <w:rPr>
                <w:sz w:val="20"/>
                <w:szCs w:val="20"/>
                <w:color w:val="auto"/>
              </w:rPr>
            </w:pPr>
            <w:r>
              <w:rPr>
                <w:rFonts w:ascii="Arial" w:cs="Arial" w:eastAsia="Arial" w:hAnsi="Arial"/>
                <w:sz w:val="18"/>
                <w:szCs w:val="18"/>
                <w:b w:val="1"/>
                <w:bCs w:val="1"/>
                <w:color w:val="auto"/>
              </w:rPr>
              <w:t>NOTE 7: ACCOUNTS PAYABLE AND OTHER ACCRUED EXPENSES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0"/>
                <w:szCs w:val="20"/>
                <w:color w:val="auto"/>
              </w:rPr>
            </w:pPr>
            <w:r>
              <w:rPr>
                <w:rFonts w:ascii="Arial" w:cs="Arial" w:eastAsia="Arial" w:hAnsi="Arial"/>
                <w:sz w:val="18"/>
                <w:szCs w:val="18"/>
                <w:color w:val="auto"/>
              </w:rPr>
              <w:t>Accounts payable and other accrued expenses consisted of the following:</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912"/>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18,478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22,326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Accrued rent and property taxes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12,361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for expected losses on credit service letters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Collected funds payable to unaffiliated lenders under credit service programs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6,988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78,925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562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AND CAPITAL LEASE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our long-term debt instruments and balances under capital lease obligations outstanding at September 30, 2012 and 2011: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2012</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Debt Premium</w:t>
            </w:r>
          </w:p>
        </w:tc>
        <w:tc>
          <w:tcPr>
            <w:tcW w:w="260" w:type="dxa"/>
            <w:vAlign w:val="bottom"/>
          </w:tcPr>
          <w:p>
            <w:pPr>
              <w:spacing w:after="0"/>
              <w:rPr>
                <w:sz w:val="13"/>
                <w:szCs w:val="13"/>
                <w:color w:val="auto"/>
              </w:rPr>
            </w:pPr>
          </w:p>
        </w:tc>
        <w:tc>
          <w:tcPr>
            <w:tcW w:w="1100" w:type="dxa"/>
            <w:vAlign w:val="bottom"/>
          </w:tcPr>
          <w:p>
            <w:pPr>
              <w:jc w:val="center"/>
              <w:ind w:right="173"/>
              <w:spacing w:after="0" w:line="15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Recourse to EZCORP:</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Domestic line of credit up to $175,000 due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130,000</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Nonrecourse to EZCORP:</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Secured foreign currency line of credit up to $3,900 due 2014</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Secured foreign currency line of credit up to $19,500 due 2015</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Secured foreign currency line of credit up to $23,300 due 2017</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Securitization borrowing facility up to $116,700 due 2017</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 unsecured notes due 2013</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15% unsecured notes due 2013</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16% unsecured notes due 2013</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10% unsecured notes due 2014</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 unsecured notes due 2015</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15% secured notes due 2015</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 unsecured notes due 2016</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Total long-term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221,510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long-term and capital lease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199,831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May 10, 2011, we entered into a new senior secured credit agreement with a syndicate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our $17.5 million outstanding debt. The new credit facility increases our available credit and provides greater flexibility to make investments and acquisitions both domestically and internationally.</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credit agreement, we may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pay a commitment fee of 37.5 to 50 basis points depending on our leverage ratio calculated at the end of each quarter. Terms of the credit agreement require, among other things, that we meet certain financial covenants. At September 30, 2012, we were in compliance with all covenants. We expect the recorded value of our debt to approximate its fair value, as it is all variable rate debt and carries no pre-payment penalty, and would be considered a Level 3 estimate within the fair value hierarchy.</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financing costs related to our credit agreement are included in intangible assets, net on the balance sheet and are being amortized to interest expense over the term of the agreement.</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January 30, 2012, we acquired a 60% ownership interest in Crediamigo, a specialty consumer finance company headquartered in Mexico City. Non-recourse debt amounts in the table above represent Crediamigo's third party debt. All lines of credit are guaranteed by the Crediamigo loan portfolio. Interest on lines of credit due 2014 and 2015 is charged at the Mexican Interbank Equilibrium ("TIIE") plus a margin varying from 3% to 9%. The line of credit due 2014 requires monthly payments of $0.1 million with remaining principal due at maturity. The line of credit due 2015 requires monthly payments of $0.8 million. Beginning September 30, 2012, the 15% secured notes require monthly payments of $0.1 million with remaining principal due at maturity. The debt premium on Crediamigo's debt was recorded at acquisition and is being amortized as a reduction of interest expense over the life of the debt. We expect the recorded value of our debt to approximate its fair value and would be considered Level 3 estimates within the fair value hierarchy.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29, 2012 Crediamigo renegotiated their revolving line of credit originally due 2016. The interest rate was decreased from 20% to 14.5% and the term was extended 6 months, now being due at the end of April 2017. The maximum borrowing capacity was also raised from $14.6 million to $22.0 million. Due to the substantial improvement in the renegotiated terms, the remaining unamortized premium of $2.8 million, valued at acquisition, was accelerated and recognized as a reduction to interest expense in our third fiscal quarter.</w:t>
      </w:r>
    </w:p>
    <w:p>
      <w:pPr>
        <w:spacing w:after="0" w:line="13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 September 2012, Crediamigo renegotiated their revolving line of credit due 2015. Effective October 1, 2012 the interest rate was decreased from 18% to TIIE plus a 6% margin, total of 11% at September 30, 2012. Due to the substantial improvement in the renegotiated terms, the remaining unamortized premium of $4.4 million, valued at acquisition, was accelerated and recognized as a reduction to interest expense in our fourth fiscal quarter.</w:t>
      </w:r>
    </w:p>
    <w:p>
      <w:pPr>
        <w:spacing w:after="0" w:line="9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July 10, 2012, Crediamigo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Crediamigo.The securitization agreement calls for a two-year revolving period in which the trust will use principal collections of the consumer loan portfolio to acquire additional collection rights up to $116.7 million in eligible loans from Crediamigo. Upon the termination of the revolving period, the collection received by the trust will be used to repay the debt. Crediamigo will continue to service the underlying loans in the trust.</w:t>
      </w:r>
    </w:p>
    <w:p>
      <w:pPr>
        <w:spacing w:after="0" w:line="10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Crediamigo is the primary beneficiary of the securitization trust because Crediamigo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12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of September 30, 2012, borrowings under the securitization borrowing facility amounted to $32.7 million. Interest is charged at TIIE plus a 2.5% margin, or a total of 7.3% as of September 30, 2012, and required monthly payments of $0.9 million begin on July 2014. The debt issued by the trust will be paid solely from the collections of the consumer loans transferred to the trust, and therefore there is no recourse to Crediamigo or EZCORP,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COMMON STOCK, OPTIONS AND STOCK COMPENSATION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1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information on shares of our Class A Common Stock issued as acquisition consideration. All of these shares were registered on a "shelf" Registration Statement on Form S-4 that was declared effective in January 2011.</w:t>
      </w:r>
    </w:p>
    <w:p>
      <w:pPr>
        <w:spacing w:after="0" w:line="270"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6"/>
                <w:szCs w:val="16"/>
                <w:color w:val="auto"/>
              </w:rPr>
            </w:pPr>
          </w:p>
        </w:tc>
        <w:tc>
          <w:tcPr>
            <w:tcW w:w="1620" w:type="dxa"/>
            <w:vAlign w:val="bottom"/>
          </w:tcPr>
          <w:p>
            <w:pPr>
              <w:jc w:val="right"/>
              <w:ind w:right="722"/>
              <w:spacing w:after="0"/>
              <w:rPr>
                <w:sz w:val="20"/>
                <w:szCs w:val="20"/>
                <w:color w:val="auto"/>
              </w:rPr>
            </w:pPr>
            <w:r>
              <w:rPr>
                <w:rFonts w:ascii="Arial" w:cs="Arial" w:eastAsia="Arial" w:hAnsi="Arial"/>
                <w:sz w:val="14"/>
                <w:szCs w:val="14"/>
                <w:b w:val="1"/>
                <w:bCs w:val="1"/>
                <w:color w:val="auto"/>
              </w:rPr>
              <w:t>2011</w:t>
            </w: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2010</w:t>
            </w:r>
          </w:p>
        </w:tc>
      </w:tr>
      <w:tr>
        <w:trPr>
          <w:trHeight w:val="250"/>
        </w:trPr>
        <w:tc>
          <w:tcPr>
            <w:tcW w:w="7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center"/>
              <w:ind w:right="202"/>
              <w:spacing w:after="0"/>
              <w:rPr>
                <w:sz w:val="20"/>
                <w:szCs w:val="20"/>
                <w:color w:val="auto"/>
              </w:rPr>
            </w:pPr>
            <w:r>
              <w:rPr>
                <w:rFonts w:ascii="Arial" w:cs="Arial" w:eastAsia="Arial" w:hAnsi="Arial"/>
                <w:sz w:val="14"/>
                <w:szCs w:val="14"/>
                <w:i w:val="1"/>
                <w:iCs w:val="1"/>
                <w:color w:val="auto"/>
                <w:w w:val="92"/>
              </w:rPr>
              <w:t>(in thousands)</w:t>
            </w:r>
          </w:p>
        </w:tc>
        <w:tc>
          <w:tcPr>
            <w:tcW w:w="1200" w:type="dxa"/>
            <w:vAlign w:val="bottom"/>
            <w:tcBorders>
              <w:top w:val="single" w:sz="8" w:color="auto"/>
            </w:tcBorders>
          </w:tcPr>
          <w:p>
            <w:pPr>
              <w:spacing w:after="0"/>
              <w:rPr>
                <w:sz w:val="21"/>
                <w:szCs w:val="21"/>
                <w:color w:val="auto"/>
              </w:rPr>
            </w:pPr>
          </w:p>
        </w:tc>
      </w:tr>
      <w:tr>
        <w:trPr>
          <w:trHeight w:val="249"/>
        </w:trPr>
        <w:tc>
          <w:tcPr>
            <w:tcW w:w="8000" w:type="dxa"/>
            <w:vAlign w:val="bottom"/>
            <w:gridSpan w:val="2"/>
            <w:shd w:val="clear" w:color="auto" w:fill="CCEEFF"/>
          </w:tcPr>
          <w:p>
            <w:pPr>
              <w:jc w:val="right"/>
              <w:ind w:right="5600"/>
              <w:spacing w:after="0"/>
              <w:rPr>
                <w:sz w:val="20"/>
                <w:szCs w:val="20"/>
                <w:color w:val="auto"/>
              </w:rPr>
            </w:pPr>
            <w:r>
              <w:rPr>
                <w:rFonts w:ascii="Arial" w:cs="Arial" w:eastAsia="Arial" w:hAnsi="Arial"/>
                <w:sz w:val="18"/>
                <w:szCs w:val="18"/>
                <w:color w:val="auto"/>
                <w:w w:val="88"/>
              </w:rPr>
              <w:t>Shares issued due to acquisitions</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635</w:t>
            </w:r>
          </w:p>
        </w:tc>
        <w:tc>
          <w:tcPr>
            <w:tcW w:w="162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209</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account for stock compensation in accordance with the fair value recognition and measurement provisions of FASB ASC 718-10-25 (Compensation-Stock Compensation). Compensation cost recognized includes compensation cost for all unvested stock compensation payments, based on the closing market price of our stock on the date of grant. We amortize the fair value of grants to compensation expense on a ratable basis over the vesting period for both cliff vesting and pro-rata vesting grants. We have not granted any stock options since fiscal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net income includes the following compensation costs related to our stock compensation arrangements: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compensation costs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4,508</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Total gross compensation costs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13,208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Total income tax benefits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compensation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options and restricted stock relate to our Class A Common Stock.</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non-employee directors are eligible for grants of restricted stock awards and non-qualified stock options. No options have been granted to the non-employee directors since fiscal 2007. The restricted stock awards that have been granted to the non-employee directors in fiscal 2012, 2011 and 2010 vest in one to two years from grant (50% on the first anniversary of the date of grant and 50% on the second anniversary). Restricted stock awards, non-qualified options and incentive stock options have been granted to our officers and employees under our 1998, 2003, 2006 and 2010 Incentive Plans. A portion of the restricted stock awards granted in fiscal 2012 and fiscal 2011 contain both performance and graded vesting provisions. Most options have a contractual life of ten years and provide for pro-rata vesting over five years, but some provide for cliff vesting. Outstanding options have been granted with strike prices ranging from $2.09 per share to $2.95 per share. These were granted at or above the market price at the time of grant, and had no intrinsic value on the grant date.</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May 1, 2010 our Board of Directors approved the adoption of the EZCORP, Inc. 2010 Long-Term Incentive Plan (the “2010 Plan”). The 2010 Plan permits grants of options, restricted stock awards and stock appreciation rights covering up to 1,575,750 shares of our Class A Common Stock, in addition to 106,000 shares that remained available for issuance under the previous plan. Awards that expire or are canceled without delivery of shares under the 2010 Incentive Plan generally become available for issuance in new grants. We generally issue newly issued shares to satisfy stock option exercises and restricted stock awards, but used 10,000 treasury shares to satisfy one option exercise in fiscal 2009. We no longer hold any treasury shares. At September 30, 2012, 650,361 shares were available for grant under the 2010 Plan.We measure the fair value of restricted stock awards based on the closing market price of our common stock as of the grant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restricted stock award activity for the fiscal year ended September 30, 2012: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Outstanding at beginning of year</w:t>
            </w:r>
          </w:p>
        </w:tc>
        <w:tc>
          <w:tcPr>
            <w:tcW w:w="2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1,535,000</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2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Released</w:t>
            </w:r>
          </w:p>
        </w:tc>
        <w:tc>
          <w:tcPr>
            <w:tcW w:w="2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214,556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2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183,963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Outstanding at end of year</w:t>
            </w:r>
          </w:p>
        </w:tc>
        <w:tc>
          <w:tcPr>
            <w:tcW w:w="2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1,448,833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4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218"/>
              <w:spacing w:after="0"/>
              <w:rPr>
                <w:sz w:val="20"/>
                <w:szCs w:val="20"/>
                <w:color w:val="auto"/>
              </w:rPr>
            </w:pPr>
            <w:r>
              <w:rPr>
                <w:rFonts w:ascii="Arial" w:cs="Arial" w:eastAsia="Arial" w:hAnsi="Arial"/>
                <w:sz w:val="14"/>
                <w:szCs w:val="14"/>
                <w:b w:val="1"/>
                <w:bCs w:val="1"/>
                <w:color w:val="auto"/>
                <w:w w:val="92"/>
              </w:rPr>
              <w:t>Fiscal Years Ended September 30,</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3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center"/>
              <w:ind w:left="214"/>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8"/>
          </w:tcPr>
          <w:p>
            <w:pPr>
              <w:jc w:val="center"/>
              <w:ind w:right="218"/>
              <w:spacing w:after="0"/>
              <w:rPr>
                <w:sz w:val="20"/>
                <w:szCs w:val="20"/>
                <w:color w:val="auto"/>
              </w:rPr>
            </w:pPr>
            <w:r>
              <w:rPr>
                <w:rFonts w:ascii="Arial" w:cs="Arial" w:eastAsia="Arial" w:hAnsi="Arial"/>
                <w:sz w:val="14"/>
                <w:szCs w:val="14"/>
                <w:i w:val="1"/>
                <w:iCs w:val="1"/>
                <w:color w:val="auto"/>
                <w:w w:val="93"/>
              </w:rPr>
              <w:t>(in millions except per share amounts)</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 per share granted</w:t>
            </w:r>
          </w:p>
        </w:tc>
        <w:tc>
          <w:tcPr>
            <w:tcW w:w="308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29.22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98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14.64</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Total grant date fair value of shares vested</w:t>
            </w:r>
          </w:p>
        </w:tc>
        <w:tc>
          <w:tcPr>
            <w:tcW w:w="2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1"/>
              </w:rPr>
              <w:t>13.5</w:t>
            </w:r>
          </w:p>
        </w:tc>
        <w:tc>
          <w:tcPr>
            <w:tcW w:w="98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4"/>
                <w:szCs w:val="24"/>
                <w:color w:val="auto"/>
              </w:rPr>
            </w:pPr>
          </w:p>
        </w:tc>
        <w:tc>
          <w:tcPr>
            <w:tcW w:w="2220" w:type="dxa"/>
            <w:vAlign w:val="bottom"/>
          </w:tcPr>
          <w:p>
            <w:pPr>
              <w:jc w:val="right"/>
              <w:ind w:right="1196"/>
              <w:spacing w:after="0"/>
              <w:rPr>
                <w:sz w:val="20"/>
                <w:szCs w:val="20"/>
                <w:color w:val="auto"/>
              </w:rPr>
            </w:pPr>
            <w:r>
              <w:rPr>
                <w:rFonts w:ascii="Arial" w:cs="Arial" w:eastAsia="Arial" w:hAnsi="Arial"/>
                <w:sz w:val="18"/>
                <w:szCs w:val="18"/>
                <w:color w:val="auto"/>
              </w:rPr>
              <w:t>72</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September 30, 2012, the unamortized fair value of restricted stock awards to be amortized over their remaining vesting periods was approximately $18.5 million and the fair value of all options had been fully amortized to expense. The weighted average period over which these costs will be amortized is three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option activity for the current fiscal year:</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center"/>
              <w:ind w:left="357"/>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940" w:type="dxa"/>
            <w:vAlign w:val="bottom"/>
          </w:tcPr>
          <w:p>
            <w:pPr>
              <w:jc w:val="center"/>
              <w:ind w:left="337"/>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years)</w:t>
            </w:r>
          </w:p>
        </w:tc>
        <w:tc>
          <w:tcPr>
            <w:tcW w:w="240" w:type="dxa"/>
            <w:vAlign w:val="bottom"/>
          </w:tcPr>
          <w:p>
            <w:pPr>
              <w:spacing w:after="0"/>
              <w:rPr>
                <w:sz w:val="16"/>
                <w:szCs w:val="16"/>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2011</w:t>
            </w:r>
          </w:p>
        </w:tc>
        <w:tc>
          <w:tcPr>
            <w:tcW w:w="13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222,398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5"/>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Expired</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(204,298)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5"/>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Outstanding at September 30, 2012</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18,100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5"/>
              </w:rPr>
              <w:t>2.52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5"/>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Vested at September 30, 2012</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18,100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
              <w:spacing w:after="0"/>
              <w:rPr>
                <w:sz w:val="20"/>
                <w:szCs w:val="20"/>
                <w:color w:val="auto"/>
              </w:rPr>
            </w:pPr>
            <w:r>
              <w:rPr>
                <w:rFonts w:ascii="Arial" w:cs="Arial" w:eastAsia="Arial" w:hAnsi="Arial"/>
                <w:sz w:val="18"/>
                <w:szCs w:val="18"/>
                <w:color w:val="auto"/>
                <w:w w:val="85"/>
              </w:rPr>
              <w:t>2.52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521"/>
        </w:trPr>
        <w:tc>
          <w:tcPr>
            <w:tcW w:w="5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4"/>
                <w:szCs w:val="14"/>
                <w:b w:val="1"/>
                <w:bCs w:val="1"/>
                <w:color w:val="auto"/>
                <w:w w:val="92"/>
              </w:rPr>
              <w:t>Fiscal Year Ended September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left="297"/>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40" w:type="dxa"/>
            <w:vAlign w:val="bottom"/>
            <w:gridSpan w:val="6"/>
          </w:tcPr>
          <w:p>
            <w:pPr>
              <w:jc w:val="center"/>
              <w:ind w:left="93"/>
              <w:spacing w:after="0"/>
              <w:rPr>
                <w:sz w:val="20"/>
                <w:szCs w:val="20"/>
                <w:color w:val="auto"/>
              </w:rPr>
            </w:pPr>
            <w:r>
              <w:rPr>
                <w:rFonts w:ascii="Arial" w:cs="Arial" w:eastAsia="Arial" w:hAnsi="Arial"/>
                <w:sz w:val="14"/>
                <w:szCs w:val="14"/>
                <w:i w:val="1"/>
                <w:iCs w:val="1"/>
                <w:color w:val="auto"/>
                <w:w w:val="93"/>
              </w:rPr>
              <w:t>(in millions except share amounts)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due to stock option exercises</w:t>
            </w: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204,298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62,173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494,202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Proceeds due to stock option exercises</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from stock option exercises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REDEEMABLE NONCONTROLLING INTEREST</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part of the Crediamigo and Cash Genie acquisitions (see Note 2, “Acquisitions”), we recorded redeemable noncontrolling interests. The following table provides a summary of the activities in our redeemable noncontrolling interests: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Redeemable Noncontrolling</w:t>
            </w:r>
          </w:p>
        </w:tc>
        <w:tc>
          <w:tcPr>
            <w:tcW w:w="0" w:type="dxa"/>
            <w:vAlign w:val="bottom"/>
          </w:tcPr>
          <w:p>
            <w:pPr>
              <w:spacing w:after="0"/>
              <w:rPr>
                <w:sz w:val="1"/>
                <w:szCs w:val="1"/>
                <w:color w:val="auto"/>
              </w:rPr>
            </w:pP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250"/>
        </w:trPr>
        <w:tc>
          <w:tcPr>
            <w:tcW w:w="9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center"/>
              <w:ind w:right="77"/>
              <w:spacing w:after="0"/>
              <w:rPr>
                <w:sz w:val="20"/>
                <w:szCs w:val="20"/>
                <w:color w:val="auto"/>
              </w:rPr>
            </w:pPr>
            <w:r>
              <w:rPr>
                <w:rFonts w:ascii="Arial" w:cs="Arial" w:eastAsia="Arial" w:hAnsi="Arial"/>
                <w:sz w:val="14"/>
                <w:szCs w:val="14"/>
                <w:i w:val="1"/>
                <w:iCs w:val="1"/>
                <w:color w:val="auto"/>
                <w:w w:val="92"/>
              </w:rPr>
              <w:t>(in thousands)</w:t>
            </w:r>
          </w:p>
        </w:tc>
        <w:tc>
          <w:tcPr>
            <w:tcW w:w="0" w:type="dxa"/>
            <w:vAlign w:val="bottom"/>
          </w:tcPr>
          <w:p>
            <w:pPr>
              <w:spacing w:after="0"/>
              <w:rPr>
                <w:sz w:val="1"/>
                <w:szCs w:val="1"/>
                <w:color w:val="auto"/>
              </w:rPr>
            </w:pP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Acquisition of redeemable noncontrolling interests</w:t>
            </w:r>
          </w:p>
        </w:tc>
        <w:tc>
          <w:tcPr>
            <w:tcW w:w="160" w:type="dxa"/>
            <w:vAlign w:val="bottom"/>
          </w:tcPr>
          <w:p>
            <w:pPr>
              <w:spacing w:after="0"/>
              <w:rPr>
                <w:sz w:val="21"/>
                <w:szCs w:val="21"/>
                <w:color w:val="auto"/>
              </w:rPr>
            </w:pPr>
          </w:p>
        </w:tc>
        <w:tc>
          <w:tcPr>
            <w:tcW w:w="1900" w:type="dxa"/>
            <w:vAlign w:val="bottom"/>
          </w:tcPr>
          <w:p>
            <w:pPr>
              <w:jc w:val="right"/>
              <w:ind w:right="17"/>
              <w:spacing w:after="0"/>
              <w:rPr>
                <w:sz w:val="20"/>
                <w:szCs w:val="20"/>
                <w:color w:val="auto"/>
              </w:rPr>
            </w:pPr>
            <w:r>
              <w:rPr>
                <w:rFonts w:ascii="Arial" w:cs="Arial" w:eastAsia="Arial" w:hAnsi="Arial"/>
                <w:sz w:val="18"/>
                <w:szCs w:val="18"/>
                <w:color w:val="auto"/>
              </w:rPr>
              <w:t>45,857</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redeemable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 attributable to noncontrolling interests</w:t>
            </w:r>
          </w:p>
        </w:tc>
        <w:tc>
          <w:tcPr>
            <w:tcW w:w="160" w:type="dxa"/>
            <w:vAlign w:val="bottom"/>
          </w:tcPr>
          <w:p>
            <w:pPr>
              <w:spacing w:after="0"/>
              <w:rPr>
                <w:sz w:val="21"/>
                <w:szCs w:val="21"/>
                <w:color w:val="auto"/>
              </w:rPr>
            </w:pPr>
          </w:p>
        </w:tc>
        <w:tc>
          <w:tcPr>
            <w:tcW w:w="1900" w:type="dxa"/>
            <w:vAlign w:val="bottom"/>
          </w:tcPr>
          <w:p>
            <w:pPr>
              <w:jc w:val="right"/>
              <w:ind w:right="17"/>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53,681</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5620"/>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9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significant components of the income tax provision:</w:t>
      </w:r>
    </w:p>
    <w:p>
      <w:pPr>
        <w:spacing w:after="0" w:line="163"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p>
      <w:pPr>
        <w:ind w:left="7640"/>
        <w:spacing w:after="0"/>
        <w:tabs>
          <w:tab w:leader="none" w:pos="9100" w:val="left"/>
          <w:tab w:leader="none" w:pos="105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9" w:lineRule="exact"/>
        <w:rPr>
          <w:sz w:val="20"/>
          <w:szCs w:val="20"/>
          <w:color w:val="auto"/>
        </w:rPr>
      </w:pPr>
    </w:p>
    <w:p>
      <w:pPr>
        <w:ind w:left="88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60,420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50,148</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54,931</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foreign</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w:t>
            </w:r>
          </w:p>
        </w:tc>
      </w:tr>
      <w:tr>
        <w:trPr>
          <w:trHeight w:val="237"/>
        </w:trPr>
        <w:tc>
          <w:tcPr>
            <w:tcW w:w="70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69,222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52,876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57,103</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(2,811)</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foreign</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70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w:t>
            </w:r>
          </w:p>
        </w:tc>
      </w:tr>
      <w:tr>
        <w:trPr>
          <w:trHeight w:val="27"/>
        </w:trPr>
        <w:tc>
          <w:tcPr>
            <w:tcW w:w="7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66,552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54,236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shows a reconciliation of income taxes calculated at the statutory rate and the provision for income taxes attributable to continuing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4"/>
                <w:szCs w:val="14"/>
                <w:b w:val="1"/>
                <w:bCs w:val="1"/>
                <w:color w:val="auto"/>
                <w:w w:val="92"/>
              </w:rPr>
              <w:t>Fiscal 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2010</w:t>
            </w:r>
          </w:p>
        </w:tc>
      </w:tr>
      <w:tr>
        <w:trPr>
          <w:trHeight w:val="196"/>
        </w:trPr>
        <w:tc>
          <w:tcPr>
            <w:tcW w:w="6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at the federal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77,560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66,049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53,035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Non-deductible expense related to incentive stock options</w:t>
            </w:r>
          </w:p>
        </w:tc>
        <w:tc>
          <w:tcPr>
            <w:tcW w:w="3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2,172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1,273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Foreign tax credit</w:t>
            </w:r>
          </w:p>
        </w:tc>
        <w:tc>
          <w:tcPr>
            <w:tcW w:w="3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(2,849)</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permanently reinvesting foreign earnings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738</w:t>
            </w:r>
          </w:p>
        </w:tc>
      </w:tr>
      <w:tr>
        <w:trPr>
          <w:trHeight w:val="27"/>
        </w:trPr>
        <w:tc>
          <w:tcPr>
            <w:tcW w:w="6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provision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71,023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66,552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54,236</w:t>
            </w: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69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effective tax rates were approximately 32%, 35% and 36% for the fiscal years ended September 30, 2012, 2011 and 2010, respectively. The decrease in the fiscal 2012 effective tax rate is due primarily to certain undistributed foreign earnings for which no U.S. taxes are provided because such earnings are intended to be permanently reinvested outside the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significant components of our deferred tax assets and liabilities as of September 30: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Book over tax depreciation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over book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14,334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12,220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Pawn service charges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foreign net operating loss carry-forwards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26,994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Tax over book amortization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10,833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6,605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income and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Tax over book depreciation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928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9,303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7,061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9,794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Deferred taxes are not provided for temporary differences of approximately $16.8 million representing earnings of non-U.S. subsidiaries intended to be permanently reinvested outside the U.S. We estimate that, upon distribution of our share of these earnings, we would be subject to U.S. income taxes of approximately $0.8 million as of September 30, 2012. At September 30, 2012 and 2011, we provided deferred income taxes on all undistributed earnings from Albemarle &amp; Bond, and received dividends of approximately $3.3 million and $3.2 million, respectively. At September 30, 2012 and 2011, we provided deferred income taxes on all undistributed earnings from Cash Converters, and recorded dividends of approximately $4.4 million and $4.1 million, respectively. Any taxes paid to foreign governments on these earnings may be used in whole or in part as credits against the U.S. tax on any dividends distributed from such earnings.</w:t>
      </w:r>
    </w:p>
    <w:p>
      <w:pPr>
        <w:spacing w:after="0" w:line="13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Under FASB ASC 740-10-25 (“Accounting for Uncertainty in Income Taxes”), a tax position must be more-likely-than-not to be sustained upon examination, based on the technical merits of the position to be recognized in the financial statements. In making the determination of sustainability, we must presume the appropriate taxing authority with full knowledge of all relevant information will examine tax positions. FASB ASC 740-10-25 also prescribes how the benefit should be measured, including the consideration of any penalties and interest. It requires that the standard be applied to the balances of tax assets and liabilities as of the beginning of the period of adoption and that a corresponding adjustment be made to the opening balance of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recognize interest and penalties related to unrecognized tax benefits as federal income tax expense on our statement of operations.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subject to U.S., Mexico, and Canada income taxes as well as to income taxes levied by various state and local jurisdictions. With few exceptions, we are no longer subject to examinations by tax authorities for years before the tax year ended September 30, 2008. The Internal Revenue Service has completed its field audit of the Company's federal income tax return for the fiscal year ended September 30, 2010 and proposed certain adjustments. Management believes that adequate provisions have been made for any adjustments that may result from tax examinations.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7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For each of the past three fiscal years, we have entered one-year financial advisory services agreements with Madison Park, LLC, a business and financial advisory firm wholly-owned by Phillip E. Cohen, the beneficial owner of all of our outstanding Class B Common Stock, pursuant to which, Madison Park provides advisory and consulting services with respect to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business and long-term strategic plan, including acquisitions and strategic alliances, operating and strategic objectives, investor relations, relations with investment bankers and other members of the financial services industry, international business development and strategic investment opportunities, and financial matters. The annual fee for the services was $6.0 million in fiscal 2012, $4.8 million in fiscal 2011 and $3.6 million in fiscal 2010.</w:t>
      </w:r>
    </w:p>
    <w:p>
      <w:pPr>
        <w:spacing w:after="0" w:line="9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Effective October 1, 2012, we entered into a new financial advisory services agreement with Madison Park with a one-year term that expires September 30, 2013. The terms of the agreement are substantially the same as those in the fiscal 2012 agreement described above, except the annual fee is $7.2 million.</w:t>
      </w:r>
    </w:p>
    <w:p>
      <w:pPr>
        <w:spacing w:after="0" w:line="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Prior to approval of the Madison Park agreement and pursuant to our Policy for Review and Evaluation of Related Party Transactions, the Audit Committee of our Board of Directors implemented measures designed to ensure that the advisory services agreement with Madison Park was considered, analyzed, negotiated and approved objectively. Those measures included the engagement of an independent financial advisory firm to counsel and advise the committee in the course of its consideration and evaluation of the Madison Park relationship and the proposed terms of the new advisory services agreement and the receipt of a fairness opinion with respect to the fee to be paid to Madison Park.</w:t>
      </w:r>
    </w:p>
    <w:p>
      <w:pPr>
        <w:spacing w:after="0" w:line="11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After consideration and discussion of a number of factors, the information and fairness opinion provided by its independent financial advisory firm, and the relationships and the interests of Mr. Cohen, the Audit Committee concluded that the advisory services agreement was fair to, and in the best interests of, the company and its stockholders and, on that basis, approved the engagement of Madison Park pursuant to the advisory services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various facilities and certain equipment under capital and operating leases. We also sublease some of the above facilities. Future minimum rentals due under non-cancelable leases and annual future minimum rentals expected under subleases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7"/>
          </w:tcPr>
          <w:p>
            <w:pPr>
              <w:jc w:val="center"/>
              <w:ind w:right="94"/>
              <w:spacing w:after="0"/>
              <w:rPr>
                <w:sz w:val="20"/>
                <w:szCs w:val="20"/>
                <w:color w:val="auto"/>
              </w:rPr>
            </w:pPr>
            <w:r>
              <w:rPr>
                <w:rFonts w:ascii="Arial" w:cs="Arial" w:eastAsia="Arial" w:hAnsi="Arial"/>
                <w:sz w:val="14"/>
                <w:szCs w:val="14"/>
                <w:b w:val="1"/>
                <w:bCs w:val="1"/>
                <w:color w:val="auto"/>
                <w:w w:val="91"/>
              </w:rPr>
              <w:t>Fiscal Year Ended September 30,</w:t>
            </w:r>
          </w:p>
        </w:tc>
      </w:tr>
      <w:tr>
        <w:trPr>
          <w:trHeight w:val="152"/>
        </w:trPr>
        <w:tc>
          <w:tcPr>
            <w:tcW w:w="7780" w:type="dxa"/>
            <w:vAlign w:val="bottom"/>
          </w:tcPr>
          <w:p>
            <w:pPr>
              <w:spacing w:after="0"/>
              <w:rPr>
                <w:sz w:val="13"/>
                <w:szCs w:val="13"/>
                <w:color w:val="auto"/>
              </w:rPr>
            </w:pPr>
          </w:p>
        </w:tc>
        <w:tc>
          <w:tcPr>
            <w:tcW w:w="12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Operating Lease</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Capital Lease</w:t>
            </w:r>
          </w:p>
        </w:tc>
        <w:tc>
          <w:tcPr>
            <w:tcW w:w="220" w:type="dxa"/>
            <w:vAlign w:val="bottom"/>
          </w:tcPr>
          <w:p>
            <w:pPr>
              <w:spacing w:after="0"/>
              <w:rPr>
                <w:sz w:val="13"/>
                <w:szCs w:val="13"/>
                <w:color w:val="auto"/>
              </w:rPr>
            </w:pPr>
          </w:p>
        </w:tc>
        <w:tc>
          <w:tcPr>
            <w:tcW w:w="92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7"/>
              </w:rPr>
              <w:t>Sublease</w:t>
            </w:r>
          </w:p>
        </w:tc>
      </w:t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Payments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Revenue</w:t>
            </w:r>
          </w:p>
        </w:tc>
      </w:tr>
      <w:tr>
        <w:trPr>
          <w:trHeight w:val="196"/>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r>
      <w:tr>
        <w:trPr>
          <w:trHeight w:val="243"/>
        </w:trPr>
        <w:tc>
          <w:tcPr>
            <w:tcW w:w="7780" w:type="dxa"/>
            <w:vAlign w:val="bottom"/>
          </w:tcPr>
          <w:p>
            <w:pPr>
              <w:jc w:val="right"/>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45,991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7780" w:type="dxa"/>
            <w:vAlign w:val="bottom"/>
          </w:tcPr>
          <w:p>
            <w:pPr>
              <w:jc w:val="right"/>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28,089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jc w:val="right"/>
              <w:ind w:right="6910"/>
              <w:spacing w:after="0"/>
              <w:rPr>
                <w:sz w:val="20"/>
                <w:szCs w:val="20"/>
                <w:color w:val="auto"/>
              </w:rPr>
            </w:pPr>
            <w:r>
              <w:rPr>
                <w:rFonts w:ascii="Arial" w:cs="Arial" w:eastAsia="Arial" w:hAnsi="Arial"/>
                <w:sz w:val="18"/>
                <w:szCs w:val="18"/>
                <w:color w:val="auto"/>
                <w:w w:val="91"/>
              </w:rPr>
              <w:t>Thereafter</w:t>
            </w:r>
          </w:p>
        </w:tc>
        <w:tc>
          <w:tcPr>
            <w:tcW w:w="2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219,580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 minimum capital lease payments total $1.6 million, of which $0.2 million represents interest. The present value of net minimum lease payments as of September 30, 2012 was $1.8 million.</w:t>
      </w:r>
    </w:p>
    <w:p>
      <w:pPr>
        <w:spacing w:after="0" w:line="11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After an initial lease term of generally three to ten years, our lease agreements typically allow renewals in three to five-year increments.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rent expense</w:t>
            </w:r>
          </w:p>
        </w:tc>
        <w:tc>
          <w:tcPr>
            <w:tcW w:w="3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56,672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46,710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39,394</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Sublease rent revenue</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rent expense</w:t>
            </w:r>
          </w:p>
        </w:tc>
        <w:tc>
          <w:tcPr>
            <w:tcW w:w="3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56,491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46,569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39,262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76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6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fiscal 2008, we completed several sale-leaseback transactions of previously owned facilities. Losses on sales were recognized immediately, and gains were deferred and are being amortized as a reduction of lease expense over the terms of the related leases. The remaining unamortized long-term portion of these deferred gains, amounting to $1.8 million at September 30, 2012, is included in “Deferred gains and other long-term liabilities” in our consolidated balance sheet. The short-term portion, included in “Accounts payable and other accrued expenses” was $0.4 million at September 30, 2012. Future rentals on these sale-leasebacks are included in the above schedule of future minimum rentals. Terms of these leases are consistent with the terms on our other lease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EMPLOYMENT AGREEMENTS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Effective January 1, 2009, we entered into an Employment and Compensation Agreement with Joseph L. Rotunda, who was our Chief Executive Officer at the time. That agreement expired on October 8, 2010, and Mr. Rotunda retired from his positions as Chief Executive Officer and a member of the Board of Directors on October 31, 2010. The agreement provided Mr. Rotunda with certain severance and termination benefits if he served the full term of the agreement (through October 8, 2010). These benefits included (1) a cash payment in an amount equal to one year’s base salary plus his most recent annual incentive bonus award (total of approximately $3.4 million, payable on January 7, 2011) and (2) a five-year consulting agreement that provides for the following: an annual consulting fee of $500,000; an annual incentive bonus with a target amount equal to 50% of the annual fee and a maximum amount equal to 100% of the annual fee; and reimbursement of reasonable business expenses. The company has also agreed to continue the healthcare benefits for Mr. Rotunda during the term of the consulting agreement. If the consulting agreement is terminated by reason of Mr. Rotunda’s death or disability, he will be entitled to payment of an amount equal to one year’s annual consulting fee plus one year of incentive bonus (calculated at the target amount) and continuation of healthcare benefits for Mr. Rotunda and/or his spouse (as applicable) for one year. In addition, if the company terminates the consulting agreement (other than due to a material breach by Mr. Rotunda) or Mr. Rotunda terminates the consulting agreement because of a material breach by the company, then the company will pay Mr. Rotunda an amount of cash equal to all annual consulting fees that would have been payable to Mr. Rotunda had the agreement continued until the expiration of the five-year term, plus an additional $500,000 in lieu of subsequent annual incentive bonuses, and shall continue to provide the healthcare benefits for Mr. Rotunda until the expiration of the five-year term.</w:t>
      </w:r>
    </w:p>
    <w:p>
      <w:pPr>
        <w:spacing w:after="0" w:line="11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October 8, 2010, the Board of Directors, acting pursuant to the terms of the applicable restricted stock award agreement and with the recommendation of the Compensation Committee, determined that Mr. Rotunda had satisfied the specified conditions for the accelerated vesting of all his unvested restricted stock (having served the full term of his employment agreement and successfully implemented a transition plan to a new Chief Executive Officer) and approved the vesting of the remaining 756,000 unvested shares on October 31, 2010, the effective date of Mr. Rotunda’s retirement.</w:t>
      </w:r>
    </w:p>
    <w:p>
      <w:pPr>
        <w:spacing w:after="0" w:line="10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August 3, 2009, we entered into an employment agreement with Paul E. Rothamel, who became President in February 2010 and Chief Executive Officer on November 1, 2010. The agreement provides for certain benefits (principally, a payment equal to one year of then-current base salary) if (a) Mr. Rothamel terminates his employment for good reason (including a change in control), (b) we terminate Mr. Rothamel’s employment without cause, or (c) Mr. Rothamel dies or becomes totally and permanently disabled during his active employment. Mr. Rothamel is subject to confidentiality obligations and, for a period of two years following the termination of his employment, is prohibited from competing with us, soliciting our customers or soliciting our employees. The agreement had an initial term of two years, which expired on August 3, 2011, but under its terms, has been renewed for an additional one-year term and will continue to be renewed for successive one-year terms unless either party gives 90-days’ notice to terminate.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the following additional severance or change-in-control benefits to its executive officers:</w:t>
      </w:r>
    </w:p>
    <w:p>
      <w:pPr>
        <w:spacing w:after="0" w:line="171" w:lineRule="exact"/>
        <w:rPr>
          <w:sz w:val="20"/>
          <w:szCs w:val="20"/>
          <w:color w:val="auto"/>
        </w:rPr>
      </w:pPr>
    </w:p>
    <w:p>
      <w:pPr>
        <w:ind w:left="360" w:right="20" w:hanging="325"/>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employment for certain of our executive officers provide that the executive officer will receive salary continuation for one year if his or her employment is terminated by the company without cause.</w:t>
      </w:r>
    </w:p>
    <w:p>
      <w:pPr>
        <w:spacing w:after="0" w:line="116" w:lineRule="exact"/>
        <w:rPr>
          <w:rFonts w:ascii="Arial" w:cs="Arial" w:eastAsia="Arial" w:hAnsi="Arial"/>
          <w:sz w:val="18"/>
          <w:szCs w:val="18"/>
          <w:color w:val="auto"/>
        </w:rPr>
      </w:pPr>
    </w:p>
    <w:p>
      <w:pPr>
        <w:ind w:left="360" w:right="60" w:hanging="325"/>
        <w:spacing w:after="0" w:line="264"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Sterling B. Brinkley, Chairman of the Board, received a restricted stock award on October 2, 2006 that provides for accelerated vesting of some or all of the unvested shares under certain circumstances, including death or disability, failure to be re-elected to his current position or termination of employment without cause.</w:t>
      </w:r>
    </w:p>
    <w:p>
      <w:pPr>
        <w:spacing w:after="0" w:line="127" w:lineRule="exact"/>
        <w:rPr>
          <w:rFonts w:ascii="Arial" w:cs="Arial" w:eastAsia="Arial" w:hAnsi="Arial"/>
          <w:sz w:val="18"/>
          <w:szCs w:val="18"/>
          <w:color w:val="auto"/>
        </w:rPr>
      </w:pPr>
    </w:p>
    <w:p>
      <w:pPr>
        <w:ind w:left="360" w:right="40" w:hanging="325"/>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RETIREMENT PLANS</w:t>
      </w:r>
    </w:p>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sponsor a 401(k) retirement savings plan under which eligible employees may contribute a portion of pre-tax earnings. In our sole discretion, we may match employee contributions in the form of either cash or our Class A Common Stock. A participant vests in the matching contributions pro rata over their first four years of service and is 100% vested in all matching contributions after four years of service.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matching contribution information to our 401(k)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2011</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2010</w:t>
            </w:r>
          </w:p>
        </w:tc>
      </w:tr>
      <w:tr>
        <w:trPr>
          <w:trHeight w:val="196"/>
        </w:trPr>
        <w:tc>
          <w:tcPr>
            <w:tcW w:w="7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122"/>
              <w:spacing w:after="0"/>
              <w:rPr>
                <w:sz w:val="20"/>
                <w:szCs w:val="20"/>
                <w:color w:val="auto"/>
              </w:rPr>
            </w:pPr>
            <w:r>
              <w:rPr>
                <w:rFonts w:ascii="Arial" w:cs="Arial" w:eastAsia="Arial" w:hAnsi="Arial"/>
                <w:sz w:val="14"/>
                <w:szCs w:val="14"/>
                <w:i w:val="1"/>
                <w:iCs w:val="1"/>
                <w:color w:val="auto"/>
                <w:w w:val="92"/>
              </w:rPr>
              <w:t>(in thousands)</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Matching contributions to EZCORP 401(k) Plan</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377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260</w:t>
            </w: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(60 years old and five years of active service) while actively employed by us. Expense of contributions to the Supplemental Executive Retirement Plan is recognized based on the vesting schedule.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contribution and amortized expense amounts related to the Supplemental Executive Retirement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2011</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r>
      <w:tr>
        <w:trPr>
          <w:trHeight w:val="196"/>
        </w:trPr>
        <w:tc>
          <w:tcPr>
            <w:tcW w:w="7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i w:val="1"/>
                <w:iCs w:val="1"/>
                <w:color w:val="auto"/>
                <w:w w:val="92"/>
              </w:rPr>
              <w:t>(in thousands)</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to the Supplemental Executive Retirement Plan</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Amortized expense due to Supplemental Executive Retirement Plan</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807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526</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562</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INFORMATION (UNAUDITED)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First Quarter</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Second Quarter</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Fourth Quarter</w:t>
            </w:r>
          </w:p>
        </w:tc>
      </w:tr>
      <w:tr>
        <w:trPr>
          <w:trHeight w:val="196"/>
        </w:trPr>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3"/>
          </w:tcPr>
          <w:p>
            <w:pPr>
              <w:jc w:val="right"/>
              <w:ind w:right="52"/>
              <w:spacing w:after="0"/>
              <w:rPr>
                <w:sz w:val="20"/>
                <w:szCs w:val="20"/>
                <w:color w:val="auto"/>
              </w:rPr>
            </w:pPr>
            <w:r>
              <w:rPr>
                <w:rFonts w:ascii="Arial" w:cs="Arial" w:eastAsia="Arial" w:hAnsi="Arial"/>
                <w:sz w:val="14"/>
                <w:szCs w:val="14"/>
                <w:i w:val="1"/>
                <w:iCs w:val="1"/>
                <w:color w:val="auto"/>
                <w:w w:val="93"/>
              </w:rPr>
              <w:t>(in thousands, except per share amounts)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September 30, 2012</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248,873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256,278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228,964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258,352</w:t>
            </w: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154,028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161,622</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145,260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163,318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 attributable to EZCORP, Inc.</w:t>
            </w:r>
          </w:p>
        </w:tc>
        <w:tc>
          <w:tcPr>
            <w:tcW w:w="1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39,352</w:t>
            </w:r>
          </w:p>
        </w:tc>
        <w:tc>
          <w:tcPr>
            <w:tcW w:w="2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37,261</w:t>
            </w:r>
          </w:p>
        </w:tc>
        <w:tc>
          <w:tcPr>
            <w:tcW w:w="2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28,523</w:t>
            </w: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38,572</w:t>
            </w: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0.75</w:t>
            </w: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September 30, 2011</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218,826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213,254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203,152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234,085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134,232</w:t>
            </w:r>
          </w:p>
        </w:tc>
        <w:tc>
          <w:tcPr>
            <w:tcW w:w="2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130,950</w:t>
            </w:r>
          </w:p>
        </w:tc>
        <w:tc>
          <w:tcPr>
            <w:tcW w:w="2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122,997</w:t>
            </w: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146,759</w:t>
            </w: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27,429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31,838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26,527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36,365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0.73</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0.72</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OPERATING SEGMENT INFORMATION</w:t>
      </w:r>
    </w:p>
    <w:p>
      <w:pPr>
        <w:spacing w:after="0" w:line="17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Segment information is prepared on the same basis that our management reviews financial information for operational decision-making purposes. Previously, we reported segment information based primarily on product offerings. Beginning in fiscal 2012, we redefined our reportable operating segments based on geography as our company is organized and managed along geographic lines, with product offerings and channels based on local custom and regulation. As a result, we concluded that segment reporting based on geography more closely aligns with our management organization and strategic direction.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International — All business activities in the rest of the world (currently consisting of consumer loans online in the U.K. and our equity interests in the net income of Albemarle &amp; Bond and Cash Converters International)</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Concurrent with the change in reportable operating segments, we revised our prior period financial information to reflect comparable financial information for the new segment structure.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There are no inter-segment revenues, and the amounts below were determined in accordance with the same accounting principles used in our consolidated financial statements. The following tables present operating segment information for the three years ending ending September 30, 2012, 2011, and 2010 including the reclassifications discussed in Note 1, “Organization and Summary of Significant Accounting Policies.”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Year Ended September 30, 2012</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Other International</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5"/>
          </w:tcPr>
          <w:p>
            <w:pPr>
              <w:jc w:val="center"/>
              <w:ind w:right="32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335,410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192,587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208,319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210,645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235,642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Consumer loan fees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170,886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26,901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207,671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871,348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110,927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992,467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169,285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192,014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134,848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37,405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41,377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624,228</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Store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272,446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303,486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25,893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14,281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44,771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229,793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49,264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Gain on sale or disposal of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221,600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71,023</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150,577</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143,708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right"/>
              <w:ind w:right="77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Year Ended September 30, 2011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Other International</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5"/>
          </w:tcPr>
          <w:p>
            <w:pPr>
              <w:jc w:val="center"/>
              <w:ind w:right="32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282,083</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196,482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15,997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212,479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201,135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Consumer loan fees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171,951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171,951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811,060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58,257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869,317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147,388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14,672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162,060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133,560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38,759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38,759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534,938</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Store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246,416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267,052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19,444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24,686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244,746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50,584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188,711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122,159</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122,159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right"/>
              <w:ind w:right="77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Year Ended September 30, 2010</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Other International</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5"/>
          </w:tcPr>
          <w:p>
            <w:pPr>
              <w:jc w:val="center"/>
              <w:ind w:right="32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240,454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164,022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171,411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163,695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Consumer loan fees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157,022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157,022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702,436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733,045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131,825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140,284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34,444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34,444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447,479</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Store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236,664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16,550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19,382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178,644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189,204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151,530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54,236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97,294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97,294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right"/>
              <w:ind w:right="77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Other International</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r>
      <w:tr>
        <w:trPr>
          <w:trHeight w:val="244"/>
        </w:trPr>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6"/>
          </w:tcPr>
          <w:p>
            <w:pPr>
              <w:ind w:left="90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Assets at September 30, 2012</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37,311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Pawn loans,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157,648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Consumer loans,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18,960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73,422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96,149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charges and fees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59,817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94,449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14,765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109,214</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85,670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Restricted cash, non-current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4,337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4,337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374,663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18,824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21,867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43,637</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separately identified recorded segment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607,257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311,259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51,075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969,591</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Consumer loans outstanding from unaffiliated lenders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25,484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25,484</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at September 30, 2011</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10,040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11,536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Pawn loans,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145,318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Consumer loans,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14,611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charges and fees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81,859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8,514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90,373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64,238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163,897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9,309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173,206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17,642</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separately identified recorded segment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504,675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45,479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550,154</w:t>
            </w: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outstanding from unaffiliated lenders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27,040</w:t>
            </w:r>
          </w:p>
        </w:tc>
      </w:tr>
      <w:tr>
        <w:trPr>
          <w:trHeight w:val="378"/>
        </w:trPr>
        <w:tc>
          <w:tcPr>
            <w:tcW w:w="9940" w:type="dxa"/>
            <w:vAlign w:val="bottom"/>
            <w:gridSpan w:val="11"/>
          </w:tcPr>
          <w:p>
            <w:pPr>
              <w:spacing w:after="0"/>
              <w:rPr>
                <w:sz w:val="20"/>
                <w:szCs w:val="20"/>
                <w:color w:val="auto"/>
              </w:rPr>
            </w:pPr>
            <w:r>
              <w:rPr>
                <w:rFonts w:ascii="Arial" w:cs="Arial" w:eastAsia="Arial" w:hAnsi="Arial"/>
                <w:sz w:val="18"/>
                <w:szCs w:val="18"/>
                <w:color w:val="auto"/>
                <w:w w:val="98"/>
              </w:rPr>
              <w:t>The following table reconciles separately identified recorded segment assets, as shown above, to our consolidated total 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4"/>
          </w:tcPr>
          <w:p>
            <w:pPr>
              <w:jc w:val="right"/>
              <w:ind w:right="10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separately identified recorded segment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969,591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550,154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248,416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206,296</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1,218,007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756,450</w:t>
            </w:r>
          </w:p>
        </w:tc>
      </w:tr>
      <w:tr>
        <w:trPr>
          <w:trHeight w:val="729"/>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geographic information required by ASC 280-10-50-41: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center"/>
              <w:ind w:left="555"/>
              <w:spacing w:after="0"/>
              <w:rPr>
                <w:sz w:val="20"/>
                <w:szCs w:val="20"/>
                <w:color w:val="auto"/>
              </w:rPr>
            </w:pPr>
            <w:r>
              <w:rPr>
                <w:rFonts w:ascii="Arial" w:cs="Arial" w:eastAsia="Arial" w:hAnsi="Arial"/>
                <w:sz w:val="14"/>
                <w:szCs w:val="14"/>
                <w:b w:val="1"/>
                <w:bCs w:val="1"/>
                <w:color w:val="auto"/>
                <w:w w:val="91"/>
              </w:rPr>
              <w:t>Fiscal Years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4"/>
              </w:rPr>
              <w:t>(in thousands)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854,766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800,564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700,354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110,927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58,257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30,609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Canada</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16,582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10,496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U.K</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10,192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992,467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869,317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733,045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6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317,887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240,661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155,488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22,945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Canada</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10,199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7,888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U.K</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44,363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527,979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271,494</w:t>
            </w: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ALLOWANCE FOR LOSSES AND CREDIT QUALITY OF FINANCING RECEIVABLES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w:t>
      </w:r>
    </w:p>
    <w:p>
      <w:pPr>
        <w:spacing w:after="0" w:line="13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consider consumer loans made by our wholly owned subsidiaries defaulted if they have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Accrued fees related to defaulted loans reduce fee revenue upon loan default, and increase fee revenue upon collection.</w:t>
      </w:r>
    </w:p>
    <w:p>
      <w:pPr>
        <w:spacing w:after="0" w:line="1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historical collection experience, the age of past-due loans and amounts we expect to receive through the sale of repossessed vehicles, we provide an allowance for losses on auto title loans.</w:t>
      </w:r>
    </w:p>
    <w:p>
      <w:pPr>
        <w:spacing w:after="0" w:line="11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Crediamigo acquisition marked our initial entry into unsecured consumer lending in Mexico. Consumer loans made by Crediamigo are considered in current status as long as the customer is employed and Crediamigo receives payments via payroll withholdings. Loans made to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Crediamigo charges the loan principal to consumer loan bad debt upon default, leaving only active loans in the reported balance. Collections of principal are recorded as a reduction of consumer loan bad debt when collected. Accrued fees related to defaulted loans reduce fee revenue upon default, and increase fee revenue upon collection.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60"/>
        <w:spacing w:after="0" w:line="381" w:lineRule="auto"/>
        <w:rPr>
          <w:sz w:val="20"/>
          <w:szCs w:val="20"/>
          <w:color w:val="auto"/>
        </w:rPr>
      </w:pPr>
      <w:r>
        <w:rPr>
          <w:rFonts w:ascii="Arial" w:cs="Arial" w:eastAsia="Arial" w:hAnsi="Arial"/>
          <w:sz w:val="15"/>
          <w:szCs w:val="15"/>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w:t>
      </w:r>
    </w:p>
    <w:p>
      <w:pPr>
        <w:spacing w:after="0" w:line="4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The following table presents changes in the allowance for credit losses as well as the recorded investment in our financing receivables by portfolio segment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center"/>
              <w:ind w:right="106"/>
              <w:spacing w:after="0"/>
              <w:rPr>
                <w:sz w:val="20"/>
                <w:szCs w:val="20"/>
                <w:color w:val="auto"/>
              </w:rPr>
            </w:pPr>
            <w:r>
              <w:rPr>
                <w:rFonts w:ascii="Arial" w:cs="Arial" w:eastAsia="Arial" w:hAnsi="Arial"/>
                <w:sz w:val="13"/>
                <w:szCs w:val="13"/>
                <w:b w:val="1"/>
                <w:bCs w:val="1"/>
                <w:color w:val="auto"/>
                <w:w w:val="87"/>
              </w:rPr>
              <w:t>Allowance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center"/>
              <w:ind w:right="106"/>
              <w:spacing w:after="0"/>
              <w:rPr>
                <w:sz w:val="20"/>
                <w:szCs w:val="20"/>
                <w:color w:val="auto"/>
              </w:rPr>
            </w:pPr>
            <w:r>
              <w:rPr>
                <w:rFonts w:ascii="Arial" w:cs="Arial" w:eastAsia="Arial" w:hAnsi="Arial"/>
                <w:sz w:val="13"/>
                <w:szCs w:val="13"/>
                <w:b w:val="1"/>
                <w:bCs w:val="1"/>
                <w:color w:val="auto"/>
                <w:w w:val="87"/>
              </w:rPr>
              <w:t>Allowance</w:t>
            </w:r>
          </w:p>
        </w:tc>
        <w:tc>
          <w:tcPr>
            <w:tcW w:w="240" w:type="dxa"/>
            <w:vAlign w:val="bottom"/>
          </w:tcPr>
          <w:p>
            <w:pPr>
              <w:spacing w:after="0"/>
              <w:rPr>
                <w:sz w:val="13"/>
                <w:szCs w:val="13"/>
                <w:color w:val="auto"/>
              </w:rPr>
            </w:pPr>
          </w:p>
        </w:tc>
        <w:tc>
          <w:tcPr>
            <w:tcW w:w="860" w:type="dxa"/>
            <w:vAlign w:val="bottom"/>
          </w:tcPr>
          <w:p>
            <w:pPr>
              <w:jc w:val="center"/>
              <w:ind w:right="86"/>
              <w:spacing w:after="0"/>
              <w:rPr>
                <w:sz w:val="20"/>
                <w:szCs w:val="20"/>
                <w:color w:val="auto"/>
              </w:rPr>
            </w:pPr>
            <w:r>
              <w:rPr>
                <w:rFonts w:ascii="Arial" w:cs="Arial" w:eastAsia="Arial" w:hAnsi="Arial"/>
                <w:sz w:val="13"/>
                <w:szCs w:val="13"/>
                <w:b w:val="1"/>
                <w:bCs w:val="1"/>
                <w:color w:val="auto"/>
                <w:w w:val="87"/>
              </w:rPr>
              <w:t>Financing</w:t>
            </w:r>
          </w:p>
        </w:tc>
      </w:tr>
      <w:tr>
        <w:trPr>
          <w:trHeight w:val="135"/>
        </w:trPr>
        <w:tc>
          <w:tcPr>
            <w:tcW w:w="3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center"/>
              <w:ind w:right="106"/>
              <w:spacing w:after="0" w:line="135" w:lineRule="exact"/>
              <w:rPr>
                <w:sz w:val="20"/>
                <w:szCs w:val="20"/>
                <w:color w:val="auto"/>
              </w:rPr>
            </w:pPr>
            <w:r>
              <w:rPr>
                <w:rFonts w:ascii="Arial" w:cs="Arial" w:eastAsia="Arial" w:hAnsi="Arial"/>
                <w:sz w:val="13"/>
                <w:szCs w:val="13"/>
                <w:b w:val="1"/>
                <w:bCs w:val="1"/>
                <w:color w:val="auto"/>
                <w:w w:val="86"/>
              </w:rPr>
              <w:t>Balance at</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ind w:right="106"/>
              <w:spacing w:after="0" w:line="135" w:lineRule="exact"/>
              <w:rPr>
                <w:sz w:val="20"/>
                <w:szCs w:val="20"/>
                <w:color w:val="auto"/>
              </w:rPr>
            </w:pPr>
            <w:r>
              <w:rPr>
                <w:rFonts w:ascii="Arial" w:cs="Arial" w:eastAsia="Arial" w:hAnsi="Arial"/>
                <w:sz w:val="13"/>
                <w:szCs w:val="13"/>
                <w:b w:val="1"/>
                <w:bCs w:val="1"/>
                <w:color w:val="auto"/>
                <w:w w:val="86"/>
              </w:rPr>
              <w:t>Balance at</w:t>
            </w:r>
          </w:p>
        </w:tc>
        <w:tc>
          <w:tcPr>
            <w:tcW w:w="240" w:type="dxa"/>
            <w:vAlign w:val="bottom"/>
          </w:tcPr>
          <w:p>
            <w:pPr>
              <w:spacing w:after="0"/>
              <w:rPr>
                <w:sz w:val="11"/>
                <w:szCs w:val="11"/>
                <w:color w:val="auto"/>
              </w:rPr>
            </w:pPr>
          </w:p>
        </w:tc>
        <w:tc>
          <w:tcPr>
            <w:tcW w:w="860" w:type="dxa"/>
            <w:vAlign w:val="bottom"/>
          </w:tcPr>
          <w:p>
            <w:pPr>
              <w:jc w:val="center"/>
              <w:ind w:right="86"/>
              <w:spacing w:after="0" w:line="135" w:lineRule="exact"/>
              <w:rPr>
                <w:sz w:val="20"/>
                <w:szCs w:val="20"/>
                <w:color w:val="auto"/>
              </w:rPr>
            </w:pPr>
            <w:r>
              <w:rPr>
                <w:rFonts w:ascii="Arial" w:cs="Arial" w:eastAsia="Arial" w:hAnsi="Arial"/>
                <w:sz w:val="13"/>
                <w:szCs w:val="13"/>
                <w:b w:val="1"/>
                <w:bCs w:val="1"/>
                <w:color w:val="auto"/>
                <w:w w:val="85"/>
              </w:rPr>
              <w:t>Receivable</w:t>
            </w:r>
          </w:p>
        </w:tc>
      </w:tr>
      <w:tr>
        <w:trPr>
          <w:trHeight w:val="135"/>
        </w:trPr>
        <w:tc>
          <w:tcPr>
            <w:tcW w:w="3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center"/>
              <w:ind w:right="126"/>
              <w:spacing w:after="0" w:line="135" w:lineRule="exact"/>
              <w:rPr>
                <w:sz w:val="20"/>
                <w:szCs w:val="20"/>
                <w:color w:val="auto"/>
              </w:rPr>
            </w:pPr>
            <w:r>
              <w:rPr>
                <w:rFonts w:ascii="Arial" w:cs="Arial" w:eastAsia="Arial" w:hAnsi="Arial"/>
                <w:sz w:val="13"/>
                <w:szCs w:val="13"/>
                <w:b w:val="1"/>
                <w:bCs w:val="1"/>
                <w:color w:val="auto"/>
                <w:w w:val="84"/>
              </w:rPr>
              <w:t>Beginning</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120"/>
              <w:spacing w:after="0" w:line="135" w:lineRule="exact"/>
              <w:rPr>
                <w:sz w:val="20"/>
                <w:szCs w:val="20"/>
                <w:color w:val="auto"/>
              </w:rPr>
            </w:pPr>
            <w:r>
              <w:rPr>
                <w:rFonts w:ascii="Arial" w:cs="Arial" w:eastAsia="Arial" w:hAnsi="Arial"/>
                <w:sz w:val="13"/>
                <w:szCs w:val="13"/>
                <w:b w:val="1"/>
                <w:bCs w:val="1"/>
                <w:color w:val="auto"/>
                <w:w w:val="91"/>
              </w:rPr>
              <w:t>Translation</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ind w:right="106"/>
              <w:spacing w:after="0" w:line="135" w:lineRule="exact"/>
              <w:rPr>
                <w:sz w:val="20"/>
                <w:szCs w:val="20"/>
                <w:color w:val="auto"/>
              </w:rPr>
            </w:pPr>
            <w:r>
              <w:rPr>
                <w:rFonts w:ascii="Arial" w:cs="Arial" w:eastAsia="Arial" w:hAnsi="Arial"/>
                <w:sz w:val="13"/>
                <w:szCs w:val="13"/>
                <w:b w:val="1"/>
                <w:bCs w:val="1"/>
                <w:color w:val="auto"/>
                <w:w w:val="88"/>
              </w:rPr>
              <w:t>End of</w:t>
            </w:r>
          </w:p>
        </w:tc>
        <w:tc>
          <w:tcPr>
            <w:tcW w:w="240" w:type="dxa"/>
            <w:vAlign w:val="bottom"/>
          </w:tcPr>
          <w:p>
            <w:pPr>
              <w:spacing w:after="0"/>
              <w:rPr>
                <w:sz w:val="11"/>
                <w:szCs w:val="11"/>
                <w:color w:val="auto"/>
              </w:rPr>
            </w:pPr>
          </w:p>
        </w:tc>
        <w:tc>
          <w:tcPr>
            <w:tcW w:w="860" w:type="dxa"/>
            <w:vAlign w:val="bottom"/>
          </w:tcPr>
          <w:p>
            <w:pPr>
              <w:jc w:val="center"/>
              <w:ind w:right="86"/>
              <w:spacing w:after="0" w:line="135" w:lineRule="exact"/>
              <w:rPr>
                <w:sz w:val="20"/>
                <w:szCs w:val="20"/>
                <w:color w:val="auto"/>
              </w:rPr>
            </w:pPr>
            <w:r>
              <w:rPr>
                <w:rFonts w:ascii="Arial" w:cs="Arial" w:eastAsia="Arial" w:hAnsi="Arial"/>
                <w:sz w:val="13"/>
                <w:szCs w:val="13"/>
                <w:b w:val="1"/>
                <w:bCs w:val="1"/>
                <w:color w:val="auto"/>
                <w:w w:val="89"/>
              </w:rPr>
              <w:t>at End of</w:t>
            </w:r>
          </w:p>
        </w:tc>
      </w:tr>
      <w:tr>
        <w:trPr>
          <w:trHeight w:val="17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Description</w:t>
            </w: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26"/>
              <w:spacing w:after="0"/>
              <w:rPr>
                <w:sz w:val="20"/>
                <w:szCs w:val="20"/>
                <w:color w:val="auto"/>
              </w:rPr>
            </w:pPr>
            <w:r>
              <w:rPr>
                <w:rFonts w:ascii="Arial" w:cs="Arial" w:eastAsia="Arial" w:hAnsi="Arial"/>
                <w:sz w:val="13"/>
                <w:szCs w:val="13"/>
                <w:b w:val="1"/>
                <w:bCs w:val="1"/>
                <w:color w:val="auto"/>
                <w:w w:val="88"/>
              </w:rPr>
              <w:t>of Period</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w w:val="90"/>
              </w:rPr>
              <w:t>Charge-offs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w w:val="89"/>
              </w:rPr>
              <w:t>Recoveries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94"/>
              </w:rPr>
              <w:t>Provision</w:t>
            </w: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w w:val="89"/>
              </w:rPr>
              <w:t>Adjustment</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w w:val="88"/>
              </w:rPr>
              <w:t>Period</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88"/>
              </w:rPr>
              <w:t>Period</w:t>
            </w:r>
          </w:p>
        </w:tc>
      </w:tr>
      <w:tr>
        <w:trPr>
          <w:trHeight w:val="197"/>
        </w:trPr>
        <w:tc>
          <w:tcPr>
            <w:tcW w:w="3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Unsecured short-term consumer loans:</w:t>
            </w: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3160" w:type="dxa"/>
            <w:vAlign w:val="bottom"/>
          </w:tcPr>
          <w:p>
            <w:pPr>
              <w:ind w:left="380"/>
              <w:spacing w:after="0"/>
              <w:rPr>
                <w:sz w:val="20"/>
                <w:szCs w:val="20"/>
                <w:color w:val="auto"/>
              </w:rPr>
            </w:pPr>
            <w:r>
              <w:rPr>
                <w:rFonts w:ascii="Arial" w:cs="Arial" w:eastAsia="Arial" w:hAnsi="Arial"/>
                <w:sz w:val="16"/>
                <w:szCs w:val="16"/>
                <w:color w:val="auto"/>
              </w:rPr>
              <w:t>Year ended September 30, 2012</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1,727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(26,564)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12,176</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15,034</w:t>
            </w:r>
          </w:p>
        </w:tc>
        <w:tc>
          <w:tcPr>
            <w:tcW w:w="7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6"/>
              <w:spacing w:after="0"/>
              <w:rPr>
                <w:sz w:val="20"/>
                <w:szCs w:val="20"/>
                <w:color w:val="auto"/>
              </w:rPr>
            </w:pPr>
            <w:r>
              <w:rPr>
                <w:rFonts w:ascii="Arial" w:cs="Arial" w:eastAsia="Arial" w:hAnsi="Arial"/>
                <w:sz w:val="16"/>
                <w:szCs w:val="16"/>
                <w:color w:val="auto"/>
              </w:rPr>
              <w:t>2,390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20,108</w:t>
            </w:r>
          </w:p>
        </w:tc>
      </w:tr>
      <w:tr>
        <w:trPr>
          <w:trHeight w:val="33"/>
        </w:trPr>
        <w:tc>
          <w:tcPr>
            <w:tcW w:w="3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Year ended September 30, 2011</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750</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(18,043)</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6,349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12,671</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1,727</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13,116</w:t>
            </w:r>
          </w:p>
        </w:tc>
      </w:tr>
      <w:tr>
        <w:trPr>
          <w:trHeight w:val="237"/>
        </w:trPr>
        <w:tc>
          <w:tcPr>
            <w:tcW w:w="3160" w:type="dxa"/>
            <w:vAlign w:val="bottom"/>
          </w:tcPr>
          <w:p>
            <w:pPr>
              <w:ind w:left="380"/>
              <w:spacing w:after="0"/>
              <w:rPr>
                <w:sz w:val="20"/>
                <w:szCs w:val="20"/>
                <w:color w:val="auto"/>
              </w:rPr>
            </w:pPr>
            <w:r>
              <w:rPr>
                <w:rFonts w:ascii="Arial" w:cs="Arial" w:eastAsia="Arial" w:hAnsi="Arial"/>
                <w:sz w:val="16"/>
                <w:szCs w:val="16"/>
                <w:color w:val="auto"/>
              </w:rPr>
              <w:t>Year ended September 30, 2010</w:t>
            </w:r>
          </w:p>
        </w:tc>
        <w:tc>
          <w:tcPr>
            <w:tcW w:w="560" w:type="dxa"/>
            <w:vAlign w:val="bottom"/>
          </w:tcPr>
          <w:p>
            <w:pPr>
              <w:spacing w:after="0"/>
              <w:rPr>
                <w:sz w:val="20"/>
                <w:szCs w:val="20"/>
                <w:color w:val="auto"/>
              </w:rPr>
            </w:pP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532</w:t>
            </w:r>
          </w:p>
        </w:tc>
        <w:tc>
          <w:tcPr>
            <w:tcW w:w="26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(14,807)</w:t>
            </w: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5,757</w:t>
            </w:r>
          </w:p>
        </w:tc>
        <w:tc>
          <w:tcPr>
            <w:tcW w:w="28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9,268</w:t>
            </w:r>
          </w:p>
        </w:tc>
        <w:tc>
          <w:tcPr>
            <w:tcW w:w="780" w:type="dxa"/>
            <w:vAlign w:val="bottom"/>
          </w:tcPr>
          <w:p>
            <w:pPr>
              <w:spacing w:after="0"/>
              <w:rPr>
                <w:sz w:val="20"/>
                <w:szCs w:val="20"/>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46"/>
              <w:spacing w:after="0"/>
              <w:rPr>
                <w:sz w:val="20"/>
                <w:szCs w:val="20"/>
                <w:color w:val="auto"/>
              </w:rPr>
            </w:pPr>
            <w:r>
              <w:rPr>
                <w:rFonts w:ascii="Arial" w:cs="Arial" w:eastAsia="Arial" w:hAnsi="Arial"/>
                <w:sz w:val="16"/>
                <w:szCs w:val="16"/>
                <w:color w:val="auto"/>
              </w:rPr>
              <w:t>750</w:t>
            </w:r>
          </w:p>
        </w:tc>
        <w:tc>
          <w:tcPr>
            <w:tcW w:w="240" w:type="dxa"/>
            <w:vAlign w:val="bottom"/>
          </w:tcPr>
          <w:p>
            <w:pPr>
              <w:spacing w:after="0"/>
              <w:rPr>
                <w:sz w:val="20"/>
                <w:szCs w:val="20"/>
                <w:color w:val="auto"/>
              </w:rPr>
            </w:pP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11,525</w:t>
            </w:r>
          </w:p>
        </w:tc>
      </w:tr>
      <w:tr>
        <w:trPr>
          <w:trHeight w:val="33"/>
        </w:trPr>
        <w:tc>
          <w:tcPr>
            <w:tcW w:w="3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 short-term consumer loans:</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3160" w:type="dxa"/>
            <w:vAlign w:val="bottom"/>
          </w:tcPr>
          <w:p>
            <w:pPr>
              <w:ind w:left="380"/>
              <w:spacing w:after="0"/>
              <w:rPr>
                <w:sz w:val="20"/>
                <w:szCs w:val="20"/>
                <w:color w:val="auto"/>
              </w:rPr>
            </w:pPr>
            <w:r>
              <w:rPr>
                <w:rFonts w:ascii="Arial" w:cs="Arial" w:eastAsia="Arial" w:hAnsi="Arial"/>
                <w:sz w:val="16"/>
                <w:szCs w:val="16"/>
                <w:color w:val="auto"/>
              </w:rPr>
              <w:t>Year ended September 30, 2012</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538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(11,295)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9,087</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2,612</w:t>
            </w:r>
          </w:p>
        </w:tc>
        <w:tc>
          <w:tcPr>
            <w:tcW w:w="7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6"/>
              <w:spacing w:after="0"/>
              <w:rPr>
                <w:sz w:val="20"/>
                <w:szCs w:val="20"/>
                <w:color w:val="auto"/>
              </w:rPr>
            </w:pPr>
            <w:r>
              <w:rPr>
                <w:rFonts w:ascii="Arial" w:cs="Arial" w:eastAsia="Arial" w:hAnsi="Arial"/>
                <w:sz w:val="16"/>
                <w:szCs w:val="16"/>
                <w:color w:val="auto"/>
              </w:rPr>
              <w:t>942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5,951</w:t>
            </w:r>
          </w:p>
        </w:tc>
      </w:tr>
      <w:tr>
        <w:trPr>
          <w:trHeight w:val="33"/>
        </w:trPr>
        <w:tc>
          <w:tcPr>
            <w:tcW w:w="3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Year ended September 30, 2011</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1,137</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(12,616)</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10,074</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1,943</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538</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3,760</w:t>
            </w:r>
          </w:p>
        </w:tc>
      </w:tr>
      <w:tr>
        <w:trPr>
          <w:trHeight w:val="237"/>
        </w:trPr>
        <w:tc>
          <w:tcPr>
            <w:tcW w:w="3160" w:type="dxa"/>
            <w:vAlign w:val="bottom"/>
          </w:tcPr>
          <w:p>
            <w:pPr>
              <w:ind w:left="380"/>
              <w:spacing w:after="0"/>
              <w:rPr>
                <w:sz w:val="20"/>
                <w:szCs w:val="20"/>
                <w:color w:val="auto"/>
              </w:rPr>
            </w:pPr>
            <w:r>
              <w:rPr>
                <w:rFonts w:ascii="Arial" w:cs="Arial" w:eastAsia="Arial" w:hAnsi="Arial"/>
                <w:sz w:val="16"/>
                <w:szCs w:val="16"/>
                <w:color w:val="auto"/>
              </w:rPr>
              <w:t>Year ended September 30, 2010</w:t>
            </w:r>
          </w:p>
        </w:tc>
        <w:tc>
          <w:tcPr>
            <w:tcW w:w="560" w:type="dxa"/>
            <w:vAlign w:val="bottom"/>
          </w:tcPr>
          <w:p>
            <w:pPr>
              <w:spacing w:after="0"/>
              <w:rPr>
                <w:sz w:val="20"/>
                <w:szCs w:val="20"/>
                <w:color w:val="auto"/>
              </w:rPr>
            </w:pP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291</w:t>
            </w:r>
          </w:p>
        </w:tc>
        <w:tc>
          <w:tcPr>
            <w:tcW w:w="26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(9,240)</w:t>
            </w: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7,425</w:t>
            </w:r>
          </w:p>
        </w:tc>
        <w:tc>
          <w:tcPr>
            <w:tcW w:w="280" w:type="dxa"/>
            <w:vAlign w:val="bottom"/>
          </w:tcPr>
          <w:p>
            <w:pPr>
              <w:spacing w:after="0"/>
              <w:rPr>
                <w:sz w:val="20"/>
                <w:szCs w:val="20"/>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2,661</w:t>
            </w:r>
          </w:p>
        </w:tc>
        <w:tc>
          <w:tcPr>
            <w:tcW w:w="780" w:type="dxa"/>
            <w:vAlign w:val="bottom"/>
          </w:tcPr>
          <w:p>
            <w:pPr>
              <w:spacing w:after="0"/>
              <w:rPr>
                <w:sz w:val="20"/>
                <w:szCs w:val="20"/>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46"/>
              <w:spacing w:after="0"/>
              <w:rPr>
                <w:sz w:val="20"/>
                <w:szCs w:val="20"/>
                <w:color w:val="auto"/>
              </w:rPr>
            </w:pPr>
            <w:r>
              <w:rPr>
                <w:rFonts w:ascii="Arial" w:cs="Arial" w:eastAsia="Arial" w:hAnsi="Arial"/>
                <w:sz w:val="16"/>
                <w:szCs w:val="16"/>
                <w:color w:val="auto"/>
              </w:rPr>
              <w:t>1,137</w:t>
            </w:r>
          </w:p>
        </w:tc>
        <w:tc>
          <w:tcPr>
            <w:tcW w:w="240" w:type="dxa"/>
            <w:vAlign w:val="bottom"/>
          </w:tcPr>
          <w:p>
            <w:pPr>
              <w:spacing w:after="0"/>
              <w:rPr>
                <w:sz w:val="20"/>
                <w:szCs w:val="20"/>
                <w:color w:val="auto"/>
              </w:rPr>
            </w:pP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4,282</w:t>
            </w:r>
          </w:p>
        </w:tc>
      </w:tr>
      <w:tr>
        <w:trPr>
          <w:trHeight w:val="33"/>
        </w:trPr>
        <w:tc>
          <w:tcPr>
            <w:tcW w:w="3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Unsecured long-term consumer loans:</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3160" w:type="dxa"/>
            <w:vAlign w:val="bottom"/>
          </w:tcPr>
          <w:p>
            <w:pPr>
              <w:ind w:left="380"/>
              <w:spacing w:after="0"/>
              <w:rPr>
                <w:sz w:val="20"/>
                <w:szCs w:val="20"/>
                <w:color w:val="auto"/>
              </w:rPr>
            </w:pPr>
            <w:r>
              <w:rPr>
                <w:rFonts w:ascii="Arial" w:cs="Arial" w:eastAsia="Arial" w:hAnsi="Arial"/>
                <w:sz w:val="16"/>
                <w:szCs w:val="16"/>
                <w:color w:val="auto"/>
              </w:rPr>
              <w:t>Year ended September 30, 2012</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896</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285</w:t>
            </w:r>
          </w:p>
        </w:tc>
        <w:tc>
          <w:tcPr>
            <w:tcW w:w="7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6"/>
              <w:spacing w:after="0"/>
              <w:rPr>
                <w:sz w:val="20"/>
                <w:szCs w:val="20"/>
                <w:color w:val="auto"/>
              </w:rPr>
            </w:pPr>
            <w:r>
              <w:rPr>
                <w:rFonts w:ascii="Arial" w:cs="Arial" w:eastAsia="Arial" w:hAnsi="Arial"/>
                <w:sz w:val="16"/>
                <w:szCs w:val="16"/>
                <w:color w:val="auto"/>
              </w:rPr>
              <w:t>623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74,045</w:t>
            </w:r>
          </w:p>
        </w:tc>
      </w:tr>
    </w:tbl>
    <w:p>
      <w:pPr>
        <w:spacing w:after="0" w:line="18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provisions presented in the table above include only principal and excludes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Auto title loans are our only consumer loans (other than those made by Crediamigo) that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1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Consumer loans made by Crediamigo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No fees are accrued on any consumer loans made to customers that are no longer employed.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aging analysis of past due financing receivables by portfolio segment:</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Days Past Due</w:t>
            </w: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jc w:val="center"/>
              <w:ind w:left="77"/>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32"/>
        </w:trPr>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3"/>
              </w:rPr>
              <w:t>Current</w:t>
            </w:r>
          </w:p>
        </w:tc>
        <w:tc>
          <w:tcPr>
            <w:tcW w:w="10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0"/>
              </w:rPr>
              <w:t>Fair Value</w:t>
            </w:r>
          </w:p>
        </w:tc>
        <w:tc>
          <w:tcPr>
            <w:tcW w:w="11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Total Financing</w:t>
            </w: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Allowance</w:t>
            </w:r>
          </w:p>
        </w:tc>
        <w:tc>
          <w:tcPr>
            <w:tcW w:w="1100" w:type="dxa"/>
            <w:vAlign w:val="bottom"/>
            <w:vMerge w:val="restart"/>
          </w:tcPr>
          <w:p>
            <w:pPr>
              <w:jc w:val="center"/>
              <w:ind w:left="97"/>
              <w:spacing w:after="0" w:line="135" w:lineRule="exact"/>
              <w:rPr>
                <w:sz w:val="20"/>
                <w:szCs w:val="20"/>
                <w:color w:val="auto"/>
              </w:rPr>
            </w:pPr>
            <w:r>
              <w:rPr>
                <w:rFonts w:ascii="Arial" w:cs="Arial" w:eastAsia="Arial" w:hAnsi="Arial"/>
                <w:sz w:val="13"/>
                <w:szCs w:val="13"/>
                <w:b w:val="1"/>
                <w:bCs w:val="1"/>
                <w:color w:val="auto"/>
                <w:w w:val="87"/>
              </w:rPr>
              <w:t>Investment &gt; 90</w:t>
            </w:r>
          </w:p>
        </w:tc>
        <w:tc>
          <w:tcPr>
            <w:tcW w:w="0" w:type="dxa"/>
            <w:vAlign w:val="bottom"/>
          </w:tcPr>
          <w:p>
            <w:pPr>
              <w:spacing w:after="0"/>
              <w:rPr>
                <w:sz w:val="1"/>
                <w:szCs w:val="1"/>
                <w:color w:val="auto"/>
              </w:rPr>
            </w:pPr>
          </w:p>
        </w:tc>
      </w:tr>
      <w:tr>
        <w:trPr>
          <w:trHeight w:val="83"/>
        </w:trPr>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920" w:type="dxa"/>
            <w:vAlign w:val="bottom"/>
          </w:tcPr>
          <w:p>
            <w:pPr>
              <w:jc w:val="right"/>
              <w:ind w:right="317"/>
              <w:spacing w:after="0"/>
              <w:rPr>
                <w:sz w:val="20"/>
                <w:szCs w:val="20"/>
                <w:color w:val="auto"/>
              </w:rPr>
            </w:pPr>
            <w:r>
              <w:rPr>
                <w:rFonts w:ascii="Arial" w:cs="Arial" w:eastAsia="Arial" w:hAnsi="Arial"/>
                <w:sz w:val="13"/>
                <w:szCs w:val="13"/>
                <w:b w:val="1"/>
                <w:bCs w:val="1"/>
                <w:color w:val="auto"/>
              </w:rPr>
              <w:t>1-30</w:t>
            </w:r>
          </w:p>
        </w:tc>
        <w:tc>
          <w:tcPr>
            <w:tcW w:w="1340" w:type="dxa"/>
            <w:vAlign w:val="bottom"/>
          </w:tcPr>
          <w:p>
            <w:pPr>
              <w:jc w:val="right"/>
              <w:ind w:right="617"/>
              <w:spacing w:after="0"/>
              <w:rPr>
                <w:sz w:val="20"/>
                <w:szCs w:val="20"/>
                <w:color w:val="auto"/>
              </w:rPr>
            </w:pPr>
            <w:r>
              <w:rPr>
                <w:rFonts w:ascii="Arial" w:cs="Arial" w:eastAsia="Arial" w:hAnsi="Arial"/>
                <w:sz w:val="13"/>
                <w:szCs w:val="13"/>
                <w:b w:val="1"/>
                <w:bCs w:val="1"/>
                <w:color w:val="auto"/>
              </w:rPr>
              <w:t>31-60</w:t>
            </w:r>
          </w:p>
        </w:tc>
        <w:tc>
          <w:tcPr>
            <w:tcW w:w="640" w:type="dxa"/>
            <w:vAlign w:val="bottom"/>
          </w:tcPr>
          <w:p>
            <w:pPr>
              <w:jc w:val="right"/>
              <w:ind w:right="277"/>
              <w:spacing w:after="0"/>
              <w:rPr>
                <w:sz w:val="20"/>
                <w:szCs w:val="20"/>
                <w:color w:val="auto"/>
              </w:rPr>
            </w:pPr>
            <w:r>
              <w:rPr>
                <w:rFonts w:ascii="Arial" w:cs="Arial" w:eastAsia="Arial" w:hAnsi="Arial"/>
                <w:sz w:val="13"/>
                <w:szCs w:val="13"/>
                <w:b w:val="1"/>
                <w:bCs w:val="1"/>
                <w:color w:val="auto"/>
                <w:w w:val="84"/>
              </w:rPr>
              <w:t>61-90</w:t>
            </w:r>
          </w:p>
        </w:tc>
        <w:tc>
          <w:tcPr>
            <w:tcW w:w="820" w:type="dxa"/>
            <w:vAlign w:val="bottom"/>
          </w:tcPr>
          <w:p>
            <w:pPr>
              <w:jc w:val="right"/>
              <w:ind w:right="237"/>
              <w:spacing w:after="0"/>
              <w:rPr>
                <w:sz w:val="20"/>
                <w:szCs w:val="20"/>
                <w:color w:val="auto"/>
              </w:rPr>
            </w:pPr>
            <w:r>
              <w:rPr>
                <w:rFonts w:ascii="Arial" w:cs="Arial" w:eastAsia="Arial" w:hAnsi="Arial"/>
                <w:sz w:val="13"/>
                <w:szCs w:val="13"/>
                <w:b w:val="1"/>
                <w:bCs w:val="1"/>
                <w:color w:val="auto"/>
              </w:rPr>
              <w:t>&gt;90</w:t>
            </w:r>
          </w:p>
        </w:tc>
        <w:tc>
          <w:tcPr>
            <w:tcW w:w="1120" w:type="dxa"/>
            <w:vAlign w:val="bottom"/>
          </w:tcPr>
          <w:p>
            <w:pPr>
              <w:ind w:left="160"/>
              <w:spacing w:after="0"/>
              <w:rPr>
                <w:sz w:val="20"/>
                <w:szCs w:val="20"/>
                <w:color w:val="auto"/>
              </w:rPr>
            </w:pPr>
            <w:r>
              <w:rPr>
                <w:rFonts w:ascii="Arial" w:cs="Arial" w:eastAsia="Arial" w:hAnsi="Arial"/>
                <w:sz w:val="13"/>
                <w:szCs w:val="13"/>
                <w:b w:val="1"/>
                <w:bCs w:val="1"/>
                <w:color w:val="auto"/>
              </w:rPr>
              <w:t>Total Past Due</w:t>
            </w:r>
          </w:p>
        </w:tc>
        <w:tc>
          <w:tcPr>
            <w:tcW w:w="980" w:type="dxa"/>
            <w:vAlign w:val="bottom"/>
          </w:tcPr>
          <w:p>
            <w:pPr>
              <w:jc w:val="center"/>
              <w:ind w:right="17"/>
              <w:spacing w:after="0"/>
              <w:rPr>
                <w:sz w:val="20"/>
                <w:szCs w:val="20"/>
                <w:color w:val="auto"/>
              </w:rPr>
            </w:pPr>
            <w:r>
              <w:rPr>
                <w:rFonts w:ascii="Arial" w:cs="Arial" w:eastAsia="Arial" w:hAnsi="Arial"/>
                <w:sz w:val="13"/>
                <w:szCs w:val="13"/>
                <w:b w:val="1"/>
                <w:bCs w:val="1"/>
                <w:color w:val="auto"/>
                <w:w w:val="85"/>
              </w:rPr>
              <w:t>Receivable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Adjustment</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Receivable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1100" w:type="dxa"/>
            <w:vAlign w:val="bottom"/>
          </w:tcPr>
          <w:p>
            <w:pPr>
              <w:jc w:val="center"/>
              <w:ind w:left="97"/>
              <w:spacing w:after="0"/>
              <w:rPr>
                <w:sz w:val="20"/>
                <w:szCs w:val="20"/>
                <w:color w:val="auto"/>
              </w:rPr>
            </w:pPr>
            <w:r>
              <w:rPr>
                <w:rFonts w:ascii="Arial" w:cs="Arial" w:eastAsia="Arial" w:hAnsi="Arial"/>
                <w:sz w:val="13"/>
                <w:szCs w:val="13"/>
                <w:b w:val="1"/>
                <w:bCs w:val="1"/>
                <w:color w:val="auto"/>
                <w:w w:val="90"/>
              </w:rPr>
              <w:t>Days &amp; Accruing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10160</wp:posOffset>
            </wp:positionV>
            <wp:extent cx="6371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8" w:lineRule="exact"/>
        <w:rPr>
          <w:sz w:val="20"/>
          <w:szCs w:val="20"/>
          <w:color w:val="auto"/>
        </w:rPr>
      </w:pPr>
    </w:p>
    <w:p>
      <w:pPr>
        <w:ind w:left="60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Secured short-term consumer loans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September 30,</w:t>
            </w: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3,140</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324"/>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1,939</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7"/>
        </w:trPr>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jc w:val="center"/>
        <w:ind w:right="8300"/>
        <w:spacing w:after="0"/>
        <w:rPr>
          <w:sz w:val="20"/>
          <w:szCs w:val="20"/>
          <w:color w:val="auto"/>
        </w:rPr>
      </w:pPr>
      <w:r>
        <w:rPr>
          <w:rFonts w:ascii="Arial" w:cs="Arial" w:eastAsia="Arial" w:hAnsi="Arial"/>
          <w:sz w:val="16"/>
          <w:szCs w:val="16"/>
          <w:b w:val="1"/>
          <w:bCs w:val="1"/>
          <w:color w:val="auto"/>
        </w:rPr>
        <w:t>Unsecured long-term consumer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September 30,</w:t>
      </w:r>
    </w:p>
    <w:p>
      <w:pPr>
        <w:spacing w:after="0" w:line="63" w:lineRule="exact"/>
        <w:rPr>
          <w:sz w:val="20"/>
          <w:szCs w:val="20"/>
          <w:color w:val="auto"/>
        </w:rPr>
      </w:pPr>
    </w:p>
    <w:p>
      <w:pPr>
        <w:ind w:left="520"/>
        <w:spacing w:after="0"/>
        <w:tabs>
          <w:tab w:leader="none" w:pos="1400" w:val="left"/>
          <w:tab w:leader="none" w:pos="1680" w:val="left"/>
          <w:tab w:leader="none" w:pos="2360" w:val="left"/>
          <w:tab w:leader="none" w:pos="2660" w:val="left"/>
          <w:tab w:leader="none" w:pos="3400" w:val="left"/>
          <w:tab w:leader="none" w:pos="3800" w:val="left"/>
          <w:tab w:leader="none" w:pos="4300" w:val="left"/>
          <w:tab w:leader="none" w:pos="4560" w:val="left"/>
          <w:tab w:leader="none" w:pos="5220" w:val="left"/>
          <w:tab w:leader="none" w:pos="5480" w:val="left"/>
          <w:tab w:leader="none" w:pos="6220" w:val="left"/>
          <w:tab w:leader="none" w:pos="6500" w:val="left"/>
          <w:tab w:leader="none" w:pos="7240" w:val="left"/>
          <w:tab w:leader="none" w:pos="7660" w:val="left"/>
          <w:tab w:leader="none" w:pos="8380" w:val="left"/>
          <w:tab w:leader="none" w:pos="8640" w:val="left"/>
          <w:tab w:leader="none" w:pos="9380" w:val="left"/>
          <w:tab w:leader="none" w:pos="9880" w:val="left"/>
          <w:tab w:leader="none" w:pos="10400" w:val="left"/>
          <w:tab w:leader="none" w:pos="1088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w:t>
        <w:tab/>
        <w:t>2,465</w:t>
      </w:r>
      <w:r>
        <w:rPr>
          <w:sz w:val="20"/>
          <w:szCs w:val="20"/>
          <w:color w:val="auto"/>
        </w:rPr>
        <w:tab/>
      </w:r>
      <w:r>
        <w:rPr>
          <w:rFonts w:ascii="Arial" w:cs="Arial" w:eastAsia="Arial" w:hAnsi="Arial"/>
          <w:sz w:val="18"/>
          <w:szCs w:val="18"/>
          <w:color w:val="auto"/>
        </w:rPr>
        <w:t>$</w:t>
        <w:tab/>
        <w:t>28,783</w:t>
        <w:tab/>
        <w:t>$</w:t>
      </w:r>
      <w:r>
        <w:rPr>
          <w:sz w:val="20"/>
          <w:szCs w:val="20"/>
          <w:color w:val="auto"/>
        </w:rPr>
        <w:tab/>
      </w:r>
      <w:r>
        <w:rPr>
          <w:rFonts w:ascii="Arial" w:cs="Arial" w:eastAsia="Arial" w:hAnsi="Arial"/>
          <w:sz w:val="18"/>
          <w:szCs w:val="18"/>
          <w:color w:val="auto"/>
        </w:rPr>
        <w:t>949</w:t>
        <w:tab/>
        <w:t>$</w:t>
        <w:tab/>
        <w:t>7,507</w:t>
        <w:tab/>
        <w:t>$</w:t>
        <w:tab/>
        <w:t>39,704</w:t>
        <w:tab/>
        <w:t>$</w:t>
        <w:tab/>
        <w:t>37,120</w:t>
        <w:tab/>
        <w:t>$</w:t>
      </w:r>
      <w:r>
        <w:rPr>
          <w:sz w:val="20"/>
          <w:szCs w:val="20"/>
          <w:color w:val="auto"/>
        </w:rPr>
        <w:tab/>
      </w:r>
      <w:r>
        <w:rPr>
          <w:rFonts w:ascii="Arial" w:cs="Arial" w:eastAsia="Arial" w:hAnsi="Arial"/>
          <w:sz w:val="18"/>
          <w:szCs w:val="18"/>
          <w:color w:val="auto"/>
        </w:rPr>
        <w:t>(2,779)</w:t>
        <w:tab/>
        <w:t>$</w:t>
        <w:tab/>
        <w:t>74,045</w:t>
        <w:tab/>
        <w:t>$</w:t>
      </w:r>
      <w:r>
        <w:rPr>
          <w:sz w:val="20"/>
          <w:szCs w:val="20"/>
          <w:color w:val="auto"/>
        </w:rPr>
        <w:tab/>
      </w:r>
      <w:r>
        <w:rPr>
          <w:rFonts w:ascii="Arial" w:cs="Arial" w:eastAsia="Arial" w:hAnsi="Arial"/>
          <w:sz w:val="18"/>
          <w:szCs w:val="18"/>
          <w:color w:val="auto"/>
        </w:rPr>
        <w:t>623</w:t>
        <w:tab/>
        <w:t>$</w:t>
      </w:r>
      <w:r>
        <w:rPr>
          <w:sz w:val="20"/>
          <w:szCs w:val="20"/>
          <w:color w:val="auto"/>
        </w:rPr>
        <w:tab/>
      </w:r>
      <w:r>
        <w:rPr>
          <w:rFonts w:ascii="Arial" w:cs="Arial" w:eastAsia="Arial" w:hAnsi="Arial"/>
          <w:sz w:val="16"/>
          <w:szCs w:val="16"/>
          <w:color w:val="auto"/>
        </w:rPr>
        <w:t>7,506</w:t>
      </w:r>
    </w:p>
    <w:p>
      <w:pPr>
        <w:spacing w:after="0" w:line="90"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16"/>
          <w:szCs w:val="16"/>
          <w:color w:val="auto"/>
        </w:rPr>
      </w:pPr>
      <w:r>
        <w:rPr>
          <w:rFonts w:ascii="Arial" w:cs="Arial" w:eastAsia="Arial" w:hAnsi="Arial"/>
          <w:sz w:val="18"/>
          <w:szCs w:val="18"/>
          <w:color w:val="auto"/>
        </w:rPr>
        <w:t>Unsecured long-term consumer loans amounts only existed in periods after the acquisition of Crediamigo.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FAIR VALUE MEASUREMENTS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accordance with FASB ASC 820-10, Fair Value Measurements and Disclosures, our assets and liabilities, which are carried at fair value, are classified in one of the following three categories: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Other observable inputs other than quoted market prices.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that are measured at fair value on a recurring basis as of September 30, 2012 and 2011: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Fair Value Measurements Using</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Financial assets:</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7"/>
              </w:rPr>
              <w:t>September 30, 2012</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Level 1</w:t>
            </w:r>
          </w:p>
        </w:tc>
        <w:tc>
          <w:tcPr>
            <w:tcW w:w="6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559"/>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gridSpan w:val="2"/>
          </w:tcPr>
          <w:p>
            <w:pPr>
              <w:jc w:val="right"/>
              <w:ind w:right="99"/>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4,631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4,631</w:t>
            </w:r>
          </w:p>
        </w:tc>
        <w:tc>
          <w:tcPr>
            <w:tcW w:w="6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197"/>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Fair Value Measurements Using</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Financial assets:</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7"/>
              </w:rPr>
              <w:t>September 30, 2011</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Level 1</w:t>
            </w:r>
          </w:p>
        </w:tc>
        <w:tc>
          <w:tcPr>
            <w:tcW w:w="6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559"/>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gridSpan w:val="2"/>
          </w:tcPr>
          <w:p>
            <w:pPr>
              <w:jc w:val="right"/>
              <w:ind w:right="99"/>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5,366</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5,366</w:t>
            </w:r>
          </w:p>
        </w:tc>
        <w:tc>
          <w:tcPr>
            <w:tcW w:w="6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measure the value of our marketable equity securities under a Level 1 input. These assets are publicly traded equity securities for which market prices are readily available. There were no transfers of assets in or out of Level 1 fair value measurements in the periods presented.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DERIVATIVE INSTRUMENTS AND HEDGING ACTIVITIES</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earnings and financial position are affected by changes in gold values. In fiscal year 2012, we began using derivative financial instruments in order to manage our commodity price risk associated with the forecasted sales of gold scrap. These derivatives are not designated as hedges, and according to FASB ASC 815-20-25, “Derivatives and Hedging — Recognition,” changes in their fair value are recorded directly in earnings. As of September 30, 2012, we no outstanding collars and therefore had no balance outstanding recorded on our balance sheet.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presents the effect of our derivative financial instruments on the Consolidated Statements of Operations for fiscal years ended September 30, 2012, 2011 and 2010: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(Gains) Losses Recognized in Income</w:t>
            </w:r>
          </w:p>
        </w:tc>
        <w:tc>
          <w:tcPr>
            <w:tcW w:w="980" w:type="dxa"/>
            <w:vAlign w:val="bottom"/>
            <w:tcBorders>
              <w:bottom w:val="single" w:sz="8" w:color="auto"/>
            </w:tcBorders>
          </w:tcPr>
          <w:p>
            <w:pPr>
              <w:spacing w:after="0"/>
              <w:rPr>
                <w:sz w:val="16"/>
                <w:szCs w:val="16"/>
                <w:color w:val="auto"/>
              </w:rPr>
            </w:pPr>
          </w:p>
        </w:tc>
      </w:tr>
      <w:tr>
        <w:trPr>
          <w:trHeight w:val="196"/>
        </w:trPr>
        <w:tc>
          <w:tcPr>
            <w:tcW w:w="29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Fiscal Year Ended September 30,</w:t>
            </w:r>
          </w:p>
        </w:tc>
        <w:tc>
          <w:tcPr>
            <w:tcW w:w="980" w:type="dxa"/>
            <w:vAlign w:val="bottom"/>
            <w:tcBorders>
              <w:bottom w:val="single" w:sz="8" w:color="auto"/>
            </w:tcBorders>
          </w:tcPr>
          <w:p>
            <w:pPr>
              <w:spacing w:after="0"/>
              <w:rPr>
                <w:sz w:val="17"/>
                <w:szCs w:val="17"/>
                <w:color w:val="auto"/>
              </w:rPr>
            </w:pPr>
          </w:p>
        </w:tc>
      </w:tr>
      <w:tr>
        <w:trPr>
          <w:trHeight w:val="264"/>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38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Location of (Gain) or Loss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702"/>
              <w:spacing w:after="0"/>
              <w:rPr>
                <w:sz w:val="20"/>
                <w:szCs w:val="20"/>
                <w:color w:val="auto"/>
              </w:rPr>
            </w:pPr>
            <w:r>
              <w:rPr>
                <w:rFonts w:ascii="Arial" w:cs="Arial" w:eastAsia="Arial" w:hAnsi="Arial"/>
                <w:sz w:val="14"/>
                <w:szCs w:val="14"/>
                <w:b w:val="1"/>
                <w:bCs w:val="1"/>
                <w:color w:val="auto"/>
                <w:w w:val="89"/>
              </w:rPr>
              <w:t>2011</w:t>
            </w: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2010</w:t>
            </w:r>
          </w:p>
        </w:tc>
      </w:tr>
      <w:tr>
        <w:trPr>
          <w:trHeight w:val="196"/>
        </w:trPr>
        <w:tc>
          <w:tcPr>
            <w:tcW w:w="29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center"/>
              <w:ind w:right="682"/>
              <w:spacing w:after="0"/>
              <w:rPr>
                <w:sz w:val="20"/>
                <w:szCs w:val="20"/>
                <w:color w:val="auto"/>
              </w:rPr>
            </w:pPr>
            <w:r>
              <w:rPr>
                <w:rFonts w:ascii="Arial" w:cs="Arial" w:eastAsia="Arial" w:hAnsi="Arial"/>
                <w:sz w:val="14"/>
                <w:szCs w:val="14"/>
                <w:i w:val="1"/>
                <w:iCs w:val="1"/>
                <w:color w:val="auto"/>
                <w:w w:val="92"/>
              </w:rPr>
              <w:t>(in thousands)</w:t>
            </w:r>
          </w:p>
        </w:tc>
        <w:tc>
          <w:tcPr>
            <w:tcW w:w="980" w:type="dxa"/>
            <w:vAlign w:val="bottom"/>
          </w:tcPr>
          <w:p>
            <w:pPr>
              <w:spacing w:after="0"/>
              <w:rPr>
                <w:sz w:val="17"/>
                <w:szCs w:val="17"/>
                <w:color w:val="auto"/>
              </w:rPr>
            </w:pPr>
          </w:p>
        </w:tc>
      </w:tr>
      <w:tr>
        <w:trPr>
          <w:trHeight w:val="256"/>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derivatives:</w:t>
            </w:r>
          </w:p>
        </w:tc>
        <w:tc>
          <w:tcPr>
            <w:tcW w:w="38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2900" w:type="dxa"/>
            <w:vAlign w:val="bottom"/>
          </w:tcPr>
          <w:p>
            <w:pPr>
              <w:ind w:left="180"/>
              <w:spacing w:after="0"/>
              <w:rPr>
                <w:sz w:val="20"/>
                <w:szCs w:val="20"/>
                <w:color w:val="auto"/>
              </w:rPr>
            </w:pPr>
            <w:r>
              <w:rPr>
                <w:rFonts w:ascii="Arial" w:cs="Arial" w:eastAsia="Arial" w:hAnsi="Arial"/>
                <w:sz w:val="18"/>
                <w:szCs w:val="18"/>
                <w:color w:val="auto"/>
              </w:rPr>
              <w:t>Gold Collar</w:t>
            </w:r>
          </w:p>
        </w:tc>
        <w:tc>
          <w:tcPr>
            <w:tcW w:w="3840" w:type="dxa"/>
            <w:vAlign w:val="bottom"/>
          </w:tcPr>
          <w:p>
            <w:pPr>
              <w:ind w:left="840"/>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22"/>
              <w:spacing w:after="0"/>
              <w:rPr>
                <w:sz w:val="20"/>
                <w:szCs w:val="20"/>
                <w:color w:val="auto"/>
              </w:rPr>
            </w:pPr>
            <w:r>
              <w:rPr>
                <w:rFonts w:ascii="Arial" w:cs="Arial" w:eastAsia="Arial" w:hAnsi="Arial"/>
                <w:sz w:val="18"/>
                <w:szCs w:val="18"/>
                <w:color w:val="auto"/>
              </w:rPr>
              <w:t>(151)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ind w:left="86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CONDENSED CONSOLIDATING FINANCIAL INFORMATION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3, 2012, we filed with the United States Securities and Exchange Commission a “shelf” registration statement on Form S-3 registering the offer and sale of an indeterminate amount of a variety of securities, including debt securities. Unless otherwise indicated in connection with a particular offering of debt securities, each of our domestic subsidiaries will fully and unconditionally guarantee on a joint and several basis our payment obligations under such debt securities.</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accordance with Rule 3-10(d) of Regulation S-X, the following presents condensed consolidating financial information as of September 30, 2012, 2011 and 2010 for EZCORP, Inc. (the “Parent”), each of the Parent's domestic subsidiaries (the “Subsidiary Guarantors”) on a combined basis and each of the Parent's other subsidiaries (the “Other Subsidiaries”) on a combined basis. Eliminating entries presented are necessary to combine the groups of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2012</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2"/>
              </w:rPr>
              <w:t>(Unaudited)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3"/>
                <w:szCs w:val="13"/>
                <w:color w:val="auto"/>
              </w:rPr>
            </w:pPr>
          </w:p>
        </w:tc>
        <w:tc>
          <w:tcPr>
            <w:tcW w:w="106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i w:val="1"/>
                <w:iCs w:val="1"/>
                <w:color w:val="auto"/>
                <w:w w:val="92"/>
              </w:rPr>
              <w:t>(in thousands)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27,686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48,477</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Pawn loans,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157,648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Consumer loans,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16,562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17,590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34,152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Pawn service charges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29,401</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Consumer loan fees receivable,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23,517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30,416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Inventory,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93,165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109,214</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Deferred tax asset</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14,984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Receivable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Federal income tax receivable</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10,209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10,511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45,451</w:t>
            </w:r>
          </w:p>
        </w:tc>
        <w:tc>
          <w:tcPr>
            <w:tcW w:w="0" w:type="dxa"/>
            <w:vAlign w:val="bottom"/>
          </w:tcPr>
          <w:p>
            <w:pPr>
              <w:spacing w:after="0"/>
              <w:rPr>
                <w:sz w:val="1"/>
                <w:szCs w:val="1"/>
                <w:color w:val="auto"/>
              </w:rPr>
            </w:pPr>
          </w:p>
        </w:tc>
      </w:tr>
      <w:tr>
        <w:trPr>
          <w:trHeight w:val="217"/>
        </w:trPr>
        <w:tc>
          <w:tcPr>
            <w:tcW w:w="4700" w:type="dxa"/>
            <w:vAlign w:val="bottom"/>
          </w:tcPr>
          <w:p>
            <w:pPr>
              <w:ind w:left="11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210,825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450,052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102,771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(282,249)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481,399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126,066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Investments in subsidiaries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112,415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95,943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(208,358)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108,131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Restricted cash non-current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asset,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224,275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150,388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374,663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45,185</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Non-current consumer loans,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61,997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61,997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16,229</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398,953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922,821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386,840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(490,607)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1,218,007</w:t>
            </w: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21,085</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Current capital lease obligations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other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78,925</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Customer layaway deposits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Federal income taxes payable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4,860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416,118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149,053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(282,248)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107,842</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Long-term debt, less current maturities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68,836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198,836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6,834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7,922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gains and 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13,903</w:t>
            </w:r>
          </w:p>
        </w:tc>
        <w:tc>
          <w:tcPr>
            <w:tcW w:w="0" w:type="dxa"/>
            <w:vAlign w:val="bottom"/>
          </w:tcPr>
          <w:p>
            <w:pPr>
              <w:spacing w:after="0"/>
              <w:rPr>
                <w:sz w:val="1"/>
                <w:szCs w:val="1"/>
                <w:color w:val="auto"/>
              </w:rPr>
            </w:pPr>
          </w:p>
        </w:tc>
      </w:tr>
      <w:tr>
        <w:trPr>
          <w:trHeight w:val="217"/>
        </w:trPr>
        <w:tc>
          <w:tcPr>
            <w:tcW w:w="470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420,338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229,655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(282,248)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329,498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Temporary equity:</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53,681</w:t>
            </w:r>
          </w:p>
        </w:tc>
        <w:tc>
          <w:tcPr>
            <w:tcW w:w="0" w:type="dxa"/>
            <w:vAlign w:val="bottom"/>
          </w:tcPr>
          <w:p>
            <w:pPr>
              <w:spacing w:after="0"/>
              <w:rPr>
                <w:sz w:val="1"/>
                <w:szCs w:val="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Class A Non-voting Common Stock, par value $.01 per</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share;</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20"/>
        </w:trPr>
        <w:tc>
          <w:tcPr>
            <w:tcW w:w="4700" w:type="dxa"/>
            <w:vAlign w:val="bottom"/>
          </w:tcPr>
          <w:p>
            <w:pPr>
              <w:ind w:left="720"/>
              <w:spacing w:after="0"/>
              <w:rPr>
                <w:sz w:val="20"/>
                <w:szCs w:val="20"/>
                <w:color w:val="auto"/>
              </w:rPr>
            </w:pPr>
            <w:r>
              <w:rPr>
                <w:rFonts w:ascii="Arial" w:cs="Arial" w:eastAsia="Arial" w:hAnsi="Arial"/>
                <w:sz w:val="16"/>
                <w:szCs w:val="16"/>
                <w:color w:val="auto"/>
                <w:w w:val="95"/>
              </w:rPr>
              <w:t>Class B Voting Common Stock, convertible, par value $.01</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720"/>
              <w:spacing w:after="0"/>
              <w:rPr>
                <w:sz w:val="20"/>
                <w:szCs w:val="20"/>
                <w:color w:val="auto"/>
              </w:rPr>
            </w:pPr>
            <w:r>
              <w:rPr>
                <w:rFonts w:ascii="Arial" w:cs="Arial" w:eastAsia="Arial" w:hAnsi="Arial"/>
                <w:sz w:val="16"/>
                <w:szCs w:val="16"/>
                <w:color w:val="auto"/>
              </w:rPr>
              <w:t>per share;</w:t>
            </w:r>
          </w:p>
        </w:tc>
        <w:tc>
          <w:tcPr>
            <w:tcW w:w="2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294,586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268,626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138,406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423,569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565,803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7"/>
        </w:trPr>
        <w:tc>
          <w:tcPr>
            <w:tcW w:w="4700" w:type="dxa"/>
            <w:vAlign w:val="bottom"/>
          </w:tcPr>
          <w:p>
            <w:pPr>
              <w:ind w:left="380"/>
              <w:spacing w:after="0"/>
              <w:rPr>
                <w:sz w:val="20"/>
                <w:szCs w:val="20"/>
                <w:color w:val="auto"/>
              </w:rPr>
            </w:pPr>
            <w:r>
              <w:rPr>
                <w:rFonts w:ascii="Arial" w:cs="Arial" w:eastAsia="Arial" w:hAnsi="Arial"/>
                <w:sz w:val="16"/>
                <w:szCs w:val="16"/>
                <w:color w:val="auto"/>
              </w:rPr>
              <w:t>EZCORP, Inc. stockholders’ equity</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437,200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502,483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103,504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(208,359)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834,828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398,953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922,821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386,840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(490,607)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1,218,007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September 30, 2011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2"/>
              </w:rPr>
              <w:t>(Unaudited)</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23,969</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Pawn loans,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145,318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Consumer loans,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Pawn service charges receivable,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26,455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Consumer loan fees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Inventory,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81,277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90,373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Receivable from affiliates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30,611</w:t>
            </w:r>
          </w:p>
        </w:tc>
        <w:tc>
          <w:tcPr>
            <w:tcW w:w="0" w:type="dxa"/>
            <w:vAlign w:val="bottom"/>
          </w:tcPr>
          <w:p>
            <w:pPr>
              <w:spacing w:after="0"/>
              <w:rPr>
                <w:sz w:val="1"/>
                <w:szCs w:val="1"/>
                <w:color w:val="auto"/>
              </w:rPr>
            </w:pPr>
          </w:p>
        </w:tc>
      </w:tr>
      <w:tr>
        <w:trPr>
          <w:trHeight w:val="237"/>
        </w:trPr>
        <w:tc>
          <w:tcPr>
            <w:tcW w:w="470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245,477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31,553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356,237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120,319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subsidiaries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78,498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163,897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173,206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237,615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583,711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756,450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50,871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Customer layaway deposits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178,375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20,761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7"/>
        </w:trPr>
        <w:tc>
          <w:tcPr>
            <w:tcW w:w="470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229,807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less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gains and 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233,472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24,861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92,202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Temporary equity:</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7"/>
              </w:rPr>
              <w:t>Class A Non-voting Common Stock, par value $.01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9"/>
        </w:trPr>
        <w:tc>
          <w:tcPr>
            <w:tcW w:w="4700" w:type="dxa"/>
            <w:vAlign w:val="bottom"/>
          </w:tcPr>
          <w:p>
            <w:pPr>
              <w:ind w:left="720"/>
              <w:spacing w:after="0"/>
              <w:rPr>
                <w:sz w:val="20"/>
                <w:szCs w:val="20"/>
                <w:color w:val="auto"/>
              </w:rPr>
            </w:pPr>
            <w:r>
              <w:rPr>
                <w:rFonts w:ascii="Arial" w:cs="Arial" w:eastAsia="Arial" w:hAnsi="Arial"/>
                <w:sz w:val="18"/>
                <w:szCs w:val="18"/>
                <w:color w:val="auto"/>
                <w:w w:val="92"/>
              </w:rPr>
              <w:t>Class B Voting Common Stock, convertible, par value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$.01 per share;</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242,398</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174,860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251,418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422,095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EZCORP, Inc. stockholders’ equity</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403,800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350,239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38,887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664,248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237,615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583,711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756,450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906"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Fiscal Year Ended September 30, 2012</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2"/>
              </w:rPr>
              <w:t>(Unaudited)</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290,169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45,241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335,410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208,319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210,645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235,642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207,671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857,782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992,467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Merchandise 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167,345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192,014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134,848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Consumer loan bad debt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34,729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41,377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624,228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303,486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74,148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94,035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 loss on sale or disposal of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350,677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75,120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422,788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182,834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71,023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5"/>
              </w:rPr>
              <w:t>Net income attributable to redeemable 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172,151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Fiscal Year Ended September 30, 2011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2"/>
              </w:rPr>
              <w:t>(Unaudited)</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256,641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25,442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282,083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212,479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184,234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201,135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171,951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869,317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Merchandise 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147,240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162,060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133,560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Consumer loan bad debt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38,759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267,052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70,160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75,270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322,064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38,911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360,975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173,963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188,711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5"/>
              </w:rPr>
              <w:t>Net income attributable to redeemable 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122,159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Fiscal Year Ended September 30, 2010</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2"/>
              </w:rPr>
              <w:t>(Unaudited)</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226,423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14,031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240,454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154,505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163,695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157,022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733,045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Merchandise 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140,284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110,838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Consumer loan bad debt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34,444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447,479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236,664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52,740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285,271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305,593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151,530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54,236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5"/>
              </w:rPr>
              <w:t>Net income attributable to redeemable 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97,294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5"/>
              </w:rPr>
              <w:t>Fiscal Year Ended September 30, 2012</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Subsidiary</w:t>
            </w:r>
          </w:p>
        </w:tc>
        <w:tc>
          <w:tcPr>
            <w:tcW w:w="360" w:type="dxa"/>
            <w:vAlign w:val="bottom"/>
          </w:tcPr>
          <w:p>
            <w:pPr>
              <w:spacing w:after="0"/>
              <w:rPr>
                <w:sz w:val="13"/>
                <w:szCs w:val="13"/>
                <w:color w:val="auto"/>
              </w:rPr>
            </w:pPr>
          </w:p>
        </w:tc>
        <w:tc>
          <w:tcPr>
            <w:tcW w:w="12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Guarantors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(36,454)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172,151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150,577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holding loss arising during period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(39,669)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171,012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152,165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Attributable to redeemable 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gain</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EZCORP,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171,012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5"/>
              </w:rPr>
              <w:t>Fiscal Year Ended September 30, 2011</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Subsidiary</w:t>
            </w:r>
          </w:p>
        </w:tc>
        <w:tc>
          <w:tcPr>
            <w:tcW w:w="360" w:type="dxa"/>
            <w:vAlign w:val="bottom"/>
          </w:tcPr>
          <w:p>
            <w:pPr>
              <w:spacing w:after="0"/>
              <w:rPr>
                <w:sz w:val="13"/>
                <w:szCs w:val="13"/>
                <w:color w:val="auto"/>
              </w:rPr>
            </w:pPr>
          </w:p>
        </w:tc>
        <w:tc>
          <w:tcPr>
            <w:tcW w:w="12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Guarantors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18,531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105,464</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122,159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13,649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holding loss arising during period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27,403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107,167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127,788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Attributable to redeemable 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EZCORP,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107,167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127,788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5"/>
              </w:rPr>
              <w:t>Fiscal Year Ended September 30, 2010</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Subsidiary</w:t>
            </w:r>
          </w:p>
        </w:tc>
        <w:tc>
          <w:tcPr>
            <w:tcW w:w="360" w:type="dxa"/>
            <w:vAlign w:val="bottom"/>
          </w:tcPr>
          <w:p>
            <w:pPr>
              <w:spacing w:after="0"/>
              <w:rPr>
                <w:sz w:val="13"/>
                <w:szCs w:val="13"/>
                <w:color w:val="auto"/>
              </w:rPr>
            </w:pPr>
          </w:p>
        </w:tc>
        <w:tc>
          <w:tcPr>
            <w:tcW w:w="12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Guarantors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12,868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88,111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97,294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holding loss arising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86,497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95,539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Attributable to redeemable noncontrolling interest:</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EZCORP,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95,539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Fiscal Year Ended September 30,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(36,454)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172,151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150,577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Consumer loan loss provisions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17,833</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sale or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investments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9"/>
              </w:rPr>
              <w:t>Changes in operating assets and liabilities, net of business acquisitions: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Service charges and fees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other current assets, and other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111,862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Customer layaway deposits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gains and other long-term liabilities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Income taxes receivable/payable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150,448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Loans made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(802,896)</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Loans repaid</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408,404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111,789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520,193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Recovery of pawn loan principal through sale of forfeited collateral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240,381</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(128,647)</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Dividends from unconsolidated affiliates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(211,205)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Excess tax benefit from stock compensation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Proceeds from revolving line of credit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753,200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792,927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revolving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(695,077)</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Proceeds from bank borrowings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bank borrowings and capital lease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37"/>
        </w:trPr>
        <w:tc>
          <w:tcPr>
            <w:tcW w:w="6060" w:type="dxa"/>
            <w:vAlign w:val="bottom"/>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113,567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27,686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Fiscal Year Ended September 30, 2011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105,464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122,159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Consumer loan loss provisions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sale or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investments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9"/>
              </w:rPr>
              <w:t>Changes in operating assets and liabilities, net of business acquisitions: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Service charges and fees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other current assets, and other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51,892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Customer layaway deposits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gains and other long-term liabilities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Income taxes receivable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145,993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Loans made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(649,249)</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Loans repaid</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339,574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64,818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404,392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Recovery of pawn loan principal through sale of forfeited collateral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205,662</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(67,920)</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Dividends from unconsolidated affiliates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(133,963)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Excess tax benefit from stock compensation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revolving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164,500</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Payments on revolving line of credit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bank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Payments on bank borrowings and capital lease obligations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25,854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Fiscal Year Ended September 30, 2010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88,111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97,294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Consumer loan loss provisions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sale or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investments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9"/>
              </w:rPr>
              <w:t>Changes in operating assets and liabilities, net of business acquisitions: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Service charges and fees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other current assets, and other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50,659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Customer layaway deposits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gains and other long-term liabilities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Income taxes receivable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124,725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Loans made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(545,579)</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Loans repaid</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313,255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335,832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Recovery of pawn loan principal through sale of forfeited collateral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174,224</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on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(59,188)</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Dividends from unconsolidated affiliates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Excess tax benefit from stock compensation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revolving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63,050</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Payments on revolving line of credit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bank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Payments on bank borrowings and capital lease obligations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44,764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SUPPLEMENTAL CONSOLIDATED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Consolidated Balance Sheet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amounts included in pawn service charges receivable, net, consumer loan fees, net and inventories, net: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 receivable: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Gross pawn service charges receivable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40,828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37,175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uncollectible pawn service charges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(10,720)</w:t>
            </w:r>
          </w:p>
        </w:tc>
      </w:tr>
      <w:tr>
        <w:trPr>
          <w:trHeight w:val="297"/>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Pawn service charges receivable,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29,401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26,455</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fees receivable: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Gross consumer loan fees receivable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34,846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uncollectible consumer loan fees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97"/>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Consumer loan fees receivable,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30,416</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6,775</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Inventory, gross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114,788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99,854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reserves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(9,481)</w:t>
            </w:r>
          </w:p>
        </w:tc>
      </w:tr>
      <w:tr>
        <w:trPr>
          <w:trHeight w:val="257"/>
        </w:trPr>
        <w:tc>
          <w:tcPr>
            <w:tcW w:w="858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109,214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90,373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Consolidated Statements of Operations Information</w:t>
      </w:r>
    </w:p>
    <w:p>
      <w:pPr>
        <w:spacing w:after="0" w:line="17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table below provides advertising expense for periods presented. Advertising costs are included in administrative expenses in the Consolidated Statements of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0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2010</w:t>
            </w:r>
          </w:p>
        </w:tc>
      </w:tr>
      <w:tr>
        <w:trPr>
          <w:trHeight w:val="250"/>
        </w:trPr>
        <w:tc>
          <w:tcPr>
            <w:tcW w:w="41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Expense</w:t>
            </w:r>
          </w:p>
        </w:tc>
        <w:tc>
          <w:tcPr>
            <w:tcW w:w="382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88"/>
              </w:rPr>
              <w:t>5,910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3,577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2,205</w:t>
            </w:r>
          </w:p>
        </w:tc>
      </w:tr>
      <w:tr>
        <w:trPr>
          <w:trHeight w:val="378"/>
        </w:trPr>
        <w:tc>
          <w:tcPr>
            <w:tcW w:w="4120" w:type="dxa"/>
            <w:vAlign w:val="bottom"/>
          </w:tcPr>
          <w:p>
            <w:pPr>
              <w:spacing w:after="0"/>
              <w:rPr>
                <w:sz w:val="20"/>
                <w:szCs w:val="20"/>
                <w:color w:val="auto"/>
              </w:rPr>
            </w:pPr>
            <w:r>
              <w:rPr>
                <w:rFonts w:ascii="Arial" w:cs="Arial" w:eastAsia="Arial" w:hAnsi="Arial"/>
                <w:sz w:val="18"/>
                <w:szCs w:val="18"/>
                <w:b w:val="1"/>
                <w:bCs w:val="1"/>
                <w:color w:val="auto"/>
              </w:rPr>
              <w:t>Other Supplemental Information</w:t>
            </w:r>
          </w:p>
        </w:tc>
        <w:tc>
          <w:tcPr>
            <w:tcW w:w="2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94"/>
        </w:trPr>
        <w:tc>
          <w:tcPr>
            <w:tcW w:w="4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41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r>
      <w:tr>
        <w:trPr>
          <w:trHeight w:val="196"/>
        </w:trPr>
        <w:tc>
          <w:tcPr>
            <w:tcW w:w="4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w:t>
            </w:r>
          </w:p>
        </w:tc>
        <w:tc>
          <w:tcPr>
            <w:tcW w:w="29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Expected LOC losses</w:t>
            </w:r>
          </w:p>
        </w:tc>
        <w:tc>
          <w:tcPr>
            <w:tcW w:w="2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21"/>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1,795</w:t>
            </w:r>
          </w:p>
        </w:tc>
      </w:tr>
      <w:tr>
        <w:trPr>
          <w:trHeight w:val="27"/>
        </w:trPr>
        <w:tc>
          <w:tcPr>
            <w:tcW w:w="4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exposure for LOC losses</w:t>
            </w:r>
          </w:p>
        </w:tc>
        <w:tc>
          <w:tcPr>
            <w:tcW w:w="2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27,373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30,268</w:t>
            </w:r>
          </w:p>
        </w:tc>
      </w:tr>
      <w:tr>
        <w:trPr>
          <w:trHeight w:val="837"/>
        </w:trPr>
        <w:tc>
          <w:tcPr>
            <w:tcW w:w="4120" w:type="dxa"/>
            <w:vAlign w:val="bottom"/>
          </w:tcPr>
          <w:p>
            <w:pPr>
              <w:spacing w:after="0"/>
              <w:rPr>
                <w:sz w:val="24"/>
                <w:szCs w:val="24"/>
                <w:color w:val="auto"/>
              </w:rPr>
            </w:pPr>
          </w:p>
        </w:tc>
        <w:tc>
          <w:tcPr>
            <w:tcW w:w="2960" w:type="dxa"/>
            <w:vAlign w:val="bottom"/>
          </w:tcPr>
          <w:p>
            <w:pPr>
              <w:jc w:val="right"/>
              <w:ind w:right="1190"/>
              <w:spacing w:after="0"/>
              <w:rPr>
                <w:sz w:val="20"/>
                <w:szCs w:val="20"/>
                <w:color w:val="auto"/>
              </w:rPr>
            </w:pPr>
            <w:r>
              <w:rPr>
                <w:rFonts w:ascii="Arial" w:cs="Arial" w:eastAsia="Arial" w:hAnsi="Arial"/>
                <w:sz w:val="18"/>
                <w:szCs w:val="18"/>
                <w:color w:val="auto"/>
              </w:rPr>
              <w:t>98</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41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at Beginning</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Charged to Expense</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Charged to Other</w:t>
            </w:r>
          </w:p>
        </w:tc>
        <w:tc>
          <w:tcPr>
            <w:tcW w:w="240" w:type="dxa"/>
            <w:vAlign w:val="bottom"/>
          </w:tcPr>
          <w:p>
            <w:pPr>
              <w:spacing w:after="0"/>
              <w:rPr>
                <w:sz w:val="24"/>
                <w:szCs w:val="2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Deductions</w:t>
            </w:r>
          </w:p>
        </w:tc>
        <w:tc>
          <w:tcPr>
            <w:tcW w:w="120" w:type="dxa"/>
            <w:vAlign w:val="bottom"/>
          </w:tcPr>
          <w:p>
            <w:pPr>
              <w:spacing w:after="0"/>
              <w:rPr>
                <w:sz w:val="24"/>
                <w:szCs w:val="24"/>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5"/>
              </w:rPr>
              <w:t>of Period</w:t>
            </w:r>
          </w:p>
        </w:tc>
        <w:tc>
          <w:tcPr>
            <w:tcW w:w="14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Accts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inventory:</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Year Ended September 30, 2012</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9,481</w:t>
            </w:r>
          </w:p>
        </w:tc>
        <w:tc>
          <w:tcPr>
            <w:tcW w:w="100" w:type="dxa"/>
            <w:vAlign w:val="bottom"/>
          </w:tcPr>
          <w:p>
            <w:pPr>
              <w:spacing w:after="0"/>
              <w:rPr>
                <w:sz w:val="21"/>
                <w:szCs w:val="21"/>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 Ended September 30, 2011</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Year Ended September 30, 2010</w:t>
            </w: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for uncollectible pawn service charges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Year Ended September 30, 2012</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10,720</w:t>
            </w:r>
          </w:p>
        </w:tc>
        <w:tc>
          <w:tcPr>
            <w:tcW w:w="100" w:type="dxa"/>
            <w:vAlign w:val="bottom"/>
          </w:tcPr>
          <w:p>
            <w:pPr>
              <w:spacing w:after="0"/>
              <w:rPr>
                <w:sz w:val="21"/>
                <w:szCs w:val="21"/>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 Ended September 30, 2011</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Year Ended September 30, 2010</w:t>
            </w: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for uncollectible consumer loan fees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Year Ended September 30, 2012</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 Ended September 30, 2011</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Year Ended September 30, 2010</w:t>
            </w: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Year Ended September 30, 2012</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 Ended September 30, 2011</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Year Ended September 30, 2010</w:t>
            </w: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SUBSEQUENT EVENTS</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Effective November 13, 2012, we increased our ownership in Cash Genie from 72% to 95% as a result of one of the selling shareholders exercising their put option. Pursuant to the terms of the put option agreement, the additional 23% ownership was acquired in exchange for 592,461 shares of newly issued Class A Non-voting stock of EZCORP, Inc. valued at $10.4 million. Those shares were issued pursuant to the company's “shelf” registration statement on Form S-4.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right="114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September 30, 2012. Based on that evaluation, our Chief Executive Officer and Chief Financial Officer concluded that our disclosure controls and procedures were effective as of September 30,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Securities Exchange Act) is a process designed to provide reasonable assurance regarding the reliability of financial reporting and the preparation of financial statements for external reporting purposes in accordance with generally accepted accounting principles in the United States of America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1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assessed the effectiveness of our internal control over financial reporting as of September 30, 2012. To make this assessment, management utilized the criteria for effective internal control over financial reporting described in “Internal Control — Integrated Framework” issued by the Committee of Sponsoring Organizations of the Treadway Commission. Based on this assessment, management has concluded that our internal control over financial reporting was effective as of September 30, 2012.</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accordance with guidance issued by the SEC, companies are permitted to exclude acquisitions from their final assessment of internal control over financial reporting for the fiscal year in which the acquisition occurred. Management’s evaluation of internal control over financial reporting excluded the internal control activities of Crediamigo and Cash Genie. Crediamigo represented approximately 2.8% of consolidated revenues and approximately 11.2% of consolidated net income for the year ended September 30, 2012 and approximately 20.2% of total assets and approximately 16.7% of net assets as of September 30, 2012. Cash Genie represented approximately 1.0% of consolidated revenues and approximately 0.3% of consolidated net income for the year ended September 30, 2012 and approximately 4.2% of total assets and approximately 5.0% of net assets as of September 30, 2012.</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internal control over financial reporting as of September 30, 2012 has been audited by BDO USA, LLP, the independent registered public accounting firm that audited our financial statements included in this report, and their report follows immediately.</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125" w:right="29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EZCORP, Inc's internal control over financial reporting as of September 30, 2012,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(the COSO criteria). EZCORP's management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indicated in the accompanying Item 9A, Management's Report on Internal Control Over Financial Reporting, management's assessment of and conclusion on the effectiveness of internal control over financial reporting did not include the internal controls of Crediamigo and Cash Genie, which were acquired on January 30, 2012, and April 14, 2012, respectively, and which are included in the consolidated balance sheets of EZCORP, Inc. as of September 30, 2012, and the related consolidated statements of operations and comprehensive income, stockholders' equity, and cash flows for the year then ended. Crediamigo constituted 20.2% and 16.7% of total assets and net assets, respectively, as of September 30, 2012, and 2.8% and 11.2% of revenues and net income, respectively, for the year then ended. Cash Genie constituted 4.2% and 5.0% of total assets and net assets, respectively, as of September 30, 2012, and 1.0% and 0.3% of revenues and net income, respectively, for the year then ended. Management did not assess the effectiveness of internal control over financial reporting of Crediamigo and Cash Genie because of the timing of the acquisitions which were completed on January 30, 2012, and April 14, 2012, respectively. Our audit of internal control over financial reporting of EZCORP, Inc. also did not include an evaluation of the internal control over financial reporting of Crediamigo and Cash Genie.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EZCORP, Inc. maintained, in all material respects, effective internal control over financial reporting as of September 30, 2012,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EZCORP, Inc. as of September 30, 2012 and 2011, and the related consolidated statements of operations and comprehensive income, stockholders' equity, and cash flows for each of the three years in the period ended September 30, 2012, and our report dated November 20, 2012, expressed an unqualified opinion thereon.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fiscal 2012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125" w:right="29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69" w:lineRule="exact"/>
        <w:rPr>
          <w:sz w:val="20"/>
          <w:szCs w:val="20"/>
          <w:color w:val="auto"/>
        </w:rPr>
      </w:pPr>
    </w:p>
    <w:p>
      <w:pPr>
        <w:ind w:right="4480"/>
        <w:spacing w:after="0" w:line="440" w:lineRule="auto"/>
        <w:rPr>
          <w:sz w:val="20"/>
          <w:szCs w:val="20"/>
          <w:color w:val="auto"/>
        </w:rPr>
      </w:pPr>
      <w:r>
        <w:rPr>
          <w:rFonts w:ascii="Arial" w:cs="Arial" w:eastAsia="Arial" w:hAnsi="Arial"/>
          <w:sz w:val="18"/>
          <w:szCs w:val="18"/>
          <w:b w:val="1"/>
          <w:bCs w:val="1"/>
          <w:color w:val="auto"/>
        </w:rPr>
        <w:t>ITEM 10. DIRECTORS, EXECUTIVE OFFICERS AND CORPORATE GOVERNANCE Board of Directors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Set forth below are the names of the persons who, as of October 31, 2012, constituted our Board of Directors and their ages and committee assignments as of that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Committees</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Sterling B. Brinkley (Chairman)</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Paul E. Rothamel</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J. Beal</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(Chair)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Compensation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Farrell</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William C. Love</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Audit (Chair)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 (Lead Director)</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shd w:val="clear" w:color="auto" w:fill="CCEEFF"/>
          </w:tcPr>
          <w:p>
            <w:pPr>
              <w:spacing w:after="0"/>
              <w:rPr>
                <w:sz w:val="21"/>
                <w:szCs w:val="21"/>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Compensation</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Director Qualifications </w:t>
      </w:r>
      <w:r>
        <w:rPr>
          <w:rFonts w:ascii="Arial" w:cs="Arial" w:eastAsia="Arial" w:hAnsi="Arial"/>
          <w:sz w:val="18"/>
          <w:szCs w:val="18"/>
          <w:color w:val="auto"/>
        </w:rPr>
        <w:t>— The Board believes that individuals who serve on the Board should have demonstrated notable or significant achievements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34" w:lineRule="exact"/>
        <w:rPr>
          <w:sz w:val="20"/>
          <w:szCs w:val="20"/>
          <w:color w:val="auto"/>
        </w:rPr>
      </w:pPr>
    </w:p>
    <w:p>
      <w:pPr>
        <w:ind w:left="460" w:right="40" w:hanging="330"/>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Leadership Experience </w:t>
      </w:r>
      <w:r>
        <w:rPr>
          <w:rFonts w:ascii="Arial" w:cs="Arial" w:eastAsia="Arial" w:hAnsi="Arial"/>
          <w:sz w:val="18"/>
          <w:szCs w:val="18"/>
          <w:color w:val="auto"/>
        </w:rPr>
        <w:t>— Our directors should demonstrate extraordinary leadership qualities. Strong leaders bring vision, strategic agility, diverse and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32" w:lineRule="exact"/>
        <w:rPr>
          <w:rFonts w:ascii="Arial" w:cs="Arial" w:eastAsia="Arial" w:hAnsi="Arial"/>
          <w:sz w:val="18"/>
          <w:szCs w:val="18"/>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Finance Experience — </w:t>
      </w:r>
      <w:r>
        <w:rPr>
          <w:rFonts w:ascii="Arial" w:cs="Arial" w:eastAsia="Arial" w:hAnsi="Arial"/>
          <w:sz w:val="18"/>
          <w:szCs w:val="18"/>
          <w:color w:val="auto"/>
        </w:rPr>
        <w:t>We believe that all directors should possess an understanding of finance and related reporting processes.</w:t>
      </w:r>
    </w:p>
    <w:p>
      <w:pPr>
        <w:spacing w:after="0" w:line="171" w:lineRule="exact"/>
        <w:rPr>
          <w:rFonts w:ascii="Arial" w:cs="Arial" w:eastAsia="Arial" w:hAnsi="Arial"/>
          <w:sz w:val="18"/>
          <w:szCs w:val="18"/>
          <w:color w:val="auto"/>
        </w:rPr>
      </w:pPr>
    </w:p>
    <w:p>
      <w:pPr>
        <w:ind w:left="460" w:right="400" w:hanging="330"/>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Relevant Experience — </w:t>
      </w:r>
      <w:r>
        <w:rPr>
          <w:rFonts w:ascii="Arial" w:cs="Arial" w:eastAsia="Arial" w:hAnsi="Arial"/>
          <w:sz w:val="18"/>
          <w:szCs w:val="18"/>
          <w:color w:val="auto"/>
        </w:rPr>
        <w:t>Our directors should have business experience that is relevant to our strategic goals and objectives,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32" w:lineRule="exact"/>
        <w:rPr>
          <w:rFonts w:ascii="Arial" w:cs="Arial" w:eastAsia="Arial" w:hAnsi="Arial"/>
          <w:sz w:val="18"/>
          <w:szCs w:val="18"/>
          <w:color w:val="auto"/>
        </w:rPr>
      </w:pPr>
    </w:p>
    <w:p>
      <w:pPr>
        <w:ind w:left="460" w:right="180" w:hanging="330"/>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Government Experience </w:t>
      </w:r>
      <w:r>
        <w:rPr>
          <w:rFonts w:ascii="Arial" w:cs="Arial" w:eastAsia="Arial" w:hAnsi="Arial"/>
          <w:sz w:val="18"/>
          <w:szCs w:val="18"/>
          <w:color w:val="auto"/>
        </w:rPr>
        <w:t>— Our business is subject to a variety of legislative and regulatory risks. Accordingly, we value experience in the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or regulatory branches of government or government relations.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Biographical Information — </w:t>
      </w:r>
      <w:r>
        <w:rPr>
          <w:rFonts w:ascii="Arial" w:cs="Arial" w:eastAsia="Arial" w:hAnsi="Arial"/>
          <w:sz w:val="18"/>
          <w:szCs w:val="18"/>
          <w:color w:val="auto"/>
        </w:rPr>
        <w:t>Set forth below is current biographical information about our directors, including the qualifications, experience and skills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make them suitable for service as a director.</w:t>
      </w:r>
    </w:p>
    <w:p>
      <w:pPr>
        <w:spacing w:after="0" w:line="116" w:lineRule="exact"/>
        <w:rPr>
          <w:sz w:val="20"/>
          <w:szCs w:val="20"/>
          <w:color w:val="auto"/>
        </w:rPr>
      </w:pPr>
    </w:p>
    <w:p>
      <w:pPr>
        <w:ind w:left="460" w:right="100" w:hanging="330"/>
        <w:spacing w:after="0" w:line="272"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Sterling B. Brinkley </w:t>
      </w:r>
      <w:r>
        <w:rPr>
          <w:rFonts w:ascii="Arial" w:cs="Arial" w:eastAsia="Arial" w:hAnsi="Arial"/>
          <w:sz w:val="17"/>
          <w:szCs w:val="17"/>
          <w:color w:val="auto"/>
        </w:rPr>
        <w:t>— Mr. Brinkley serves as our Chairman of the Board of Directors. He has served as either Chairman of the Board of Directors or</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the Executive Committee of the Board of Directors since 1989. Mr. Brinkley also serves as a director and Deputy Chairman of Albemarle &amp; Bond Holdings PLC. From 1988 until March 2005, Mr. Brinkley served as Chairman of the Board, Chairman of the Executive Committee or Chief Executive Officer of Crescent Jewelers, Inc., and from 1990 until December 2003, he served as Chairman of the Board or Chairman of the Executive Committee of Friedman’s, Inc. Both Crescent Jewelers, Inc. and Friedman’s, Inc. were affiliates of MS Pawn Limited Partnership, the owner of all of our outstanding Class B Voting Common Stock. Crescent Jewelers filed for Chapter 11 bankruptcy protection in August 2004, and Friedman’s, Inc. filed for Chapter 11 bankruptcy protection in January 2005.</w:t>
      </w:r>
    </w:p>
    <w:p>
      <w:pPr>
        <w:spacing w:after="0" w:line="124" w:lineRule="exact"/>
        <w:rPr>
          <w:sz w:val="20"/>
          <w:szCs w:val="20"/>
          <w:color w:val="auto"/>
        </w:rPr>
      </w:pPr>
    </w:p>
    <w:p>
      <w:pPr>
        <w:ind w:left="460" w:right="600"/>
        <w:spacing w:after="0" w:line="308" w:lineRule="auto"/>
        <w:rPr>
          <w:sz w:val="20"/>
          <w:szCs w:val="20"/>
          <w:color w:val="auto"/>
        </w:rPr>
      </w:pPr>
      <w:r>
        <w:rPr>
          <w:rFonts w:ascii="Arial" w:cs="Arial" w:eastAsia="Arial" w:hAnsi="Arial"/>
          <w:sz w:val="17"/>
          <w:szCs w:val="17"/>
          <w:color w:val="auto"/>
        </w:rPr>
        <w:t>Director qualifications: leadership experience; broad business experience; financial experience; international experience and global perspective; industry knowledge; experience in developing growth strategies; understanding of our unique business environment.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Paul E. Rothamel </w:t>
      </w:r>
      <w:r>
        <w:rPr>
          <w:rFonts w:ascii="Arial" w:cs="Arial" w:eastAsia="Arial" w:hAnsi="Arial"/>
          <w:sz w:val="18"/>
          <w:szCs w:val="18"/>
          <w:color w:val="auto"/>
        </w:rPr>
        <w:t>— Mr. Rothamel is our President and Chief Executive Officer and also serves as a director. Mr. Rothamel joined us in</w:t>
      </w:r>
    </w:p>
    <w:p>
      <w:pPr>
        <w:spacing w:after="0" w:line="23" w:lineRule="exact"/>
        <w:rPr>
          <w:rFonts w:ascii="Arial" w:cs="Arial" w:eastAsia="Arial" w:hAnsi="Arial"/>
          <w:sz w:val="18"/>
          <w:szCs w:val="18"/>
          <w:i w:val="1"/>
          <w:iCs w:val="1"/>
          <w:color w:val="auto"/>
        </w:rPr>
      </w:pPr>
    </w:p>
    <w:p>
      <w:pPr>
        <w:ind w:left="500"/>
        <w:spacing w:after="0" w:line="288" w:lineRule="auto"/>
        <w:rPr>
          <w:rFonts w:ascii="Arial" w:cs="Arial" w:eastAsia="Arial" w:hAnsi="Arial"/>
          <w:sz w:val="18"/>
          <w:szCs w:val="18"/>
          <w:i w:val="1"/>
          <w:iCs w:val="1"/>
          <w:color w:val="auto"/>
        </w:rPr>
      </w:pPr>
      <w:r>
        <w:rPr>
          <w:rFonts w:ascii="Arial" w:cs="Arial" w:eastAsia="Arial" w:hAnsi="Arial"/>
          <w:sz w:val="16"/>
          <w:szCs w:val="16"/>
          <w:color w:val="auto"/>
        </w:rPr>
        <w:t>September 2009 as Executive Vice President and Chief Operating Officer, became President in February 2010 and became Chief Executive Officer in November 2010. Prior to joining us, Mr. Rothamel was the President and Chief Executive Officer of Pamida, a privately held company that owns and operates more than 200 general merchandise and pharmacy stores. Mr. Rothamel joined Pamida in 1999 as Senior Vice President, Store Operations, was promoted to the position of Senior Vice President, Operations in 2005 and served in that capacity until assuming the President and Chief Executive Officer position in November 2007. From 1997 to 1999, Mr. Rothamel held the positions of Regional Vice President, Store Operations and District Team Leader at ShopKo Stores, Inc., also a publicly-held owner and operator of general merchandise and pharmacy stores and an affiliate of Pamida. Before joining ShopKo, Mr. Rothamel held various operational positions with Target Stores, Inc. and Venture Stores Inc.</w:t>
      </w:r>
    </w:p>
    <w:p>
      <w:pPr>
        <w:spacing w:after="0" w:line="114" w:lineRule="exact"/>
        <w:rPr>
          <w:rFonts w:ascii="Arial" w:cs="Arial" w:eastAsia="Arial" w:hAnsi="Arial"/>
          <w:sz w:val="18"/>
          <w:szCs w:val="18"/>
          <w:i w:val="1"/>
          <w:iCs w:val="1"/>
          <w:color w:val="auto"/>
        </w:rPr>
      </w:pPr>
    </w:p>
    <w:p>
      <w:pPr>
        <w:jc w:val="both"/>
        <w:ind w:left="500" w:right="180"/>
        <w:spacing w:after="0" w:line="312" w:lineRule="auto"/>
        <w:rPr>
          <w:rFonts w:ascii="Arial" w:cs="Arial" w:eastAsia="Arial" w:hAnsi="Arial"/>
          <w:sz w:val="18"/>
          <w:szCs w:val="18"/>
          <w:i w:val="1"/>
          <w:iCs w:val="1"/>
          <w:color w:val="auto"/>
        </w:rPr>
      </w:pPr>
      <w:r>
        <w:rPr>
          <w:rFonts w:ascii="Arial" w:cs="Arial" w:eastAsia="Arial" w:hAnsi="Arial"/>
          <w:sz w:val="16"/>
          <w:szCs w:val="16"/>
          <w:color w:val="auto"/>
        </w:rPr>
        <w:t>Director qualifications: leadership, chief executive officer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p>
      <w:pPr>
        <w:spacing w:after="0" w:line="92" w:lineRule="exact"/>
        <w:rPr>
          <w:rFonts w:ascii="Arial" w:cs="Arial" w:eastAsia="Arial" w:hAnsi="Arial"/>
          <w:sz w:val="18"/>
          <w:szCs w:val="18"/>
          <w:i w:val="1"/>
          <w:iCs w:val="1"/>
          <w:color w:val="auto"/>
        </w:rPr>
      </w:pPr>
    </w:p>
    <w:p>
      <w:pPr>
        <w:ind w:left="500" w:right="40" w:hanging="330"/>
        <w:spacing w:after="0" w:line="279"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Joseph J. Beal </w:t>
      </w:r>
      <w:r>
        <w:rPr>
          <w:rFonts w:ascii="Arial" w:cs="Arial" w:eastAsia="Arial" w:hAnsi="Arial"/>
          <w:sz w:val="17"/>
          <w:szCs w:val="17"/>
          <w:color w:val="auto"/>
        </w:rPr>
        <w:t>— Mr. Beal has served as a director since September 2009 and serves as Chair of the Compensation Committee. Mr. Beal also serves as</w:t>
      </w:r>
      <w:r>
        <w:rPr>
          <w:rFonts w:ascii="Arial" w:cs="Arial" w:eastAsia="Arial" w:hAnsi="Arial"/>
          <w:sz w:val="17"/>
          <w:szCs w:val="17"/>
          <w:i w:val="1"/>
          <w:iCs w:val="1"/>
          <w:color w:val="auto"/>
        </w:rPr>
        <w:t xml:space="preserve"> </w:t>
      </w:r>
      <w:r>
        <w:rPr>
          <w:rFonts w:ascii="Arial" w:cs="Arial" w:eastAsia="Arial" w:hAnsi="Arial"/>
          <w:sz w:val="17"/>
          <w:szCs w:val="17"/>
          <w:color w:val="auto"/>
        </w:rPr>
        <w:t>a director of Cash Converters International Limited. Until his retirement in 2008, Mr. Beal was the General Manager and Chief Executive Officer of the Lower Colorado River Authority. Prior to joining the LCRA in 1995, he was the Senior Vice President and Chief Operating Officer for Espey Hudson &amp; Associates, an international engineering and environmental consulting firm based in Austin, Texas.</w:t>
      </w:r>
    </w:p>
    <w:p>
      <w:pPr>
        <w:spacing w:after="0" w:line="117" w:lineRule="exact"/>
        <w:rPr>
          <w:rFonts w:ascii="Arial" w:cs="Arial" w:eastAsia="Arial" w:hAnsi="Arial"/>
          <w:sz w:val="17"/>
          <w:szCs w:val="17"/>
          <w:color w:val="auto"/>
        </w:rPr>
      </w:pPr>
    </w:p>
    <w:p>
      <w:pPr>
        <w:jc w:val="both"/>
        <w:ind w:left="500" w:right="180"/>
        <w:spacing w:after="0" w:line="264" w:lineRule="auto"/>
        <w:rPr>
          <w:rFonts w:ascii="Arial" w:cs="Arial" w:eastAsia="Arial" w:hAnsi="Arial"/>
          <w:sz w:val="17"/>
          <w:szCs w:val="17"/>
          <w:color w:val="auto"/>
        </w:rPr>
      </w:pPr>
      <w:r>
        <w:rPr>
          <w:rFonts w:ascii="Arial" w:cs="Arial" w:eastAsia="Arial" w:hAnsi="Arial"/>
          <w:sz w:val="18"/>
          <w:szCs w:val="18"/>
          <w:color w:val="auto"/>
        </w:rPr>
        <w:t>Director qualifications: leadership, chief executive officer and executive management experience; risk management experience; financial experience; experience in developing, implementing and managing strategic plans; personnel development; deep understanding of conducting business in highly regulated environments; legislative and government relations experience.</w:t>
      </w:r>
    </w:p>
    <w:p>
      <w:pPr>
        <w:spacing w:after="0" w:line="127" w:lineRule="exact"/>
        <w:rPr>
          <w:rFonts w:ascii="Arial" w:cs="Arial" w:eastAsia="Arial" w:hAnsi="Arial"/>
          <w:sz w:val="17"/>
          <w:szCs w:val="17"/>
          <w:color w:val="auto"/>
        </w:rPr>
      </w:pPr>
    </w:p>
    <w:p>
      <w:pPr>
        <w:ind w:left="500" w:right="60" w:hanging="330"/>
        <w:spacing w:after="0" w:line="271"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Pablo Lagos Espinosa — </w:t>
      </w:r>
      <w:r>
        <w:rPr>
          <w:rFonts w:ascii="Arial" w:cs="Arial" w:eastAsia="Arial" w:hAnsi="Arial"/>
          <w:sz w:val="17"/>
          <w:szCs w:val="17"/>
          <w:color w:val="auto"/>
        </w:rPr>
        <w:t>Mr. Lagos joined us as a director in October 2010 and is a member of the Compensation Committee. Mr. Lagos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Residencial Puente de Piedra, a privately-held enterprise focused on developing affordable housing projects in and around Mexico City.</w:t>
      </w:r>
    </w:p>
    <w:p>
      <w:pPr>
        <w:spacing w:after="0" w:line="124" w:lineRule="exact"/>
        <w:rPr>
          <w:rFonts w:ascii="Arial" w:cs="Arial" w:eastAsia="Arial" w:hAnsi="Arial"/>
          <w:sz w:val="17"/>
          <w:szCs w:val="17"/>
          <w:color w:val="auto"/>
        </w:rPr>
      </w:pPr>
    </w:p>
    <w:p>
      <w:pPr>
        <w:ind w:left="500" w:right="420"/>
        <w:spacing w:after="0" w:line="259" w:lineRule="auto"/>
        <w:rPr>
          <w:rFonts w:ascii="Arial" w:cs="Arial" w:eastAsia="Arial" w:hAnsi="Arial"/>
          <w:sz w:val="17"/>
          <w:szCs w:val="17"/>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32" w:lineRule="exact"/>
        <w:rPr>
          <w:rFonts w:ascii="Arial" w:cs="Arial" w:eastAsia="Arial" w:hAnsi="Arial"/>
          <w:sz w:val="17"/>
          <w:szCs w:val="17"/>
          <w:color w:val="auto"/>
        </w:rPr>
      </w:pPr>
    </w:p>
    <w:p>
      <w:pPr>
        <w:ind w:left="500" w:hanging="330"/>
        <w:spacing w:after="0" w:line="272"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John Farrell </w:t>
      </w:r>
      <w:r>
        <w:rPr>
          <w:rFonts w:ascii="Arial" w:cs="Arial" w:eastAsia="Arial" w:hAnsi="Arial"/>
          <w:sz w:val="17"/>
          <w:szCs w:val="17"/>
          <w:color w:val="auto"/>
        </w:rPr>
        <w:t>— Mr. Farrell was appointed to our board of directors in July 2011 and serves on the Audit Committee. Mr. Farrell formerly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Executive Officer of the Specialised Agencies and Marketing Services business of Publicis Groupe, one of the world’s top three advertising and communications agency groups. During his business career, Mr. Farrell has held various executive management positions with a number of global advertising and communications firms, including Publicis Groupe (2003 – 2009); D’Arcy Masius Benton &amp; Bowles (1993 – 2003); and IMP International (1985 – 1993). He serves as non-executive director of a number of advertising and communications related businesses, including Huntsworth Plc, Albion Digital Advertising Group, DWA, Media Equals, Acceleration and LBI, and as senior consultant advisor to several businesses. Mr. Farrell is also a director of Albemarle &amp; Bond Holdings PLC.</w:t>
      </w:r>
    </w:p>
    <w:p>
      <w:pPr>
        <w:spacing w:after="0" w:line="123" w:lineRule="exact"/>
        <w:rPr>
          <w:rFonts w:ascii="Arial" w:cs="Arial" w:eastAsia="Arial" w:hAnsi="Arial"/>
          <w:sz w:val="17"/>
          <w:szCs w:val="17"/>
          <w:color w:val="auto"/>
        </w:rPr>
      </w:pPr>
    </w:p>
    <w:p>
      <w:pPr>
        <w:ind w:left="500" w:right="340"/>
        <w:spacing w:after="0" w:line="259" w:lineRule="auto"/>
        <w:rPr>
          <w:rFonts w:ascii="Arial" w:cs="Arial" w:eastAsia="Arial" w:hAnsi="Arial"/>
          <w:sz w:val="17"/>
          <w:szCs w:val="17"/>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experience in developing, implementing and managing marketing plans; personnel development.</w:t>
      </w:r>
    </w:p>
    <w:p>
      <w:pPr>
        <w:spacing w:after="0" w:line="132" w:lineRule="exact"/>
        <w:rPr>
          <w:rFonts w:ascii="Arial" w:cs="Arial" w:eastAsia="Arial" w:hAnsi="Arial"/>
          <w:sz w:val="17"/>
          <w:szCs w:val="17"/>
          <w:color w:val="auto"/>
        </w:rPr>
      </w:pPr>
    </w:p>
    <w:p>
      <w:pPr>
        <w:ind w:left="500" w:right="260" w:hanging="330"/>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William C. Love </w:t>
      </w:r>
      <w:r>
        <w:rPr>
          <w:rFonts w:ascii="Arial" w:cs="Arial" w:eastAsia="Arial" w:hAnsi="Arial"/>
          <w:sz w:val="18"/>
          <w:szCs w:val="18"/>
          <w:color w:val="auto"/>
        </w:rPr>
        <w:t>— Mr. Love has served as a director since October 2008 and is Chair of the Audit Committee. Mr. Love also serves as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Converters International Limited. Mr. Love is a Certified Public Accountant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500" w:right="360"/>
        <w:spacing w:after="0" w:line="311" w:lineRule="auto"/>
        <w:rPr>
          <w:sz w:val="20"/>
          <w:szCs w:val="20"/>
          <w:color w:val="auto"/>
        </w:rPr>
      </w:pPr>
      <w:r>
        <w:rPr>
          <w:rFonts w:ascii="Arial" w:cs="Arial" w:eastAsia="Arial" w:hAnsi="Arial"/>
          <w:sz w:val="18"/>
          <w:szCs w:val="18"/>
          <w:color w:val="auto"/>
        </w:rPr>
        <w:t>Certified Valuation Analyst, and since January 1993 has practiced public accounting in the Austin, Texas based William C. Love accounting firm. From 1972 to 1993, Mr. Love worked with the accounting firm of KPMG Peat Marwick and its predecessors, including appointments as Partner in Charge of Audit, Partner in Charge of Tax and Managing Partner of its Austin, Texas office.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Director qualifications: leadership experience; broad business insight; accounting, tax and financial reporting expertise.</w:t>
      </w:r>
    </w:p>
    <w:p>
      <w:pPr>
        <w:spacing w:after="0" w:line="171" w:lineRule="exact"/>
        <w:rPr>
          <w:sz w:val="20"/>
          <w:szCs w:val="20"/>
          <w:color w:val="auto"/>
        </w:rPr>
      </w:pPr>
    </w:p>
    <w:p>
      <w:pPr>
        <w:ind w:left="500" w:right="20" w:hanging="330"/>
        <w:spacing w:after="0" w:line="29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Thomas C. Roberts </w:t>
      </w:r>
      <w:r>
        <w:rPr>
          <w:rFonts w:ascii="Arial" w:cs="Arial" w:eastAsia="Arial" w:hAnsi="Arial"/>
          <w:sz w:val="16"/>
          <w:szCs w:val="16"/>
          <w:color w:val="auto"/>
        </w:rPr>
        <w:t>— Mr. Roberts has served as a director since January 2005 and as our Lead Director since November 2008. He is a member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and the Compensation Committee. Mr. Roberts also serves as a director of Albemarle &amp; Bond Holdings PLC. Since 1990,</w:t>
      </w:r>
    </w:p>
    <w:p>
      <w:pPr>
        <w:ind w:left="500" w:right="80"/>
        <w:spacing w:after="0" w:line="255" w:lineRule="auto"/>
        <w:rPr>
          <w:rFonts w:ascii="Arial" w:cs="Arial" w:eastAsia="Arial" w:hAnsi="Arial"/>
          <w:sz w:val="16"/>
          <w:szCs w:val="16"/>
          <w:color w:val="auto"/>
        </w:rPr>
      </w:pPr>
      <w:r>
        <w:rPr>
          <w:rFonts w:ascii="Arial" w:cs="Arial" w:eastAsia="Arial" w:hAnsi="Arial"/>
          <w:sz w:val="18"/>
          <w:szCs w:val="18"/>
          <w:color w:val="auto"/>
        </w:rPr>
        <w:t>Mr. Roberts has been a private investor and is currently Chairman of the Board of Directors of Pensco, Inc., a financial services company, having previously served as a senior executive (including Chief Financial Officer) of Schlumberger, Ltd. (1970 to 1985) and President and director of Control Data Computer Systems and Services (1985 to 1989).</w:t>
      </w:r>
    </w:p>
    <w:p>
      <w:pPr>
        <w:spacing w:after="0" w:line="136" w:lineRule="exact"/>
        <w:rPr>
          <w:rFonts w:ascii="Arial" w:cs="Arial" w:eastAsia="Arial" w:hAnsi="Arial"/>
          <w:sz w:val="16"/>
          <w:szCs w:val="16"/>
          <w:color w:val="auto"/>
        </w:rPr>
      </w:pPr>
    </w:p>
    <w:p>
      <w:pPr>
        <w:ind w:left="500" w:right="300"/>
        <w:spacing w:after="0" w:line="259" w:lineRule="auto"/>
        <w:rPr>
          <w:rFonts w:ascii="Arial" w:cs="Arial" w:eastAsia="Arial" w:hAnsi="Arial"/>
          <w:sz w:val="16"/>
          <w:szCs w:val="16"/>
          <w:color w:val="auto"/>
        </w:rPr>
      </w:pPr>
      <w:r>
        <w:rPr>
          <w:rFonts w:ascii="Arial" w:cs="Arial" w:eastAsia="Arial" w:hAnsi="Arial"/>
          <w:sz w:val="18"/>
          <w:szCs w:val="18"/>
          <w:color w:val="auto"/>
        </w:rPr>
        <w:t>Director qualifications: leadership experience; chief financial officer, chief executive officer and general management experience in significant and complex multi-national environments; deep understanding of strategically important geographies and international markets; risk management experience; financial expertise; experience in developing, implementing and managing strategic plans, including international expansion; personnel development.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Set forth below are the name, age, position and biographical information of each of the persons serving as our executive officers as of October 31, 2012 except for Mr. Brinkley and Mr. Rothamel, whose biographical information is included under “Board of Directors”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tcPr>
          <w:p>
            <w:pPr>
              <w:ind w:left="2820"/>
              <w:spacing w:after="0"/>
              <w:rPr>
                <w:sz w:val="20"/>
                <w:szCs w:val="20"/>
                <w:color w:val="auto"/>
              </w:rPr>
            </w:pPr>
            <w:r>
              <w:rPr>
                <w:rFonts w:ascii="Arial" w:cs="Arial" w:eastAsia="Arial" w:hAnsi="Arial"/>
                <w:sz w:val="14"/>
                <w:szCs w:val="14"/>
                <w:b w:val="1"/>
                <w:bCs w:val="1"/>
                <w:color w:val="auto"/>
              </w:rPr>
              <w:t>Title</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Sterling B. Brinkley</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of Directors</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Paul E. Rothamel</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29"/>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 Kuchenrither</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Executive Vice President and Chief Financial Officer, and President, Change</w:t>
            </w: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Eric Fosse</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U.S. Financial and Online Services</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Rodrigo Garcia-Romo</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&amp; General Director, Empeño Fácil</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Barry W. Guest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U.S. Retail Operations</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Shanna L. Munro</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Cash Converters Canada</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Anthony M. Sanders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H. Welch, Jr.</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shd w:val="clear" w:color="auto" w:fill="CCEEFF"/>
          </w:tcPr>
          <w:p>
            <w:pPr>
              <w:spacing w:after="0"/>
              <w:rPr>
                <w:sz w:val="21"/>
                <w:szCs w:val="21"/>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Mark Kuchenrither </w:t>
      </w:r>
      <w:r>
        <w:rPr>
          <w:rFonts w:ascii="Arial" w:cs="Arial" w:eastAsia="Arial" w:hAnsi="Arial"/>
          <w:sz w:val="18"/>
          <w:szCs w:val="18"/>
          <w:color w:val="auto"/>
        </w:rPr>
        <w:t>— Mr. Kuchenrither joined us as Senior Vice President, Strategic Development in March 2010 and was promoted to President, Change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in October 2011 and to Executive Vice President in May 2012. Mr. Kuchenrither was also named Chief Financial Officer in October 2012. From 2007 to March 2010, Mr. Kuchenrither served as Vice President of Operations of Sun Capital Partners, a major private equity firm, where he was responsible for the oversight of ten portfolio companies with emphasis on profit improvement. He was Chief Financial Officer of Arch Aluminum &amp; Glass from 2003 to 2007, and was Chief Financial Officer and Treasurer of Peavey Electronics Corporation from 2000 to 2003. He began his career in various accounting and controller functions.</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Eric Fosse </w:t>
      </w:r>
      <w:r>
        <w:rPr>
          <w:rFonts w:ascii="Arial" w:cs="Arial" w:eastAsia="Arial" w:hAnsi="Arial"/>
          <w:sz w:val="18"/>
          <w:szCs w:val="18"/>
          <w:color w:val="auto"/>
        </w:rPr>
        <w:t>— Mr. Fosse joined us in September 2004 as Vice President of EZMONEY Operations. He was promoted to President – EZMONEY Division in</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2007, to President, Pawn Americas in July 2009 and to President, North American Operations in March 2011. In April 2012, Mr. Fosse was named President, U.S. Financial and Online Services. From 1991 to 2004, Mr. Fosse held various operating positions and ultimately served as a Regional Vice President of G&amp;K Services, a $500 million provider of uniform and textile products.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Rodrigo Garcia-Romo </w:t>
      </w:r>
      <w:r>
        <w:rPr>
          <w:rFonts w:ascii="Arial" w:cs="Arial" w:eastAsia="Arial" w:hAnsi="Arial"/>
          <w:sz w:val="16"/>
          <w:szCs w:val="16"/>
          <w:color w:val="auto"/>
        </w:rPr>
        <w:t>— Mr. Garcia-Romo joined us as General Director, Empeño Fácil in February 2011, and was named President &amp; General Director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2012. Prior to joining EZCORP, Mr. Garcia-Romo spent eleven years with YUM! Brands, most recently as Vice President, One System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Operations, YUM! Mexico from 2008 until 2011. In that role, he was responsible for the Mexico operations of Pizza Hut and KFC comprising more than 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stores and $400 million in revenues. He served as Senior Director, KFC Mexico from 2007 to 2008, Senior Director Operations, Pizza Hut Mexico from 2004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2007, and Director, Planning and Information Technology, YUM! Mexico from 2003 to 2004. From 1999 to 2003 Mr. Garcia-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Romo worked at YUM!'s Dallas, Texas headquarters, first as International Business Senior Planning Manager, then as Director, International Franchise Finance, and finally as Director, Financial Planning, Capital Expenditure, and Treasury Refranchising.</w:t>
      </w:r>
    </w:p>
    <w:p>
      <w:pPr>
        <w:spacing w:after="0" w:line="116"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i w:val="1"/>
          <w:iCs w:val="1"/>
          <w:color w:val="auto"/>
        </w:rPr>
        <w:t xml:space="preserve">Barry W. Guest </w:t>
      </w:r>
      <w:r>
        <w:rPr>
          <w:rFonts w:ascii="Arial" w:cs="Arial" w:eastAsia="Arial" w:hAnsi="Arial"/>
          <w:sz w:val="16"/>
          <w:szCs w:val="16"/>
          <w:color w:val="auto"/>
        </w:rPr>
        <w:t>— Mr. Guest joined us as President, U.S. Retail Operations in October 2011 after spending twenty years with Blockbuster Canada. From</w:t>
      </w:r>
      <w:r>
        <w:rPr>
          <w:rFonts w:ascii="Arial" w:cs="Arial" w:eastAsia="Arial" w:hAnsi="Arial"/>
          <w:sz w:val="16"/>
          <w:szCs w:val="16"/>
          <w:i w:val="1"/>
          <w:iCs w:val="1"/>
          <w:color w:val="auto"/>
        </w:rPr>
        <w:t xml:space="preserve"> </w:t>
      </w:r>
      <w:r>
        <w:rPr>
          <w:rFonts w:ascii="Arial" w:cs="Arial" w:eastAsia="Arial" w:hAnsi="Arial"/>
          <w:sz w:val="16"/>
          <w:szCs w:val="16"/>
          <w:color w:val="auto"/>
        </w:rPr>
        <w:t>2008 to 2011, Mr. Guest was Vice President &amp; General Manager, Blockbuster Canada, responsible for the strategic and tactical direction of the Canadian organization. He had full P&amp;L responsibility for over 400 stores and $500 million in revenues. From 2000 to 2008 Mr. Guest was Vice President, Blockbuster Canadian Operations, with responsibility for all aspects of store operations. Before then, Mr. Guest served as Director of Operations, Blockbuster Canada (1998 to 2000) and Regional Director (1994 to 1998). Mr. Guest joined Blockbuster Canada in 1991 as an Area Manager.</w:t>
      </w:r>
    </w:p>
    <w:p>
      <w:pPr>
        <w:spacing w:after="0" w:line="10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Shanna L. Munro </w:t>
      </w:r>
      <w:r>
        <w:rPr>
          <w:rFonts w:ascii="Arial" w:cs="Arial" w:eastAsia="Arial" w:hAnsi="Arial"/>
          <w:sz w:val="17"/>
          <w:szCs w:val="17"/>
          <w:color w:val="auto"/>
        </w:rPr>
        <w:t>— Ms. Munro joined us in April 2011 as Vice President &amp; General Manager, Cash Converters Canada. She was named President, Cash</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Converters Canada in October 2012. From 2009 to 2011, Ms. Munro was Executive Vice President and Chief Operating Officer for Mr. Greek Restaurants, a privately owned operator of company owned and franchised restaurants based in Ontario, Canada. Ms. Munro was President and Chief Operating Officer of Putting Edge Corporation, a privately held Ontario-based operation of indoor entertainment centers, from 2005 to 2009, and Senior Vice President, Scott's Restaurants, the parent company of the Canadian KFC Income Trust, from 2003 to 2005. From 2000 to 2003 Ms. Munro served as Vice President, KFC, Pizza Hut, Taco Bell, and Long John Silver for Priszm Brands, the Ontario-based YUM! Brands Canadian master franchisor, where she had full P&amp;L responsibility for four brands with over $300 million in revenues.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Anthony M. Sanders — </w:t>
      </w:r>
      <w:r>
        <w:rPr>
          <w:rFonts w:ascii="Arial" w:cs="Arial" w:eastAsia="Arial" w:hAnsi="Arial"/>
          <w:sz w:val="18"/>
          <w:szCs w:val="18"/>
          <w:color w:val="auto"/>
        </w:rPr>
        <w:t>Mr. Sanders joined us in April 2010 as Senior Vice President, Human resources. Mr. Sanders was the Managing Director of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Services and Administration for United Airlines from 2007 to 2010. From 2000 to 2006, Mr. Sanders served as the Vice President Human Resource Business Center for ConAgra Foods, a $14 billion food packaging company, where he was responsible for human resources administrative services, benefits planning and administration, payroll and human resource acquisition management. From 1998 to 2000, Mr. Sanders served as Director of Benefits and Corporate Human Resources for Baker Hughes Incorporated, a 35,000 person multi-national oilfield services company. From 1989 to 1998 he served in various tax leadership roles at Baker Hughes.</w:t>
      </w:r>
    </w:p>
    <w:p>
      <w:pPr>
        <w:spacing w:after="0" w:line="13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Thomas H. Welch, Jr. — </w:t>
      </w:r>
      <w:r>
        <w:rPr>
          <w:rFonts w:ascii="Arial" w:cs="Arial" w:eastAsia="Arial" w:hAnsi="Arial"/>
          <w:sz w:val="16"/>
          <w:szCs w:val="16"/>
          <w:color w:val="auto"/>
        </w:rPr>
        <w:t>Mr. Welch joined us in April 2009 as Senior Vice President, General Counsel and Secretary. He joined Dell, Inc.’s legal department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and previously was a shareholder with the law firm of Johnson &amp; Gibbs, P.C., Dallas, Texas.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On January 17, 2012, Brent Turner (then, the Senior Vice President, eCommerce and Card Services) received 167,811 shares of Class A Common Stock in connection with the completion of an acquisition of 15 consumer loan stores in Hawaii and South Texas in which Mr. Turner had an interest prior to joining the company. The Form 4 with respect to the receipt of those shares was due on January 19, 2012, but was not filed until February 6, 2012.</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Based on written representations and a review of the relevant Forms 3, 4 and 5, during fiscal 2012, except as described above, all persons subject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16 of the Securities Exchange Act of 1934 with respect to EZCORP timely filed all reports required by Section 16(a) of the Securities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maintain a Code of Conduct and Ethics that is applicable to all of our employees, including our chief executive officer, chief financial officer and chief accounting officer. That Code of Conduct and Ethics,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and Ethics is posted in the Investor Relations section of on our website at www.ezcorp.com.</w:t>
      </w:r>
    </w:p>
    <w:p>
      <w:pPr>
        <w:spacing w:after="0" w:line="12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will post any waivers of the Code of Conduct and Ethics, or amendments thereto, that are applicable to our chief executive officer, our chief financial officer or chief accounting officer in the Investor Relations section of our website at www.ezcorp.com. To date, there have been no such waivers.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Committees of the Board </w:t>
      </w:r>
      <w:r>
        <w:rPr>
          <w:rFonts w:ascii="Arial" w:cs="Arial" w:eastAsia="Arial" w:hAnsi="Arial"/>
          <w:sz w:val="18"/>
          <w:szCs w:val="18"/>
          <w:color w:val="auto"/>
        </w:rPr>
        <w:t>— The Board of Directors maintains the following committees to assist it in its oversight responsibilities. The current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committee is indicated in the list of directors set forth under “Board of Directors” above.</w:t>
      </w:r>
    </w:p>
    <w:p>
      <w:pPr>
        <w:spacing w:after="0" w:line="116" w:lineRule="exact"/>
        <w:rPr>
          <w:sz w:val="20"/>
          <w:szCs w:val="20"/>
          <w:color w:val="auto"/>
        </w:rPr>
      </w:pPr>
    </w:p>
    <w:p>
      <w:pPr>
        <w:ind w:left="500" w:hanging="330"/>
        <w:spacing w:after="0" w:line="255"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 The Audit Committee assists the Board in fulfilling its responsibility to provide oversight with respect to our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p>
      <w:pPr>
        <w:spacing w:after="0" w:line="135" w:lineRule="exact"/>
        <w:rPr>
          <w:rFonts w:ascii="Arial" w:cs="Arial" w:eastAsia="Arial" w:hAnsi="Arial"/>
          <w:sz w:val="18"/>
          <w:szCs w:val="18"/>
          <w:color w:val="auto"/>
        </w:rPr>
      </w:pPr>
    </w:p>
    <w:p>
      <w:pPr>
        <w:ind w:left="500" w:right="60"/>
        <w:spacing w:after="0" w:line="257" w:lineRule="auto"/>
        <w:rPr>
          <w:rFonts w:ascii="Arial" w:cs="Arial" w:eastAsia="Arial" w:hAnsi="Arial"/>
          <w:sz w:val="18"/>
          <w:szCs w:val="18"/>
          <w:color w:val="auto"/>
        </w:rPr>
      </w:pPr>
      <w:r>
        <w:rPr>
          <w:rFonts w:ascii="Arial" w:cs="Arial" w:eastAsia="Arial" w:hAnsi="Arial"/>
          <w:sz w:val="18"/>
          <w:szCs w:val="18"/>
          <w:color w:val="auto"/>
        </w:rPr>
        <w:t>The Audit Committee is comprised entirely of directors who satisfy the standards of independence described under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both Mr. Love and Mr. Roberts are “financial experts” within the meaning of the current rules of the SEC.</w:t>
      </w:r>
    </w:p>
    <w:p>
      <w:pPr>
        <w:spacing w:after="0" w:line="134" w:lineRule="exact"/>
        <w:rPr>
          <w:rFonts w:ascii="Arial" w:cs="Arial" w:eastAsia="Arial" w:hAnsi="Arial"/>
          <w:sz w:val="18"/>
          <w:szCs w:val="18"/>
          <w:color w:val="auto"/>
        </w:rPr>
      </w:pPr>
    </w:p>
    <w:p>
      <w:pPr>
        <w:ind w:left="500" w:right="40" w:hanging="330"/>
        <w:spacing w:after="0" w:line="255"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 The Compensation Committee reviews and approves, on behalf of the Board, the amounts and types of compensation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to our senior executives, reviews and recommends to the full Board the amount and type of compensation to be paid to our non-employee directors, reviews and approves, on behalf of the Board, all bonus and equity compensation to be paid to our other employees, and administers our stock compensation plans. The Compensation Committee is comprised entirely of directors who satisfy the standards of independence described under “Item 13 — Certain Relationships and Related Transactions, and Director Independence — Director Independence,” as well as additional or supplemental independence standards applicable to compensation committee members established under applicable law and NASDAQ listing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Each committee is governed by a written charter, a copy of which can be found in the Investor Relations section of our website at www.ezcorp.com.</w:t>
      </w:r>
    </w:p>
    <w:p>
      <w:pPr>
        <w:spacing w:after="0" w:line="1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all of our voting stock is beneficially owned by Phillip E. Cohen and the remaining stockholders are not entitled to vote on the election of directors, we do not maintain a standing nominating committee of the Board of Directors. In the absence of a nominating committee, director nominees are typically considered by the full Board.</w:t>
      </w:r>
    </w:p>
    <w:p>
      <w:pPr>
        <w:spacing w:after="0" w:line="12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 xml:space="preserve">Meetings and Attendance </w:t>
      </w:r>
      <w:r>
        <w:rPr>
          <w:rFonts w:ascii="Arial" w:cs="Arial" w:eastAsia="Arial" w:hAnsi="Arial"/>
          <w:sz w:val="17"/>
          <w:szCs w:val="17"/>
          <w:color w:val="auto"/>
        </w:rPr>
        <w:t>— During fiscal 2012, the Board of Directors held five meetings, the Audit Committee held six meetings, and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held six meetings. Mr. Farrell missed one Board of Directors meeting and one Audit Committee meeting in July 2012 (for which he expressed prior regrets). Otherwise, all directors attended all meetings of the Board and of the committees on which they served.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125" w:right="27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This Compensation Discussion &amp; Analysis (“CD&amp;A”) describes our compensation practices and the executive compensation policies, decisions and actions of the Compensation Committee of our Board of Directors (the “Committee”). The CD&amp;A focuses specifically on compensation earned during fiscal 2012 by our CEO, CFO and the three other most highly compensated executive officers, collectively referred to as our Named Executive Officers (“NEOs”).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philosophy is grounded in two fundamental principles:</w:t>
      </w:r>
    </w:p>
    <w:p>
      <w:pPr>
        <w:spacing w:after="0" w:line="171" w:lineRule="exact"/>
        <w:rPr>
          <w:sz w:val="20"/>
          <w:szCs w:val="20"/>
          <w:color w:val="auto"/>
        </w:rPr>
      </w:pPr>
    </w:p>
    <w:p>
      <w:pPr>
        <w:ind w:left="660" w:right="2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Pay for performance — </w:t>
      </w:r>
      <w:r>
        <w:rPr>
          <w:rFonts w:ascii="Arial" w:cs="Arial" w:eastAsia="Arial" w:hAnsi="Arial"/>
          <w:sz w:val="17"/>
          <w:szCs w:val="17"/>
          <w:color w:val="auto"/>
        </w:rPr>
        <w:t>Executives should be compensated based on their ability to achieve (or to help drive the Company's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operational, financial and strategic results, including sustained growth in terms of profitability and shareholder value.</w:t>
      </w:r>
    </w:p>
    <w:p>
      <w:pPr>
        <w:spacing w:after="0" w:line="92"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Pay at a level commensurate with other value creators — </w:t>
      </w:r>
      <w:r>
        <w:rPr>
          <w:rFonts w:ascii="Arial" w:cs="Arial" w:eastAsia="Arial" w:hAnsi="Arial"/>
          <w:sz w:val="18"/>
          <w:szCs w:val="18"/>
          <w:color w:val="auto"/>
        </w:rPr>
        <w:t>Pay opportunities should be set at a level where we are able to attract and retain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caliber we need to execute our strategic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support of this philosophy, the Committee has designed compensation plans that:</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Reward executives with incentives that are based on:</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Overall company performance (annual and long-term);</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Individual contributions;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Long-term creation of stockholder value;</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Encourage top performers to make long-term commitments to the Company through the use of competitive incentive opportunities and awards that are vested and earned over multi-year periods;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Align executive interests with the long-term interests of stockholders through the use of equity incentives that vest over multiple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Design</w:t>
      </w:r>
    </w:p>
    <w:p>
      <w:pPr>
        <w:spacing w:after="0" w:line="171"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i w:val="1"/>
          <w:iCs w:val="1"/>
          <w:color w:val="auto"/>
        </w:rPr>
        <w:t xml:space="preserve">Goals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support of the grounding principles of our compensation philosophy (pay for performance and pay commensurate with other value creators)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interest in ensuring shareholder alignment, we have designed our executive compensation programs to accomplish the following primary goals:</w:t>
      </w:r>
    </w:p>
    <w:p>
      <w:pPr>
        <w:spacing w:after="0" w:line="67" w:lineRule="exact"/>
        <w:rPr>
          <w:sz w:val="20"/>
          <w:szCs w:val="20"/>
          <w:color w:val="auto"/>
        </w:rPr>
      </w:pPr>
    </w:p>
    <w:p>
      <w:pPr>
        <w:ind w:left="1960"/>
        <w:spacing w:after="0"/>
        <w:tabs>
          <w:tab w:leader="none" w:pos="7140" w:val="left"/>
        </w:tabs>
        <w:rPr>
          <w:sz w:val="20"/>
          <w:szCs w:val="20"/>
          <w:color w:val="auto"/>
        </w:rPr>
      </w:pPr>
      <w:r>
        <w:rPr>
          <w:rFonts w:ascii="Arial" w:cs="Arial" w:eastAsia="Arial" w:hAnsi="Arial"/>
          <w:sz w:val="16"/>
          <w:szCs w:val="16"/>
          <w:b w:val="1"/>
          <w:bCs w:val="1"/>
          <w:color w:val="auto"/>
        </w:rPr>
        <w:t>Goal</w:t>
      </w:r>
      <w:r>
        <w:rPr>
          <w:sz w:val="20"/>
          <w:szCs w:val="20"/>
          <w:color w:val="auto"/>
        </w:rPr>
        <w:tab/>
      </w:r>
      <w:r>
        <w:rPr>
          <w:rFonts w:ascii="Arial" w:cs="Arial" w:eastAsia="Arial" w:hAnsi="Arial"/>
          <w:sz w:val="16"/>
          <w:szCs w:val="16"/>
          <w:b w:val="1"/>
          <w:bCs w:val="1"/>
          <w:color w:val="auto"/>
        </w:rPr>
        <w:t>How Accomplished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3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328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86" w:lineRule="exact"/>
        <w:rPr>
          <w:sz w:val="20"/>
          <w:szCs w:val="20"/>
          <w:color w:val="auto"/>
        </w:rPr>
      </w:pPr>
    </w:p>
    <w:p>
      <w:pPr>
        <w:ind w:left="40" w:right="260"/>
        <w:spacing w:after="0" w:line="275" w:lineRule="auto"/>
        <w:rPr>
          <w:sz w:val="20"/>
          <w:szCs w:val="20"/>
          <w:color w:val="auto"/>
        </w:rPr>
      </w:pPr>
      <w:r>
        <w:rPr>
          <w:rFonts w:ascii="Arial" w:cs="Arial" w:eastAsia="Arial" w:hAnsi="Arial"/>
          <w:sz w:val="16"/>
          <w:szCs w:val="16"/>
          <w:b w:val="1"/>
          <w:bCs w:val="1"/>
          <w:color w:val="auto"/>
        </w:rPr>
        <w:t xml:space="preserve">Pay for performance — </w:t>
      </w:r>
      <w:r>
        <w:rPr>
          <w:rFonts w:ascii="Arial" w:cs="Arial" w:eastAsia="Arial" w:hAnsi="Arial"/>
          <w:sz w:val="16"/>
          <w:szCs w:val="16"/>
          <w:color w:val="auto"/>
        </w:rPr>
        <w:t>providing actual realized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that increases when we have strong financial performance and declines when we have weak financial performance</w:t>
      </w:r>
    </w:p>
    <w:p>
      <w:pPr>
        <w:spacing w:after="0" w:line="200" w:lineRule="exact"/>
        <w:rPr>
          <w:sz w:val="20"/>
          <w:szCs w:val="20"/>
          <w:color w:val="auto"/>
        </w:rPr>
      </w:pPr>
    </w:p>
    <w:p>
      <w:pPr>
        <w:spacing w:after="0" w:line="334" w:lineRule="exact"/>
        <w:rPr>
          <w:sz w:val="20"/>
          <w:szCs w:val="20"/>
          <w:color w:val="auto"/>
        </w:rPr>
      </w:pPr>
    </w:p>
    <w:p>
      <w:pPr>
        <w:ind w:left="40"/>
        <w:spacing w:after="0" w:line="281" w:lineRule="auto"/>
        <w:rPr>
          <w:sz w:val="20"/>
          <w:szCs w:val="20"/>
          <w:color w:val="auto"/>
        </w:rPr>
      </w:pPr>
      <w:r>
        <w:rPr>
          <w:rFonts w:ascii="Arial" w:cs="Arial" w:eastAsia="Arial" w:hAnsi="Arial"/>
          <w:sz w:val="16"/>
          <w:szCs w:val="16"/>
          <w:b w:val="1"/>
          <w:bCs w:val="1"/>
          <w:color w:val="auto"/>
        </w:rPr>
        <w:t xml:space="preserve">Pay commensurate with other value creators — </w:t>
      </w:r>
      <w:r>
        <w:rPr>
          <w:rFonts w:ascii="Arial" w:cs="Arial" w:eastAsia="Arial" w:hAnsi="Arial"/>
          <w:sz w:val="16"/>
          <w:szCs w:val="16"/>
          <w:color w:val="auto"/>
        </w:rPr>
        <w:t>attracting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retaining highly qualified individuals capable of leading us to achieve our business objectives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63" w:right="60" w:hanging="163"/>
        <w:spacing w:after="0" w:line="319" w:lineRule="auto"/>
        <w:tabs>
          <w:tab w:leader="none" w:pos="138"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Provide a significant portion of executive compensation in the form of performance-based incentives tied both to achievement of specific business objectives and to growth in shareholder value.</w:t>
      </w:r>
    </w:p>
    <w:p>
      <w:pPr>
        <w:ind w:left="163" w:right="180" w:hanging="163"/>
        <w:spacing w:after="0" w:line="293" w:lineRule="auto"/>
        <w:tabs>
          <w:tab w:leader="none" w:pos="1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Achievement of business objectives is measured against specific annual financial and long-term growth goals.</w:t>
      </w:r>
    </w:p>
    <w:p>
      <w:pPr>
        <w:spacing w:after="0" w:line="9" w:lineRule="exact"/>
        <w:rPr>
          <w:rFonts w:ascii="Arial" w:cs="Arial" w:eastAsia="Arial" w:hAnsi="Arial"/>
          <w:sz w:val="16"/>
          <w:szCs w:val="16"/>
          <w:color w:val="auto"/>
        </w:rPr>
      </w:pPr>
    </w:p>
    <w:p>
      <w:pPr>
        <w:ind w:left="163" w:right="160" w:hanging="163"/>
        <w:spacing w:after="0" w:line="293" w:lineRule="auto"/>
        <w:tabs>
          <w:tab w:leader="none" w:pos="1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Achievement of growth in shareholder value is measured implicitly through the use of equity incentives that are vested and earned over multiple years.</w:t>
      </w:r>
    </w:p>
    <w:p>
      <w:pPr>
        <w:spacing w:after="0" w:line="9" w:lineRule="exact"/>
        <w:rPr>
          <w:rFonts w:ascii="Arial" w:cs="Arial" w:eastAsia="Arial" w:hAnsi="Arial"/>
          <w:sz w:val="16"/>
          <w:szCs w:val="16"/>
          <w:color w:val="auto"/>
        </w:rPr>
      </w:pPr>
    </w:p>
    <w:p>
      <w:pPr>
        <w:ind w:left="163" w:right="40" w:hanging="163"/>
        <w:spacing w:after="0" w:line="305" w:lineRule="auto"/>
        <w:tabs>
          <w:tab w:leader="none" w:pos="138" w:val="left"/>
        </w:tabs>
        <w:numPr>
          <w:ilvl w:val="0"/>
          <w:numId w:val="30"/>
        </w:numPr>
        <w:rPr>
          <w:rFonts w:ascii="Arial" w:cs="Arial" w:eastAsia="Arial" w:hAnsi="Arial"/>
          <w:sz w:val="15"/>
          <w:szCs w:val="15"/>
          <w:color w:val="auto"/>
        </w:rPr>
      </w:pPr>
      <w:r>
        <w:rPr>
          <w:rFonts w:ascii="Arial" w:cs="Arial" w:eastAsia="Arial" w:hAnsi="Arial"/>
          <w:sz w:val="15"/>
          <w:szCs w:val="15"/>
          <w:color w:val="auto"/>
        </w:rPr>
        <w:t>Utilize survey and peer group compensation data, as well as the advice and counsel of the Committee's independent advisor, to help ensure that we are providing total direct compensation opportunities that are competitive with the market within which we compete for talent.</w:t>
      </w:r>
    </w:p>
    <w:p>
      <w:pPr>
        <w:spacing w:after="0" w:line="4" w:lineRule="exact"/>
        <w:rPr>
          <w:rFonts w:ascii="Arial" w:cs="Arial" w:eastAsia="Arial" w:hAnsi="Arial"/>
          <w:sz w:val="15"/>
          <w:szCs w:val="15"/>
          <w:color w:val="auto"/>
        </w:rPr>
      </w:pPr>
    </w:p>
    <w:p>
      <w:pPr>
        <w:ind w:left="163" w:right="200" w:hanging="163"/>
        <w:spacing w:after="0" w:line="293" w:lineRule="auto"/>
        <w:tabs>
          <w:tab w:leader="none" w:pos="138"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Leave a meaningful portion of pay “at risk” based in part on continued employment beyond the current year.</w:t>
      </w:r>
    </w:p>
    <w:p>
      <w:pPr>
        <w:spacing w:after="0" w:line="200" w:lineRule="exact"/>
        <w:rPr>
          <w:sz w:val="20"/>
          <w:szCs w:val="20"/>
          <w:color w:val="auto"/>
        </w:rPr>
      </w:pPr>
    </w:p>
    <w:p>
      <w:pPr>
        <w:sectPr>
          <w:pgSz w:w="11900" w:h="16838" w:orient="portrait"/>
          <w:cols w:equalWidth="0" w:num="2">
            <w:col w:w="4140" w:space="257"/>
            <w:col w:w="7023"/>
          </w:cols>
          <w:pgMar w:left="240" w:top="125" w:right="239" w:bottom="1440" w:gutter="0" w:footer="0" w:header="0"/>
          <w:type w:val="continuous"/>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 alignment and long-term commitment</w:t>
            </w:r>
          </w:p>
        </w:tc>
        <w:tc>
          <w:tcPr>
            <w:tcW w:w="52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9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3"/>
              </w:rPr>
              <w:t>Tie a meaningful portion of executive rewards to growth in shareholder value through grants of restricted</w:t>
            </w:r>
          </w:p>
        </w:tc>
        <w:tc>
          <w:tcPr>
            <w:tcW w:w="0" w:type="dxa"/>
            <w:vAlign w:val="bottom"/>
          </w:tcPr>
          <w:p>
            <w:pPr>
              <w:spacing w:after="0"/>
              <w:rPr>
                <w:sz w:val="1"/>
                <w:szCs w:val="1"/>
                <w:color w:val="auto"/>
              </w:rPr>
            </w:pPr>
          </w:p>
        </w:tc>
      </w:tr>
      <w:tr>
        <w:trPr>
          <w:trHeight w:val="44"/>
        </w:trPr>
        <w:tc>
          <w:tcPr>
            <w:tcW w:w="3980" w:type="dxa"/>
            <w:vAlign w:val="bottom"/>
            <w:shd w:val="clear" w:color="auto" w:fill="CCEEFF"/>
          </w:tcPr>
          <w:p>
            <w:pPr>
              <w:spacing w:after="0"/>
              <w:rPr>
                <w:sz w:val="3"/>
                <w:szCs w:val="3"/>
                <w:color w:val="auto"/>
              </w:rPr>
            </w:pPr>
          </w:p>
        </w:tc>
        <w:tc>
          <w:tcPr>
            <w:tcW w:w="520" w:type="dxa"/>
            <w:vAlign w:val="bottom"/>
            <w:vMerge w:val="continue"/>
            <w:shd w:val="clear" w:color="auto" w:fill="CCEEFF"/>
          </w:tcPr>
          <w:p>
            <w:pPr>
              <w:spacing w:after="0"/>
              <w:rPr>
                <w:sz w:val="3"/>
                <w:szCs w:val="3"/>
                <w:color w:val="auto"/>
              </w:rPr>
            </w:pPr>
          </w:p>
        </w:tc>
        <w:tc>
          <w:tcPr>
            <w:tcW w:w="69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shares that vest over multiple years.</w:t>
            </w:r>
          </w:p>
        </w:tc>
        <w:tc>
          <w:tcPr>
            <w:tcW w:w="0" w:type="dxa"/>
            <w:vAlign w:val="bottom"/>
          </w:tcPr>
          <w:p>
            <w:pPr>
              <w:spacing w:after="0"/>
              <w:rPr>
                <w:sz w:val="1"/>
                <w:szCs w:val="1"/>
                <w:color w:val="auto"/>
              </w:rPr>
            </w:pPr>
          </w:p>
        </w:tc>
      </w:tr>
      <w:tr>
        <w:trPr>
          <w:trHeight w:val="253"/>
        </w:trPr>
        <w:tc>
          <w:tcPr>
            <w:tcW w:w="3980" w:type="dxa"/>
            <w:vAlign w:val="bottom"/>
            <w:shd w:val="clear" w:color="auto" w:fill="CCEEFF"/>
          </w:tcPr>
          <w:p>
            <w:pPr>
              <w:spacing w:after="0"/>
              <w:rPr>
                <w:sz w:val="21"/>
                <w:szCs w:val="21"/>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Further promote focus on growth in shareholder value through the use of performance-vested long-term</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incentive awards for our most senior executives.</w:t>
            </w:r>
          </w:p>
        </w:tc>
        <w:tc>
          <w:tcPr>
            <w:tcW w:w="0" w:type="dxa"/>
            <w:vAlign w:val="bottom"/>
          </w:tcPr>
          <w:p>
            <w:pPr>
              <w:spacing w:after="0"/>
              <w:rPr>
                <w:sz w:val="1"/>
                <w:szCs w:val="1"/>
                <w:color w:val="auto"/>
              </w:rPr>
            </w:pPr>
          </w:p>
        </w:tc>
      </w:tr>
      <w:tr>
        <w:trPr>
          <w:trHeight w:val="236"/>
        </w:trPr>
        <w:tc>
          <w:tcPr>
            <w:tcW w:w="3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Components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“total direct” compensation is composed of three principal components, each one contributing to the accomplishment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goals.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Compensation Component</w:t>
            </w:r>
          </w:p>
        </w:tc>
        <w:tc>
          <w:tcPr>
            <w:tcW w:w="286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1940" w:type="dxa"/>
            <w:vAlign w:val="bottom"/>
          </w:tcPr>
          <w:p>
            <w:pPr>
              <w:jc w:val="center"/>
              <w:ind w:left="788"/>
              <w:spacing w:after="0"/>
              <w:rPr>
                <w:sz w:val="20"/>
                <w:szCs w:val="20"/>
                <w:color w:val="auto"/>
              </w:rPr>
            </w:pPr>
            <w:r>
              <w:rPr>
                <w:rFonts w:ascii="Arial" w:cs="Arial" w:eastAsia="Arial" w:hAnsi="Arial"/>
                <w:sz w:val="14"/>
                <w:szCs w:val="14"/>
                <w:b w:val="1"/>
                <w:bCs w:val="1"/>
                <w:color w:val="auto"/>
                <w:w w:val="97"/>
              </w:rPr>
              <w:t>Attract and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Pay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Shareholder</w:t>
            </w: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05"/>
        </w:trPr>
        <w:tc>
          <w:tcPr>
            <w:tcW w:w="2740" w:type="dxa"/>
            <w:vAlign w:val="bottom"/>
            <w:vMerge w:val="continue"/>
          </w:tcPr>
          <w:p>
            <w:pPr>
              <w:spacing w:after="0"/>
              <w:rPr>
                <w:sz w:val="9"/>
                <w:szCs w:val="9"/>
                <w:color w:val="auto"/>
              </w:rPr>
            </w:pPr>
          </w:p>
        </w:tc>
        <w:tc>
          <w:tcPr>
            <w:tcW w:w="2860" w:type="dxa"/>
            <w:vAlign w:val="bottom"/>
            <w:vMerge w:val="continue"/>
          </w:tcPr>
          <w:p>
            <w:pPr>
              <w:spacing w:after="0"/>
              <w:rPr>
                <w:sz w:val="9"/>
                <w:szCs w:val="9"/>
                <w:color w:val="auto"/>
              </w:rPr>
            </w:pPr>
          </w:p>
        </w:tc>
        <w:tc>
          <w:tcPr>
            <w:tcW w:w="1940" w:type="dxa"/>
            <w:vAlign w:val="bottom"/>
            <w:vMerge w:val="restart"/>
          </w:tcPr>
          <w:p>
            <w:pPr>
              <w:jc w:val="center"/>
              <w:ind w:left="788"/>
              <w:spacing w:after="0"/>
              <w:rPr>
                <w:sz w:val="20"/>
                <w:szCs w:val="20"/>
                <w:color w:val="auto"/>
              </w:rPr>
            </w:pPr>
            <w:r>
              <w:rPr>
                <w:rFonts w:ascii="Arial" w:cs="Arial" w:eastAsia="Arial" w:hAnsi="Arial"/>
                <w:sz w:val="14"/>
                <w:szCs w:val="14"/>
                <w:b w:val="1"/>
                <w:bCs w:val="1"/>
                <w:color w:val="auto"/>
                <w:w w:val="93"/>
              </w:rPr>
              <w:t>Retain</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Alignment</w:t>
            </w:r>
          </w:p>
        </w:tc>
        <w:tc>
          <w:tcPr>
            <w:tcW w:w="10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39" w:lineRule="exact"/>
        <w:rPr>
          <w:sz w:val="20"/>
          <w:szCs w:val="20"/>
          <w:color w:val="auto"/>
        </w:rPr>
      </w:pPr>
    </w:p>
    <w:p>
      <w:pPr>
        <w:ind w:left="40"/>
        <w:spacing w:after="0"/>
        <w:tabs>
          <w:tab w:leader="none" w:pos="2360" w:val="left"/>
        </w:tabs>
        <w:rPr>
          <w:sz w:val="20"/>
          <w:szCs w:val="20"/>
          <w:color w:val="auto"/>
        </w:rPr>
      </w:pPr>
      <w:r>
        <w:rPr>
          <w:rFonts w:ascii="Arial" w:cs="Arial" w:eastAsia="Arial" w:hAnsi="Arial"/>
          <w:sz w:val="16"/>
          <w:szCs w:val="16"/>
          <w:b w:val="1"/>
          <w:bCs w:val="1"/>
          <w:color w:val="auto"/>
        </w:rPr>
        <w:t>Base Salary</w:t>
      </w:r>
      <w:r>
        <w:rPr>
          <w:sz w:val="20"/>
          <w:szCs w:val="20"/>
          <w:color w:val="auto"/>
        </w:rPr>
        <w:tab/>
      </w:r>
      <w:r>
        <w:rPr>
          <w:rFonts w:ascii="Arial" w:cs="Arial" w:eastAsia="Arial" w:hAnsi="Arial"/>
          <w:sz w:val="14"/>
          <w:szCs w:val="14"/>
          <w:color w:val="auto"/>
        </w:rPr>
        <w:t>• A market-competitive salary is an essential factor in attracting</w:t>
      </w:r>
    </w:p>
    <w:p>
      <w:pPr>
        <w:spacing w:after="0" w:line="26"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and retaining qualified personnel.</w:t>
      </w:r>
    </w:p>
    <w:p>
      <w:pPr>
        <w:spacing w:after="0" w:line="65" w:lineRule="exact"/>
        <w:rPr>
          <w:sz w:val="20"/>
          <w:szCs w:val="20"/>
          <w:color w:val="auto"/>
        </w:rPr>
      </w:pPr>
    </w:p>
    <w:p>
      <w:pPr>
        <w:ind w:left="40"/>
        <w:spacing w:after="0"/>
        <w:tabs>
          <w:tab w:leader="none" w:pos="2360" w:val="left"/>
        </w:tabs>
        <w:rPr>
          <w:sz w:val="20"/>
          <w:szCs w:val="20"/>
          <w:color w:val="auto"/>
        </w:rPr>
      </w:pPr>
      <w:r>
        <w:rPr>
          <w:rFonts w:ascii="Arial" w:cs="Arial" w:eastAsia="Arial" w:hAnsi="Arial"/>
          <w:sz w:val="16"/>
          <w:szCs w:val="16"/>
          <w:b w:val="1"/>
          <w:bCs w:val="1"/>
          <w:color w:val="auto"/>
        </w:rPr>
        <w:t>Annual Incentives</w:t>
      </w:r>
      <w:r>
        <w:rPr>
          <w:sz w:val="20"/>
          <w:szCs w:val="20"/>
          <w:color w:val="auto"/>
        </w:rPr>
        <w:tab/>
      </w:r>
      <w:r>
        <w:rPr>
          <w:rFonts w:ascii="Arial" w:cs="Arial" w:eastAsia="Arial" w:hAnsi="Arial"/>
          <w:sz w:val="15"/>
          <w:szCs w:val="15"/>
          <w:color w:val="auto"/>
        </w:rPr>
        <w:t>• Annual cash bonus opportunity.</w:t>
      </w:r>
    </w:p>
    <w:p>
      <w:pPr>
        <w:spacing w:after="0" w:line="77"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 Awards are tied to an assessment of annual corporate and</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business unit financial performance and individual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003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2360" w:val="left"/>
        </w:tabs>
        <w:rPr>
          <w:sz w:val="20"/>
          <w:szCs w:val="20"/>
          <w:color w:val="auto"/>
        </w:rPr>
      </w:pPr>
      <w:r>
        <w:rPr>
          <w:rFonts w:ascii="Arial" w:cs="Arial" w:eastAsia="Arial" w:hAnsi="Arial"/>
          <w:sz w:val="16"/>
          <w:szCs w:val="16"/>
          <w:b w:val="1"/>
          <w:bCs w:val="1"/>
          <w:color w:val="auto"/>
        </w:rPr>
        <w:t>Long-term Incentives</w:t>
      </w:r>
      <w:r>
        <w:rPr>
          <w:sz w:val="20"/>
          <w:szCs w:val="20"/>
          <w:color w:val="auto"/>
        </w:rPr>
        <w:tab/>
      </w:r>
      <w:r>
        <w:rPr>
          <w:rFonts w:ascii="Arial" w:cs="Arial" w:eastAsia="Arial" w:hAnsi="Arial"/>
          <w:sz w:val="15"/>
          <w:szCs w:val="15"/>
          <w:color w:val="auto"/>
        </w:rPr>
        <w:t>• Equity incentive grants.</w:t>
      </w:r>
    </w:p>
    <w:p>
      <w:pPr>
        <w:spacing w:after="0" w:line="77" w:lineRule="exact"/>
        <w:rPr>
          <w:sz w:val="20"/>
          <w:szCs w:val="20"/>
          <w:color w:val="auto"/>
        </w:rPr>
      </w:pPr>
    </w:p>
    <w:p>
      <w:pPr>
        <w:ind w:left="2540" w:right="20" w:hanging="155"/>
        <w:spacing w:after="0" w:line="278" w:lineRule="auto"/>
        <w:tabs>
          <w:tab w:leader="none" w:pos="2516" w:val="left"/>
        </w:tabs>
        <w:numPr>
          <w:ilvl w:val="0"/>
          <w:numId w:val="31"/>
        </w:numPr>
        <w:rPr>
          <w:rFonts w:ascii="Arial" w:cs="Arial" w:eastAsia="Arial" w:hAnsi="Arial"/>
          <w:sz w:val="16"/>
          <w:szCs w:val="16"/>
          <w:color w:val="auto"/>
        </w:rPr>
      </w:pPr>
      <w:r>
        <w:rPr>
          <w:rFonts w:ascii="Arial" w:cs="Arial" w:eastAsia="Arial" w:hAnsi="Arial"/>
          <w:sz w:val="16"/>
          <w:szCs w:val="16"/>
          <w:color w:val="auto"/>
        </w:rPr>
        <w:t>Multi-year performance-vested restricted stock grants for our CEO and Executive Chairman tied to achievement of consistent multi-year growth in earnings.</w:t>
      </w:r>
    </w:p>
    <w:p>
      <w:pPr>
        <w:spacing w:after="0" w:line="22" w:lineRule="exact"/>
        <w:rPr>
          <w:rFonts w:ascii="Arial" w:cs="Arial" w:eastAsia="Arial" w:hAnsi="Arial"/>
          <w:sz w:val="16"/>
          <w:szCs w:val="16"/>
          <w:color w:val="auto"/>
        </w:rPr>
      </w:pPr>
    </w:p>
    <w:p>
      <w:pPr>
        <w:ind w:left="2540" w:right="140" w:hanging="155"/>
        <w:spacing w:after="0" w:line="293" w:lineRule="auto"/>
        <w:tabs>
          <w:tab w:leader="none" w:pos="25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Annual grants of performance-vested restricted stock for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235585</wp:posOffset>
            </wp:positionV>
            <wp:extent cx="5728335" cy="3035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28335" cy="3035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5"/>
          <w:szCs w:val="25"/>
          <w:color w:val="auto"/>
        </w:rPr>
        <w:t>ü</w:t>
      </w:r>
    </w:p>
    <w:p>
      <w:pPr>
        <w:spacing w:after="0" w:line="172" w:lineRule="exact"/>
        <w:rPr>
          <w:sz w:val="20"/>
          <w:szCs w:val="20"/>
          <w:color w:val="auto"/>
        </w:rPr>
      </w:pPr>
    </w:p>
    <w:p>
      <w:pPr>
        <w:spacing w:after="0"/>
        <w:tabs>
          <w:tab w:leader="none" w:pos="1120" w:val="left"/>
          <w:tab w:leader="none" w:pos="224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120" w:val="left"/>
          <w:tab w:leader="none" w:pos="2240" w:val="left"/>
          <w:tab w:leader="none" w:pos="344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1287" w:lineRule="exact"/>
        <w:rPr>
          <w:sz w:val="20"/>
          <w:szCs w:val="20"/>
          <w:color w:val="auto"/>
        </w:rPr>
      </w:pPr>
    </w:p>
    <w:p>
      <w:pPr>
        <w:sectPr>
          <w:pgSz w:w="11900" w:h="16838" w:orient="portrait"/>
          <w:cols w:equalWidth="0" w:num="2">
            <w:col w:w="6700" w:space="580"/>
            <w:col w:w="4100"/>
          </w:cols>
          <w:pgMar w:left="240" w:top="12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Competitive Posture — </w:t>
      </w:r>
      <w:r>
        <w:rPr>
          <w:rFonts w:ascii="Arial" w:cs="Arial" w:eastAsia="Arial" w:hAnsi="Arial"/>
          <w:sz w:val="17"/>
          <w:szCs w:val="17"/>
          <w:color w:val="auto"/>
        </w:rPr>
        <w:t>We target compensation for our executive officers as a group at a level of the marketplace that is consistent with our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relative to our direct competitors, as well as other high-performing companies in similar industries (the “competitive market”). Based on the Company's history of aggressive and sustained growth in revenues, earnings and shareholder value, the Committee has historically targeted compensation opportunities for senior executives at roughly the 75th percentile of our competitive market. The Committee feels that this competitive posture has proven a competitive advantage to the Company, allowing us to attract and retain the caliber of executives required to maintain exceptional operations and financial results. Based on the Company's performance through the end of fiscal 2012, the Committee feels that EZCORP remains a “value creator” and that our philosophy of targeting pay opportunities at the 75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of the market remains appropriate.</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125" w:right="27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Pay Mix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reviews the mix of base salary, cash bonus and long-term incentives annually. The Committee does not target a fixed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among the compensation elements, but rather aims to provide the majority of NEO compensation opportunities in the form of incentive compensation. The charts below show the mix of target compensation opportunities for our NEOs in fiscal 2012.</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Target Total Direct Compensation Mix</w:t>
      </w:r>
    </w:p>
    <w:p>
      <w:pPr>
        <w:sectPr>
          <w:pgSz w:w="11900" w:h="16838" w:orient="portrait"/>
          <w:cols w:equalWidth="0" w:num="1">
            <w:col w:w="11420"/>
          </w:cols>
          <w:pgMar w:left="240" w:top="125" w:right="239" w:bottom="1440" w:gutter="0" w:footer="0" w:header="0"/>
        </w:sectPr>
      </w:pP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Top 2 Executives:</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Executive 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47625</wp:posOffset>
            </wp:positionV>
            <wp:extent cx="2143760" cy="2272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2272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66675</wp:posOffset>
            </wp:positionV>
            <wp:extent cx="2366645" cy="2272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6645" cy="227266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3520" w:space="720"/>
            <w:col w:w="71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Methodology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Committee</w:t>
      </w:r>
    </w:p>
    <w:p>
      <w:pPr>
        <w:spacing w:after="0" w:line="17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Board of Directors has authorized the Committee to establish the compensation programs for all senior executives and to provide oversight for compliance with our compensation philosophy. The Committee delegates the day-to-day administration of the compensation plans to management (except with respect to our senior executives), but retains responsibility for ensuring that the plan administration is consistent with the Company's policies.</w:t>
      </w:r>
    </w:p>
    <w:p>
      <w:pPr>
        <w:spacing w:after="0" w:line="9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Annually, the Committee sets the compensation for senior executives, including objectives and awards under incentive plans. For this purpose, “senior executives” include the executive officers and any other employee with an annual base salary of $250,000 or more. The Committee also makes recommendations to the Board of Directors on appropriate compensation for the non-employee directors.</w:t>
      </w:r>
    </w:p>
    <w:p>
      <w:pPr>
        <w:spacing w:after="0" w:line="12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addition to overseeing the compensation of senior executives, the Committee approves all awards under equity-based compensation plans and long-term cash incentive plans for all other employees. For more information on the Committee's role, see the Committee's charter, which can be found in the Investor Relations section of our website at www.ezcorp.com.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its charter, the Committee has the sole authority to retain, terminate, obtain advice from, oversee and compensate its outside advisors, including its compensation consultant. The Company has provided appropriate funding to the Committee to do so.</w:t>
      </w:r>
    </w:p>
    <w:p>
      <w:pPr>
        <w:spacing w:after="0" w:line="11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fiscal 2012, the Committee retained Pearl Meyer &amp; Partners (“Pearl Meyer”) as its independent executive compensation consultant. None of EZCORP's management participated in the Committee's decision to retain Pearl Meyer. Pearl Meyer reports directly to the Committee, and the Committee may replace Pearl Meyer or hire additional consultants at any time. Pearl Meyer attends meetings of the Committee, as requested, and communicates with the Chair of the Committee between meetings; however, the Committee makes all decisions regarding the compensation of the Company's senior executives.</w:t>
      </w:r>
    </w:p>
    <w:p>
      <w:pPr>
        <w:spacing w:after="0" w:line="10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Pearl Meyer provides various executive compensation services to the Committee with respect to the senior executives pursuant to a written consulting agreement with the Committee. The services Pearl Meyer provides under the agreement include advising the Committee on the principal aspects of our executive compensation program and evolving best practices,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providing market information and analysis regarding the competitiveness of our program design and award values in relationship to our performance.</w:t>
      </w:r>
    </w:p>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Committee regularly reviews the services provided by its outside consultants and believes that Pearl Meyer is independent in providing executive compensation consulting services. In making this determination, the Committee noted that during fiscal 2012:</w:t>
      </w:r>
    </w:p>
    <w:p>
      <w:pPr>
        <w:spacing w:after="0" w:line="116" w:lineRule="exact"/>
        <w:rPr>
          <w:sz w:val="20"/>
          <w:szCs w:val="20"/>
          <w:color w:val="auto"/>
        </w:rPr>
      </w:pPr>
    </w:p>
    <w:p>
      <w:pPr>
        <w:ind w:left="660" w:right="18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Pearl Meyer did not provide any services to the Company or management other than services requested by or with the approval of the Committee, and it its services were limited to executive compensation consulting. Specifically, Pearl Meyer does not provide, directly or indirectly through affiliates, any non-executive compensation services, including pension consulting or human resource outsourcing.</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we paid to Pearl Meyer were less than 1% of Pearl Meyer's total revenue.</w:t>
      </w:r>
    </w:p>
    <w:p>
      <w:pPr>
        <w:spacing w:after="0" w:line="171" w:lineRule="exact"/>
        <w:rPr>
          <w:rFonts w:ascii="Arial" w:cs="Arial" w:eastAsia="Arial" w:hAnsi="Arial"/>
          <w:sz w:val="18"/>
          <w:szCs w:val="18"/>
          <w:color w:val="auto"/>
        </w:rPr>
      </w:pPr>
    </w:p>
    <w:p>
      <w:pPr>
        <w:ind w:left="660" w:right="8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Pearl Meyer maintains a conflicts policy, which was provided to the Committee with specific policies and procedures designed to ensure independence.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the Pearl Meyer consultants working for the Company, or Pearl Meyer, had any business or personal relationship with Committee members.</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Pearl Meyer consultants working for the Company, or Pearl Meyer, had any business or personal relationship with any executive officer of the Company.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Pearl Meyer consultants working on Company matters directly own Company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continues to monitor the independence of its compensation consultant on a periodic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Committee also received data regarding compensation trends, issues and recommendations from management, including from our Senior Vice President of Human Resources, who attends all Committee meeting general sessions. In addition, our Chief Executive Officer and Executive Chairman provided input on individual performance, and recommendations regarding compensation adjustments, to the Committee for positions besides their own.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Benchmarking and Peer Group Data</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While the Committee does not set compensation levels for our key executives based solely on survey or peer group benchmarks, the Committee does regularly refer to external benchmarking data in their deliberations in order to ensure that the pay opportunities offered to our executives are appropriate in light of our performance relative to our peers. In fiscal 2012, the Committee asked Pearl Meyer to conduct a competitive compensation review for our key executives, including our NEOs. Data in the Pearl Meyer study were collected from several sources, including published compensation surveys and peer company proxy statements.</w:t>
      </w:r>
    </w:p>
    <w:p>
      <w:pPr>
        <w:spacing w:after="0" w:line="1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Competitive pay data for our NEOs were collected from SEC filings for a peer group of 15 publicly traded companies. The peer group, which was approved by the Committee in consultation with management and Pearl Meyer, includes companies that are direct competitors within our industry, have similar business models to our company or have comparable key executive roles.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125" w:right="29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2012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Peer Company</w:t>
            </w:r>
          </w:p>
        </w:tc>
        <w:tc>
          <w:tcPr>
            <w:tcW w:w="46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Primary Business</w:t>
            </w: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AEA</w:t>
            </w:r>
          </w:p>
        </w:tc>
        <w:tc>
          <w:tcPr>
            <w:tcW w:w="466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color w:val="auto"/>
              </w:rPr>
              <w:t>Advance America</w:t>
            </w:r>
          </w:p>
        </w:tc>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Payday Lending</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CATM</w:t>
            </w:r>
          </w:p>
        </w:tc>
        <w:tc>
          <w:tcPr>
            <w:tcW w:w="4660" w:type="dxa"/>
            <w:vAlign w:val="bottom"/>
          </w:tcPr>
          <w:p>
            <w:pPr>
              <w:ind w:left="2280"/>
              <w:spacing w:after="0"/>
              <w:rPr>
                <w:sz w:val="20"/>
                <w:szCs w:val="20"/>
                <w:color w:val="auto"/>
              </w:rPr>
            </w:pPr>
            <w:r>
              <w:rPr>
                <w:rFonts w:ascii="Arial" w:cs="Arial" w:eastAsia="Arial" w:hAnsi="Arial"/>
                <w:sz w:val="18"/>
                <w:szCs w:val="18"/>
                <w:color w:val="auto"/>
              </w:rPr>
              <w:t>Cardtronics Inc</w:t>
            </w:r>
          </w:p>
        </w:tc>
        <w:tc>
          <w:tcPr>
            <w:tcW w:w="3520" w:type="dxa"/>
            <w:vAlign w:val="bottom"/>
          </w:tcPr>
          <w:p>
            <w:pPr>
              <w:ind w:left="700"/>
              <w:spacing w:after="0"/>
              <w:rPr>
                <w:sz w:val="20"/>
                <w:szCs w:val="20"/>
                <w:color w:val="auto"/>
              </w:rPr>
            </w:pPr>
            <w:r>
              <w:rPr>
                <w:rFonts w:ascii="Arial" w:cs="Arial" w:eastAsia="Arial" w:hAnsi="Arial"/>
                <w:sz w:val="18"/>
                <w:szCs w:val="18"/>
                <w:color w:val="auto"/>
              </w:rPr>
              <w:t>Specialty Finance</w:t>
            </w:r>
          </w:p>
        </w:tc>
      </w:tr>
      <w:tr>
        <w:trPr>
          <w:trHeight w:val="27"/>
        </w:trPr>
        <w:tc>
          <w:tcPr>
            <w:tcW w:w="32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CSH</w:t>
            </w:r>
          </w:p>
        </w:tc>
        <w:tc>
          <w:tcPr>
            <w:tcW w:w="466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color w:val="auto"/>
              </w:rPr>
              <w:t>Cash America</w:t>
            </w:r>
          </w:p>
        </w:tc>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Pawn &amp; Payday Lending</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CSTR</w:t>
            </w:r>
          </w:p>
        </w:tc>
        <w:tc>
          <w:tcPr>
            <w:tcW w:w="4660" w:type="dxa"/>
            <w:vAlign w:val="bottom"/>
          </w:tcPr>
          <w:p>
            <w:pPr>
              <w:ind w:left="2280"/>
              <w:spacing w:after="0"/>
              <w:rPr>
                <w:sz w:val="20"/>
                <w:szCs w:val="20"/>
                <w:color w:val="auto"/>
              </w:rPr>
            </w:pPr>
            <w:r>
              <w:rPr>
                <w:rFonts w:ascii="Arial" w:cs="Arial" w:eastAsia="Arial" w:hAnsi="Arial"/>
                <w:sz w:val="18"/>
                <w:szCs w:val="18"/>
                <w:color w:val="auto"/>
              </w:rPr>
              <w:t>Coinstar Inc</w:t>
            </w:r>
          </w:p>
        </w:tc>
        <w:tc>
          <w:tcPr>
            <w:tcW w:w="3520" w:type="dxa"/>
            <w:vAlign w:val="bottom"/>
          </w:tcPr>
          <w:p>
            <w:pPr>
              <w:ind w:left="700"/>
              <w:spacing w:after="0"/>
              <w:rPr>
                <w:sz w:val="20"/>
                <w:szCs w:val="20"/>
                <w:color w:val="auto"/>
              </w:rPr>
            </w:pPr>
            <w:r>
              <w:rPr>
                <w:rFonts w:ascii="Arial" w:cs="Arial" w:eastAsia="Arial" w:hAnsi="Arial"/>
                <w:sz w:val="18"/>
                <w:szCs w:val="18"/>
                <w:color w:val="auto"/>
              </w:rPr>
              <w:t>Specialty Finance</w:t>
            </w:r>
          </w:p>
        </w:tc>
      </w:tr>
      <w:tr>
        <w:trPr>
          <w:trHeight w:val="27"/>
        </w:trPr>
        <w:tc>
          <w:tcPr>
            <w:tcW w:w="32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CACC</w:t>
            </w:r>
          </w:p>
        </w:tc>
        <w:tc>
          <w:tcPr>
            <w:tcW w:w="466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color w:val="auto"/>
              </w:rPr>
              <w:t>Credit Acceptance</w:t>
            </w:r>
          </w:p>
        </w:tc>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Consumer Finance</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DLLR</w:t>
            </w:r>
          </w:p>
        </w:tc>
        <w:tc>
          <w:tcPr>
            <w:tcW w:w="4660" w:type="dxa"/>
            <w:vAlign w:val="bottom"/>
          </w:tcPr>
          <w:p>
            <w:pPr>
              <w:ind w:left="2280"/>
              <w:spacing w:after="0"/>
              <w:rPr>
                <w:sz w:val="20"/>
                <w:szCs w:val="20"/>
                <w:color w:val="auto"/>
              </w:rPr>
            </w:pPr>
            <w:r>
              <w:rPr>
                <w:rFonts w:ascii="Arial" w:cs="Arial" w:eastAsia="Arial" w:hAnsi="Arial"/>
                <w:sz w:val="18"/>
                <w:szCs w:val="18"/>
                <w:color w:val="auto"/>
              </w:rPr>
              <w:t>DFC Global</w:t>
            </w:r>
          </w:p>
        </w:tc>
        <w:tc>
          <w:tcPr>
            <w:tcW w:w="3520" w:type="dxa"/>
            <w:vAlign w:val="bottom"/>
          </w:tcPr>
          <w:p>
            <w:pPr>
              <w:ind w:left="700"/>
              <w:spacing w:after="0"/>
              <w:rPr>
                <w:sz w:val="20"/>
                <w:szCs w:val="20"/>
                <w:color w:val="auto"/>
              </w:rPr>
            </w:pPr>
            <w:r>
              <w:rPr>
                <w:rFonts w:ascii="Arial" w:cs="Arial" w:eastAsia="Arial" w:hAnsi="Arial"/>
                <w:sz w:val="18"/>
                <w:szCs w:val="18"/>
                <w:color w:val="auto"/>
              </w:rPr>
              <w:t>Payday Lending</w:t>
            </w:r>
          </w:p>
        </w:tc>
      </w:tr>
      <w:tr>
        <w:trPr>
          <w:trHeight w:val="27"/>
        </w:trPr>
        <w:tc>
          <w:tcPr>
            <w:tcW w:w="32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FCFS</w:t>
            </w:r>
          </w:p>
        </w:tc>
        <w:tc>
          <w:tcPr>
            <w:tcW w:w="466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color w:val="auto"/>
              </w:rPr>
              <w:t>First Cash Financial</w:t>
            </w:r>
          </w:p>
        </w:tc>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Pawn &amp; Payday Lending</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WRLD</w:t>
            </w:r>
          </w:p>
        </w:tc>
        <w:tc>
          <w:tcPr>
            <w:tcW w:w="4660" w:type="dxa"/>
            <w:vAlign w:val="bottom"/>
          </w:tcPr>
          <w:p>
            <w:pPr>
              <w:ind w:left="2280"/>
              <w:spacing w:after="0"/>
              <w:rPr>
                <w:sz w:val="20"/>
                <w:szCs w:val="20"/>
                <w:color w:val="auto"/>
              </w:rPr>
            </w:pPr>
            <w:r>
              <w:rPr>
                <w:rFonts w:ascii="Arial" w:cs="Arial" w:eastAsia="Arial" w:hAnsi="Arial"/>
                <w:sz w:val="18"/>
                <w:szCs w:val="18"/>
                <w:color w:val="auto"/>
              </w:rPr>
              <w:t>World Acceptance</w:t>
            </w:r>
          </w:p>
        </w:tc>
        <w:tc>
          <w:tcPr>
            <w:tcW w:w="3520" w:type="dxa"/>
            <w:vAlign w:val="bottom"/>
          </w:tcPr>
          <w:p>
            <w:pPr>
              <w:ind w:left="700"/>
              <w:spacing w:after="0"/>
              <w:rPr>
                <w:sz w:val="20"/>
                <w:szCs w:val="20"/>
                <w:color w:val="auto"/>
              </w:rPr>
            </w:pPr>
            <w:r>
              <w:rPr>
                <w:rFonts w:ascii="Arial" w:cs="Arial" w:eastAsia="Arial" w:hAnsi="Arial"/>
                <w:sz w:val="18"/>
                <w:szCs w:val="18"/>
                <w:color w:val="auto"/>
              </w:rPr>
              <w:t>Small Loans</w:t>
            </w:r>
          </w:p>
        </w:tc>
      </w:tr>
      <w:tr>
        <w:trPr>
          <w:trHeight w:val="27"/>
        </w:trPr>
        <w:tc>
          <w:tcPr>
            <w:tcW w:w="32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AAN</w:t>
            </w:r>
          </w:p>
        </w:tc>
        <w:tc>
          <w:tcPr>
            <w:tcW w:w="466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color w:val="auto"/>
              </w:rPr>
              <w:t>Aaron's Inc</w:t>
            </w:r>
          </w:p>
        </w:tc>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Retail</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CMG</w:t>
            </w:r>
          </w:p>
        </w:tc>
        <w:tc>
          <w:tcPr>
            <w:tcW w:w="4660" w:type="dxa"/>
            <w:vAlign w:val="bottom"/>
          </w:tcPr>
          <w:p>
            <w:pPr>
              <w:ind w:left="2280"/>
              <w:spacing w:after="0"/>
              <w:rPr>
                <w:sz w:val="20"/>
                <w:szCs w:val="20"/>
                <w:color w:val="auto"/>
              </w:rPr>
            </w:pPr>
            <w:r>
              <w:rPr>
                <w:rFonts w:ascii="Arial" w:cs="Arial" w:eastAsia="Arial" w:hAnsi="Arial"/>
                <w:sz w:val="18"/>
                <w:szCs w:val="18"/>
                <w:color w:val="auto"/>
              </w:rPr>
              <w:t>Chipotle Mexican Grill</w:t>
            </w:r>
          </w:p>
        </w:tc>
        <w:tc>
          <w:tcPr>
            <w:tcW w:w="3520" w:type="dxa"/>
            <w:vAlign w:val="bottom"/>
          </w:tcPr>
          <w:p>
            <w:pPr>
              <w:ind w:left="700"/>
              <w:spacing w:after="0"/>
              <w:rPr>
                <w:sz w:val="20"/>
                <w:szCs w:val="20"/>
                <w:color w:val="auto"/>
              </w:rPr>
            </w:pPr>
            <w:r>
              <w:rPr>
                <w:rFonts w:ascii="Arial" w:cs="Arial" w:eastAsia="Arial" w:hAnsi="Arial"/>
                <w:sz w:val="18"/>
                <w:szCs w:val="18"/>
                <w:color w:val="auto"/>
              </w:rPr>
              <w:t>Retail</w:t>
            </w:r>
          </w:p>
        </w:tc>
      </w:tr>
      <w:tr>
        <w:trPr>
          <w:trHeight w:val="27"/>
        </w:trPr>
        <w:tc>
          <w:tcPr>
            <w:tcW w:w="32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FOSL</w:t>
            </w:r>
          </w:p>
        </w:tc>
        <w:tc>
          <w:tcPr>
            <w:tcW w:w="466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color w:val="auto"/>
              </w:rPr>
              <w:t>Fossil Inc</w:t>
            </w:r>
          </w:p>
        </w:tc>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Retail</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JOSB</w:t>
            </w:r>
          </w:p>
        </w:tc>
        <w:tc>
          <w:tcPr>
            <w:tcW w:w="4660" w:type="dxa"/>
            <w:vAlign w:val="bottom"/>
          </w:tcPr>
          <w:p>
            <w:pPr>
              <w:ind w:left="2280"/>
              <w:spacing w:after="0"/>
              <w:rPr>
                <w:sz w:val="20"/>
                <w:szCs w:val="20"/>
                <w:color w:val="auto"/>
              </w:rPr>
            </w:pPr>
            <w:r>
              <w:rPr>
                <w:rFonts w:ascii="Arial" w:cs="Arial" w:eastAsia="Arial" w:hAnsi="Arial"/>
                <w:sz w:val="18"/>
                <w:szCs w:val="18"/>
                <w:color w:val="auto"/>
              </w:rPr>
              <w:t>Jos. A. Bank</w:t>
            </w:r>
          </w:p>
        </w:tc>
        <w:tc>
          <w:tcPr>
            <w:tcW w:w="3520" w:type="dxa"/>
            <w:vAlign w:val="bottom"/>
          </w:tcPr>
          <w:p>
            <w:pPr>
              <w:ind w:left="700"/>
              <w:spacing w:after="0"/>
              <w:rPr>
                <w:sz w:val="20"/>
                <w:szCs w:val="20"/>
                <w:color w:val="auto"/>
              </w:rPr>
            </w:pPr>
            <w:r>
              <w:rPr>
                <w:rFonts w:ascii="Arial" w:cs="Arial" w:eastAsia="Arial" w:hAnsi="Arial"/>
                <w:sz w:val="18"/>
                <w:szCs w:val="18"/>
                <w:color w:val="auto"/>
              </w:rPr>
              <w:t>Retail</w:t>
            </w:r>
          </w:p>
        </w:tc>
      </w:tr>
      <w:tr>
        <w:trPr>
          <w:trHeight w:val="27"/>
        </w:trPr>
        <w:tc>
          <w:tcPr>
            <w:tcW w:w="32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PSMT</w:t>
            </w:r>
          </w:p>
        </w:tc>
        <w:tc>
          <w:tcPr>
            <w:tcW w:w="466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color w:val="auto"/>
              </w:rPr>
              <w:t>PriceSmart Inc</w:t>
            </w:r>
          </w:p>
        </w:tc>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Retail</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RCII</w:t>
            </w:r>
          </w:p>
        </w:tc>
        <w:tc>
          <w:tcPr>
            <w:tcW w:w="4660" w:type="dxa"/>
            <w:vAlign w:val="bottom"/>
          </w:tcPr>
          <w:p>
            <w:pPr>
              <w:ind w:left="2280"/>
              <w:spacing w:after="0"/>
              <w:rPr>
                <w:sz w:val="20"/>
                <w:szCs w:val="20"/>
                <w:color w:val="auto"/>
              </w:rPr>
            </w:pPr>
            <w:r>
              <w:rPr>
                <w:rFonts w:ascii="Arial" w:cs="Arial" w:eastAsia="Arial" w:hAnsi="Arial"/>
                <w:sz w:val="18"/>
                <w:szCs w:val="18"/>
                <w:color w:val="auto"/>
              </w:rPr>
              <w:t>Rent-a-Center</w:t>
            </w:r>
          </w:p>
        </w:tc>
        <w:tc>
          <w:tcPr>
            <w:tcW w:w="3520" w:type="dxa"/>
            <w:vAlign w:val="bottom"/>
          </w:tcPr>
          <w:p>
            <w:pPr>
              <w:ind w:left="700"/>
              <w:spacing w:after="0"/>
              <w:rPr>
                <w:sz w:val="20"/>
                <w:szCs w:val="20"/>
                <w:color w:val="auto"/>
              </w:rPr>
            </w:pPr>
            <w:r>
              <w:rPr>
                <w:rFonts w:ascii="Arial" w:cs="Arial" w:eastAsia="Arial" w:hAnsi="Arial"/>
                <w:sz w:val="18"/>
                <w:szCs w:val="18"/>
                <w:color w:val="auto"/>
              </w:rPr>
              <w:t>Retail</w:t>
            </w:r>
          </w:p>
        </w:tc>
      </w:tr>
      <w:tr>
        <w:trPr>
          <w:trHeight w:val="27"/>
        </w:trPr>
        <w:tc>
          <w:tcPr>
            <w:tcW w:w="32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4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ULTA</w:t>
            </w:r>
          </w:p>
        </w:tc>
        <w:tc>
          <w:tcPr>
            <w:tcW w:w="46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Ulta Salon</w:t>
            </w:r>
          </w:p>
        </w:tc>
        <w:tc>
          <w:tcPr>
            <w:tcW w:w="3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Retail</w:t>
            </w:r>
          </w:p>
        </w:tc>
      </w:tr>
      <w:tr>
        <w:trPr>
          <w:trHeight w:val="27"/>
        </w:trPr>
        <w:tc>
          <w:tcPr>
            <w:tcW w:w="324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Survey Data</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supplement the peer group data, Pearl Meyer also provided compensation statistics from a review of published compensation surveys. Survey data reflected compensation rates across a broad group of general industry companies with revenues of around $1 billion. Using a robust survey sample in combination with peer group data (along with the practice of reviewing market quartiles as opposed to averages) mitigates the impact of outliers, year-over-year volatility of compensation levels, and the risk of selection bias.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Competitive Posture</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While the Committee generally targets the 75th percentile for our senior executives as a group, we do not consider that philosophy to be a prescription for individual executives. Various factors affect the relationship between target total direct compensation for each individual executive and our targeted market reference point, including specific retention concerns, tenure, internal equity, year-over-year volatility of market data, the comparability of available market benchmarks and the difference in the strategic value of a position among the companies in our peer group. No single position in the survey data or within our peer group fully captures the breadth of the responsibilities of certain of our executive officers.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Based on Pearl Meyer's fiscal 2012 competitive review, we found that target total direct compensation opportunities (in aggregate) fell at:</w:t>
      </w:r>
    </w:p>
    <w:p>
      <w:pPr>
        <w:spacing w:after="0" w:line="171"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72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percentile for our NEOs; and</w:t>
      </w:r>
    </w:p>
    <w:p>
      <w:pPr>
        <w:spacing w:after="0" w:line="90" w:lineRule="exact"/>
        <w:rPr>
          <w:rFonts w:ascii="Arial" w:cs="Arial" w:eastAsia="Arial" w:hAnsi="Arial"/>
          <w:sz w:val="18"/>
          <w:szCs w:val="18"/>
          <w:color w:val="auto"/>
        </w:rPr>
      </w:pPr>
    </w:p>
    <w:p>
      <w:pPr>
        <w:ind w:left="300" w:hanging="29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65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for all of our senior executives as a group.</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Committee continually monitors the Company's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the Company's compensation plans and policies do not encourage excessive risk taking.</w:t>
      </w:r>
    </w:p>
    <w:p>
      <w:pPr>
        <w:spacing w:after="0" w:line="9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Committee believes that the Company has a strong set of internal controls that minimize the risk that financial performance can be misstated in order to achieve incentive compensation payouts. Furthermore, our executive compensation program provides a balance of short-term and long-term incentives that reward achievement of profitable, consistent and sustainable results:</w:t>
      </w:r>
    </w:p>
    <w:p>
      <w:pPr>
        <w:spacing w:after="0" w:line="127" w:lineRule="exact"/>
        <w:rPr>
          <w:sz w:val="20"/>
          <w:szCs w:val="20"/>
          <w:color w:val="auto"/>
        </w:rPr>
      </w:pPr>
    </w:p>
    <w:p>
      <w:pPr>
        <w:ind w:left="400" w:right="460" w:hanging="324"/>
        <w:spacing w:after="0" w:line="277" w:lineRule="auto"/>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incentive compensation tied to achievement of profitable company or business unit performance (as measured by consolidated net income, EBITDA and/or business unit operating income); and</w:t>
      </w:r>
    </w:p>
    <w:p>
      <w:pPr>
        <w:spacing w:after="0" w:line="116" w:lineRule="exact"/>
        <w:rPr>
          <w:rFonts w:ascii="Arial" w:cs="Arial" w:eastAsia="Arial" w:hAnsi="Arial"/>
          <w:sz w:val="18"/>
          <w:szCs w:val="18"/>
          <w:color w:val="auto"/>
        </w:rPr>
      </w:pPr>
    </w:p>
    <w:p>
      <w:pPr>
        <w:ind w:left="400" w:hanging="324"/>
        <w:spacing w:after="0"/>
        <w:tabs>
          <w:tab w:leader="none" w:pos="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Meaningful equity incentive opportunities that provide an incentive to deliver sustained long-term growth in shareholder value and earnings.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Performance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highlights of the Company's performance during fiscal 2012:</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revenues were $992.5 million, a Company record and a 14% increase over fiscal 2011.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income was $143.7 million, a Company record and an 18% increase over fiscal 2011.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Earnings per share were $2.81, also a Company record and a 16% increase over fiscal 2011.</w:t>
      </w:r>
    </w:p>
    <w:p>
      <w:pPr>
        <w:spacing w:after="0" w:line="171" w:lineRule="exact"/>
        <w:rPr>
          <w:rFonts w:ascii="Arial" w:cs="Arial" w:eastAsia="Arial" w:hAnsi="Arial"/>
          <w:sz w:val="18"/>
          <w:szCs w:val="18"/>
          <w:color w:val="auto"/>
        </w:rPr>
      </w:pPr>
    </w:p>
    <w:p>
      <w:pPr>
        <w:jc w:val="both"/>
        <w:ind w:left="660" w:right="10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portion of the Company's consolidated segment contribution attributable to areas outside the United States increased to 18%, up from 8% in fiscal 2011. In addition, total revenue in the Latin America and Other International segments more than doubled compared to fiscal 2011. These results reflect the continued successful execution of the Company's geographic, product and channel diversification strategy.</w:t>
      </w:r>
    </w:p>
    <w:p>
      <w:pPr>
        <w:spacing w:after="0" w:line="111" w:lineRule="exact"/>
        <w:rPr>
          <w:rFonts w:ascii="Arial" w:cs="Arial" w:eastAsia="Arial" w:hAnsi="Arial"/>
          <w:sz w:val="17"/>
          <w:szCs w:val="17"/>
          <w:color w:val="auto"/>
        </w:rPr>
      </w:pPr>
    </w:p>
    <w:p>
      <w:pPr>
        <w:ind w:left="660" w:righ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year, the Company acquired controlling interests in Crediamigo and Cash Genie, both of which contributed to the Company's diversification strategy.</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shown in the chart below, EZCORP has delivered significant and consistent annual growth in revenues and earnings over the past five years. Total cash compensation (salary plus actual bonus earned) for our CEO and Executive Chairman has tracked that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83185</wp:posOffset>
            </wp:positionV>
            <wp:extent cx="5848985" cy="4288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8985"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and Performance Alignment</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Committee's consultant, Pearl Meyer, reviewed the relationship between total compensation for our CEO and our Executive Chairman and our performance against our compensation peer group for the three fiscal years ended September 30, 2012.</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60"/>
          </w:cols>
          <w:pgMar w:left="240" w:top="125" w:right="49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performance was defined as a blend of the following two performance measures:</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shareholder return (TSR) for the three-year period;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Growth in EBITDA for the three-year period.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Compensation for our CEO and our Executive Chairman was measured in terms of the following components of realizable pay, as compared to realizable pay for the two most highly compensated executives at each of the peer companies:</w:t>
      </w:r>
    </w:p>
    <w:p>
      <w:pPr>
        <w:spacing w:after="0" w:line="275" w:lineRule="exact"/>
        <w:rPr>
          <w:sz w:val="20"/>
          <w:szCs w:val="20"/>
          <w:color w:val="auto"/>
        </w:rPr>
      </w:pPr>
    </w:p>
    <w:p>
      <w:pPr>
        <w:ind w:left="10220"/>
        <w:spacing w:after="0"/>
        <w:rPr>
          <w:sz w:val="20"/>
          <w:szCs w:val="20"/>
          <w:color w:val="auto"/>
        </w:rPr>
      </w:pPr>
      <w:r>
        <w:rPr>
          <w:rFonts w:ascii="Arial" w:cs="Arial" w:eastAsia="Arial" w:hAnsi="Arial"/>
          <w:sz w:val="18"/>
          <w:szCs w:val="18"/>
          <w:b w:val="1"/>
          <w:bCs w:val="1"/>
          <w:color w:val="auto"/>
        </w:rPr>
        <w:t>Provided by</w:t>
      </w:r>
    </w:p>
    <w:p>
      <w:pPr>
        <w:spacing w:after="0" w:line="27" w:lineRule="exact"/>
        <w:rPr>
          <w:sz w:val="20"/>
          <w:szCs w:val="20"/>
          <w:color w:val="auto"/>
        </w:rPr>
      </w:pPr>
    </w:p>
    <w:p>
      <w:pPr>
        <w:ind w:left="860"/>
        <w:spacing w:after="0"/>
        <w:tabs>
          <w:tab w:leader="none" w:pos="5220" w:val="left"/>
          <w:tab w:leader="none" w:pos="10280" w:val="left"/>
        </w:tabs>
        <w:rPr>
          <w:sz w:val="20"/>
          <w:szCs w:val="20"/>
          <w:color w:val="auto"/>
        </w:rPr>
      </w:pPr>
      <w:r>
        <w:rPr>
          <w:rFonts w:ascii="Arial" w:cs="Arial" w:eastAsia="Arial" w:hAnsi="Arial"/>
          <w:sz w:val="18"/>
          <w:szCs w:val="18"/>
          <w:b w:val="1"/>
          <w:bCs w:val="1"/>
          <w:color w:val="auto"/>
        </w:rPr>
        <w:t>Components of Pay</w:t>
      </w:r>
      <w:r>
        <w:rPr>
          <w:sz w:val="20"/>
          <w:szCs w:val="20"/>
          <w:color w:val="auto"/>
        </w:rPr>
        <w:tab/>
      </w:r>
      <w:r>
        <w:rPr>
          <w:rFonts w:ascii="Arial" w:cs="Arial" w:eastAsia="Arial" w:hAnsi="Arial"/>
          <w:sz w:val="18"/>
          <w:szCs w:val="18"/>
          <w:b w:val="1"/>
          <w:bCs w:val="1"/>
          <w:color w:val="auto"/>
        </w:rPr>
        <w:t>Portion Included in Realizable Pay</w:t>
      </w:r>
      <w:r>
        <w:rPr>
          <w:sz w:val="20"/>
          <w:szCs w:val="20"/>
          <w:color w:val="auto"/>
        </w:rPr>
        <w:tab/>
      </w:r>
      <w:r>
        <w:rPr>
          <w:rFonts w:ascii="Arial" w:cs="Arial" w:eastAsia="Arial" w:hAnsi="Arial"/>
          <w:sz w:val="18"/>
          <w:szCs w:val="18"/>
          <w:b w:val="1"/>
          <w:bCs w:val="1"/>
          <w:color w:val="auto"/>
        </w:rPr>
        <w:t>EZCORP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31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14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Salary</w:t>
      </w:r>
      <w:r>
        <w:rPr>
          <w:sz w:val="20"/>
          <w:szCs w:val="20"/>
          <w:color w:val="auto"/>
        </w:rPr>
        <w:tab/>
      </w:r>
      <w:r>
        <w:rPr>
          <w:rFonts w:ascii="Arial" w:cs="Arial" w:eastAsia="Arial" w:hAnsi="Arial"/>
          <w:sz w:val="18"/>
          <w:szCs w:val="18"/>
          <w:color w:val="auto"/>
        </w:rPr>
        <w:t>• Cumulative salary paid over the period</w:t>
      </w:r>
    </w:p>
    <w:p>
      <w:pPr>
        <w:spacing w:after="0" w:line="144"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Annual Incentive</w:t>
      </w:r>
      <w:r>
        <w:rPr>
          <w:sz w:val="20"/>
          <w:szCs w:val="20"/>
          <w:color w:val="auto"/>
        </w:rPr>
        <w:tab/>
      </w:r>
      <w:r>
        <w:rPr>
          <w:rFonts w:ascii="Arial" w:cs="Arial" w:eastAsia="Arial" w:hAnsi="Arial"/>
          <w:sz w:val="16"/>
          <w:szCs w:val="16"/>
          <w:color w:val="auto"/>
        </w:rPr>
        <w:t>• Cumulative annual bonuses earned/paid for performance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In-the-money value of all options granted during period, valued at the end of most recent</w:t>
      </w:r>
    </w:p>
    <w:p>
      <w:pPr>
        <w:spacing w:after="0" w:line="46"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18"/>
          <w:szCs w:val="18"/>
          <w:color w:val="auto"/>
        </w:rPr>
        <w:t>Stock Options</w:t>
      </w:r>
      <w:r>
        <w:rPr>
          <w:sz w:val="20"/>
          <w:szCs w:val="20"/>
          <w:color w:val="auto"/>
        </w:rPr>
        <w:tab/>
      </w:r>
      <w:r>
        <w:rPr>
          <w:rFonts w:ascii="Arial" w:cs="Arial" w:eastAsia="Arial" w:hAnsi="Arial"/>
          <w:sz w:val="16"/>
          <w:szCs w:val="16"/>
          <w:color w:val="auto"/>
        </w:rPr>
        <w:t>fiscal year</w:t>
      </w:r>
    </w:p>
    <w:p>
      <w:pPr>
        <w:spacing w:after="0" w:line="49"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 Face value of all restricted shares granted during period, valued at the end of the most</w:t>
      </w:r>
    </w:p>
    <w:p>
      <w:pPr>
        <w:spacing w:after="0" w:line="35"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18"/>
          <w:szCs w:val="18"/>
          <w:color w:val="auto"/>
        </w:rPr>
        <w:t>Restricted Stock</w:t>
      </w:r>
      <w:r>
        <w:rPr>
          <w:sz w:val="20"/>
          <w:szCs w:val="20"/>
          <w:color w:val="auto"/>
        </w:rPr>
        <w:tab/>
      </w:r>
      <w:r>
        <w:rPr>
          <w:rFonts w:ascii="Arial" w:cs="Arial" w:eastAsia="Arial" w:hAnsi="Arial"/>
          <w:sz w:val="16"/>
          <w:szCs w:val="16"/>
          <w:color w:val="auto"/>
        </w:rPr>
        <w:t>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Performance-based cash</w:t>
      </w:r>
      <w:r>
        <w:rPr>
          <w:sz w:val="20"/>
          <w:szCs w:val="20"/>
          <w:color w:val="auto"/>
        </w:rPr>
        <w:tab/>
      </w:r>
      <w:r>
        <w:rPr>
          <w:rFonts w:ascii="Arial" w:cs="Arial" w:eastAsia="Arial" w:hAnsi="Arial"/>
          <w:sz w:val="16"/>
          <w:szCs w:val="16"/>
          <w:color w:val="auto"/>
        </w:rPr>
        <w:t>• Cash payout earned based upon performance within the period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Performance shares earned based on performance within the period, value at the end of the</w:t>
      </w:r>
    </w:p>
    <w:p>
      <w:pPr>
        <w:spacing w:after="0" w:line="46"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18"/>
          <w:szCs w:val="18"/>
          <w:color w:val="auto"/>
        </w:rPr>
        <w:t>Performance-based equity</w:t>
      </w:r>
      <w:r>
        <w:rPr>
          <w:sz w:val="20"/>
          <w:szCs w:val="20"/>
          <w:color w:val="auto"/>
        </w:rPr>
        <w:tab/>
      </w:r>
      <w:r>
        <w:rPr>
          <w:rFonts w:ascii="Arial" w:cs="Arial" w:eastAsia="Arial" w:hAnsi="Arial"/>
          <w:sz w:val="16"/>
          <w:szCs w:val="16"/>
          <w:color w:val="auto"/>
        </w:rPr>
        <w:t>most recent fiscal year.</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ü</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ü</w:t>
      </w:r>
    </w:p>
    <w:p>
      <w:pPr>
        <w:spacing w:after="0" w:line="263" w:lineRule="exact"/>
        <w:rPr>
          <w:sz w:val="20"/>
          <w:szCs w:val="20"/>
          <w:color w:val="auto"/>
        </w:rPr>
      </w:pPr>
    </w:p>
    <w:p>
      <w:pPr>
        <w:sectPr>
          <w:pgSz w:w="11900" w:h="16838" w:orient="portrait"/>
          <w:cols w:equalWidth="0" w:num="2">
            <w:col w:w="9900" w:space="720"/>
            <w:col w:w="760"/>
          </w:cols>
          <w:pgMar w:left="240" w:top="125" w:right="279" w:bottom="1440" w:gutter="0" w:footer="0" w:header="0"/>
          <w:type w:val="continuous"/>
        </w:sectPr>
      </w:pP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380"/>
          </w:cols>
          <w:pgMar w:left="240" w:top="125" w:right="27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results of Pearl Meyer's analysis are shown in the chart below, revealing that our average percentile ranking for performance (65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was closely aligned with our ranking for realizable pay over the period (67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41275</wp:posOffset>
            </wp:positionV>
            <wp:extent cx="4545330" cy="3302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4533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Our primary objective with respect to the base salary levels of our executive officers is to provide sufficient fixed cash income to retain and attract these experienced and valuable executives in a competitive market for executive talent. The base salaries of our executive officers are reviewed and adjusted (if appropriate) annually to reflect, among other things, economic conditions, base salaries for comparable positions from a review of market data discussed previously, the tenure of the officers and the base salaries of the officers relative to one another.</w:t>
      </w:r>
    </w:p>
    <w:p>
      <w:pPr>
        <w:spacing w:after="0" w:line="117"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Beginning in the 2011, we began awarding base salary increases on a calendar year basis rather than a fiscal year. Consequently, the amounts indicated for calendar 2011 base salary were actually effective for the 15-month period beginning October 1, 2010 and ending December 31, 2011. Effective January 1, 2012, our NEO's received salary increases that averaged 15% of calendar 2011 base salaries, as indicated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560" w:type="dxa"/>
            <w:vAlign w:val="bottom"/>
          </w:tcPr>
          <w:p>
            <w:pPr>
              <w:spacing w:after="0"/>
              <w:rPr>
                <w:sz w:val="14"/>
                <w:szCs w:val="14"/>
                <w:color w:val="auto"/>
              </w:rPr>
            </w:pPr>
          </w:p>
        </w:tc>
        <w:tc>
          <w:tcPr>
            <w:tcW w:w="136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Calendar 2011 Base</w:t>
            </w:r>
          </w:p>
        </w:tc>
        <w:tc>
          <w:tcPr>
            <w:tcW w:w="240" w:type="dxa"/>
            <w:vAlign w:val="bottom"/>
          </w:tcPr>
          <w:p>
            <w:pPr>
              <w:spacing w:after="0"/>
              <w:rPr>
                <w:sz w:val="14"/>
                <w:szCs w:val="14"/>
                <w:color w:val="auto"/>
              </w:rPr>
            </w:pPr>
          </w:p>
        </w:tc>
        <w:tc>
          <w:tcPr>
            <w:tcW w:w="1740" w:type="dxa"/>
            <w:vAlign w:val="bottom"/>
          </w:tcPr>
          <w:p>
            <w:pPr>
              <w:jc w:val="right"/>
              <w:ind w:right="394"/>
              <w:spacing w:after="0"/>
              <w:rPr>
                <w:sz w:val="20"/>
                <w:szCs w:val="20"/>
                <w:color w:val="auto"/>
              </w:rPr>
            </w:pPr>
            <w:r>
              <w:rPr>
                <w:rFonts w:ascii="Arial" w:cs="Arial" w:eastAsia="Arial" w:hAnsi="Arial"/>
                <w:sz w:val="14"/>
                <w:szCs w:val="14"/>
                <w:b w:val="1"/>
                <w:bCs w:val="1"/>
                <w:color w:val="auto"/>
                <w:w w:val="93"/>
              </w:rPr>
              <w:t>Calendar 2012 Base</w:t>
            </w:r>
          </w:p>
        </w:tc>
        <w:tc>
          <w:tcPr>
            <w:tcW w:w="14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Salary</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Salary</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Paul E. Rothamel</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750,000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900,000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Stephen A. Stamp</w:t>
            </w:r>
          </w:p>
        </w:tc>
        <w:tc>
          <w:tcPr>
            <w:tcW w:w="25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21"/>
                <w:szCs w:val="21"/>
                <w:color w:val="auto"/>
              </w:rPr>
            </w:pPr>
          </w:p>
        </w:tc>
        <w:tc>
          <w:tcPr>
            <w:tcW w:w="1740" w:type="dxa"/>
            <w:vAlign w:val="bottom"/>
          </w:tcPr>
          <w:p>
            <w:pPr>
              <w:jc w:val="right"/>
              <w:ind w:right="314"/>
              <w:spacing w:after="0"/>
              <w:rPr>
                <w:sz w:val="20"/>
                <w:szCs w:val="20"/>
                <w:color w:val="auto"/>
              </w:rPr>
            </w:pPr>
            <w:r>
              <w:rPr>
                <w:rFonts w:ascii="Arial" w:cs="Arial" w:eastAsia="Arial" w:hAnsi="Arial"/>
                <w:sz w:val="18"/>
                <w:szCs w:val="18"/>
                <w:color w:val="auto"/>
              </w:rPr>
              <w:t>400,000</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Sterling B. Brinkley</w:t>
            </w:r>
          </w:p>
        </w:tc>
        <w:tc>
          <w:tcPr>
            <w:tcW w:w="2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800,000</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900,000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Mark Kuchenrither</w:t>
            </w:r>
          </w:p>
        </w:tc>
        <w:tc>
          <w:tcPr>
            <w:tcW w:w="25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386,250</w:t>
            </w:r>
          </w:p>
        </w:tc>
        <w:tc>
          <w:tcPr>
            <w:tcW w:w="240" w:type="dxa"/>
            <w:vAlign w:val="bottom"/>
          </w:tcPr>
          <w:p>
            <w:pPr>
              <w:spacing w:after="0"/>
              <w:rPr>
                <w:sz w:val="21"/>
                <w:szCs w:val="21"/>
                <w:color w:val="auto"/>
              </w:rPr>
            </w:pPr>
          </w:p>
        </w:tc>
        <w:tc>
          <w:tcPr>
            <w:tcW w:w="1740" w:type="dxa"/>
            <w:vAlign w:val="bottom"/>
          </w:tcPr>
          <w:p>
            <w:pPr>
              <w:jc w:val="right"/>
              <w:ind w:right="314"/>
              <w:spacing w:after="0"/>
              <w:rPr>
                <w:sz w:val="20"/>
                <w:szCs w:val="20"/>
                <w:color w:val="auto"/>
              </w:rPr>
            </w:pPr>
            <w:r>
              <w:rPr>
                <w:rFonts w:ascii="Arial" w:cs="Arial" w:eastAsia="Arial" w:hAnsi="Arial"/>
                <w:sz w:val="18"/>
                <w:szCs w:val="18"/>
                <w:color w:val="auto"/>
              </w:rPr>
              <w:t>450,000</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Eric Fosse</w:t>
            </w:r>
          </w:p>
        </w:tc>
        <w:tc>
          <w:tcPr>
            <w:tcW w:w="2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412,000</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450,000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Average</w:t>
            </w:r>
          </w:p>
        </w:tc>
        <w:tc>
          <w:tcPr>
            <w:tcW w:w="25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539,650</w:t>
            </w:r>
          </w:p>
        </w:tc>
        <w:tc>
          <w:tcPr>
            <w:tcW w:w="240" w:type="dxa"/>
            <w:vAlign w:val="bottom"/>
          </w:tcPr>
          <w:p>
            <w:pPr>
              <w:spacing w:after="0"/>
              <w:rPr>
                <w:sz w:val="21"/>
                <w:szCs w:val="21"/>
                <w:color w:val="auto"/>
              </w:rPr>
            </w:pPr>
          </w:p>
        </w:tc>
        <w:tc>
          <w:tcPr>
            <w:tcW w:w="1740" w:type="dxa"/>
            <w:vAlign w:val="bottom"/>
          </w:tcPr>
          <w:p>
            <w:pPr>
              <w:jc w:val="right"/>
              <w:ind w:right="314"/>
              <w:spacing w:after="0"/>
              <w:rPr>
                <w:sz w:val="20"/>
                <w:szCs w:val="20"/>
                <w:color w:val="auto"/>
              </w:rPr>
            </w:pPr>
            <w:r>
              <w:rPr>
                <w:rFonts w:ascii="Arial" w:cs="Arial" w:eastAsia="Arial" w:hAnsi="Arial"/>
                <w:sz w:val="18"/>
                <w:szCs w:val="18"/>
                <w:color w:val="auto"/>
              </w:rPr>
              <w:t>620,000</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Following review and discussion of multiple criteria (as noted above), the Committee approved the following increases for calendar year 2013, effective January 1, 2013 (except as noted): Mr. Rothamel, $1,000,000 (11%); Mr. Stamp, $400,000 (0%); Mr. Brinkley, $1,000,000 (11%); Mr. Kuchenrither, $700,000 (56%); and Mr. Fosse, $450,000 (0%). The average of these increases is 16.1%. Mr. Stamp left the Company in October 2012, and Mr. Kuchenrither has assumed the duties of Chief Financial Officer. Mr Kuchenrither's increase, which was effective October 1, 2012, reflects his promotion to Executive Vice President in May 2012.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senior executives, as well as other key employees, are eligible to participate in our annual Incentive Compensation Plan. The annual cash bonus opportunities offered to participants in the plan are designed to provide a powerful performance incentive contingent upon participants' contributions toward achievement of annual corporate and business unit financial results, as well as personal objectives that are tied to our strategic goals.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plan is administered by the Committee, which has the authority to:</w:t>
      </w:r>
    </w:p>
    <w:p>
      <w:pPr>
        <w:spacing w:after="0" w:line="17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Designate eligible participants for each year;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annual performance goals and incentive opportunities under the plan; and</w:t>
      </w:r>
    </w:p>
    <w:p>
      <w:pPr>
        <w:spacing w:after="0" w:line="171" w:lineRule="exact"/>
        <w:rPr>
          <w:rFonts w:ascii="Arial" w:cs="Arial" w:eastAsia="Arial" w:hAnsi="Arial"/>
          <w:sz w:val="18"/>
          <w:szCs w:val="18"/>
          <w:color w:val="auto"/>
        </w:rPr>
      </w:pPr>
    </w:p>
    <w:p>
      <w:pPr>
        <w:ind w:left="340" w:right="520" w:hanging="332"/>
        <w:spacing w:after="0" w:line="34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Adjust, approve, or decline to pay the incentive bonus for each participant (subject to the restriction that the Committee does not have the power to increase, or make adjustments that would have the effect of increasing, the incentive bonus otherwise payable to any executive officer).</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Committee has the right to delegate to the Chief Executive Officer its authority and responsibilities with respect to the incentive bonuses payable to employees other than executive officers.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fiscal 2012, the incentive bonus for each senior executive was a function of a designated target amount (stated as a percentage of base salary), a business performance modifier ranging from 0% to 150%, and an individual performance modifier ranging from 0% to 100%.</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Named Executive Officers, the Compensation Committee established the following incentive bonus targets (stated as a percentage of base salary) for fiscal 2012:</w:t>
      </w:r>
    </w:p>
    <w:p>
      <w:pPr>
        <w:spacing w:after="0" w:line="270" w:lineRule="exact"/>
        <w:rPr>
          <w:sz w:val="20"/>
          <w:szCs w:val="20"/>
          <w:color w:val="auto"/>
        </w:rPr>
      </w:pPr>
    </w:p>
    <w:p>
      <w:pPr>
        <w:ind w:left="1680"/>
        <w:spacing w:after="0"/>
        <w:tabs>
          <w:tab w:leader="none" w:pos="4320" w:val="left"/>
          <w:tab w:leader="none" w:pos="7640" w:val="left"/>
        </w:tabs>
        <w:rPr>
          <w:sz w:val="20"/>
          <w:szCs w:val="20"/>
          <w:color w:val="auto"/>
        </w:rPr>
      </w:pPr>
      <w:r>
        <w:rPr>
          <w:rFonts w:ascii="Arial" w:cs="Arial" w:eastAsia="Arial" w:hAnsi="Arial"/>
          <w:sz w:val="14"/>
          <w:szCs w:val="14"/>
          <w:b w:val="1"/>
          <w:bCs w:val="1"/>
          <w:color w:val="auto"/>
        </w:rPr>
        <w:t>Named</w:t>
      </w:r>
      <w:r>
        <w:rPr>
          <w:sz w:val="20"/>
          <w:szCs w:val="20"/>
          <w:color w:val="auto"/>
        </w:rPr>
        <w:tab/>
      </w:r>
      <w:r>
        <w:rPr>
          <w:rFonts w:ascii="Arial" w:cs="Arial" w:eastAsia="Arial" w:hAnsi="Arial"/>
          <w:sz w:val="14"/>
          <w:szCs w:val="14"/>
          <w:b w:val="1"/>
          <w:bCs w:val="1"/>
          <w:color w:val="auto"/>
        </w:rPr>
        <w:t>Target Amount</w:t>
      </w:r>
      <w:r>
        <w:rPr>
          <w:sz w:val="20"/>
          <w:szCs w:val="20"/>
          <w:color w:val="auto"/>
        </w:rPr>
        <w:tab/>
      </w:r>
      <w:r>
        <w:rPr>
          <w:rFonts w:ascii="Arial" w:cs="Arial" w:eastAsia="Arial" w:hAnsi="Arial"/>
          <w:sz w:val="12"/>
          <w:szCs w:val="12"/>
          <w:b w:val="1"/>
          <w:bCs w:val="1"/>
          <w:color w:val="auto"/>
        </w:rPr>
        <w:t>Business Performance Modifier</w:t>
      </w:r>
    </w:p>
    <w:p>
      <w:pPr>
        <w:spacing w:after="0" w:line="4" w:lineRule="exact"/>
        <w:rPr>
          <w:sz w:val="20"/>
          <w:szCs w:val="20"/>
          <w:color w:val="auto"/>
        </w:rPr>
      </w:pPr>
    </w:p>
    <w:p>
      <w:pPr>
        <w:ind w:left="1360"/>
        <w:spacing w:after="0"/>
        <w:tabs>
          <w:tab w:leader="none" w:pos="4080" w:val="left"/>
          <w:tab w:leader="none" w:pos="8300" w:val="left"/>
        </w:tabs>
        <w:rPr>
          <w:sz w:val="20"/>
          <w:szCs w:val="20"/>
          <w:color w:val="auto"/>
        </w:rPr>
      </w:pPr>
      <w:r>
        <w:rPr>
          <w:rFonts w:ascii="Arial" w:cs="Arial" w:eastAsia="Arial" w:hAnsi="Arial"/>
          <w:sz w:val="14"/>
          <w:szCs w:val="14"/>
          <w:b w:val="1"/>
          <w:bCs w:val="1"/>
          <w:color w:val="auto"/>
        </w:rPr>
        <w:t>Executive Officer</w:t>
      </w:r>
      <w:r>
        <w:rPr>
          <w:sz w:val="20"/>
          <w:szCs w:val="20"/>
          <w:color w:val="auto"/>
        </w:rPr>
        <w:tab/>
      </w:r>
      <w:r>
        <w:rPr>
          <w:rFonts w:ascii="Arial" w:cs="Arial" w:eastAsia="Arial" w:hAnsi="Arial"/>
          <w:sz w:val="14"/>
          <w:szCs w:val="14"/>
          <w:b w:val="1"/>
          <w:bCs w:val="1"/>
          <w:color w:val="auto"/>
        </w:rPr>
        <w:t>(as a % of base salary)</w:t>
      </w:r>
      <w:r>
        <w:rPr>
          <w:sz w:val="20"/>
          <w:szCs w:val="20"/>
          <w:color w:val="auto"/>
        </w:rPr>
        <w:tab/>
      </w:r>
      <w:r>
        <w:rPr>
          <w:rFonts w:ascii="Arial" w:cs="Arial" w:eastAsia="Arial" w:hAnsi="Arial"/>
          <w:sz w:val="12"/>
          <w:szCs w:val="12"/>
          <w:b w:val="1"/>
          <w:bCs w:val="1"/>
          <w:color w:val="auto"/>
        </w:rPr>
        <w:t>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Mr. Rothamel</w:t>
            </w:r>
          </w:p>
        </w:tc>
        <w:tc>
          <w:tcPr>
            <w:tcW w:w="2080" w:type="dxa"/>
            <w:vAlign w:val="bottom"/>
          </w:tcPr>
          <w:p>
            <w:pPr>
              <w:jc w:val="center"/>
              <w:ind w:left="1570"/>
              <w:spacing w:after="0"/>
              <w:rPr>
                <w:sz w:val="20"/>
                <w:szCs w:val="20"/>
                <w:color w:val="auto"/>
              </w:rPr>
            </w:pPr>
            <w:r>
              <w:rPr>
                <w:rFonts w:ascii="Arial" w:cs="Arial" w:eastAsia="Arial" w:hAnsi="Arial"/>
                <w:sz w:val="18"/>
                <w:szCs w:val="18"/>
                <w:color w:val="auto"/>
                <w:w w:val="91"/>
              </w:rPr>
              <w:t>200%</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Mr. Stamp</w:t>
            </w:r>
          </w:p>
        </w:tc>
        <w:tc>
          <w:tcPr>
            <w:tcW w:w="2080" w:type="dxa"/>
            <w:vAlign w:val="bottom"/>
          </w:tcPr>
          <w:p>
            <w:pPr>
              <w:jc w:val="center"/>
              <w:ind w:left="1550"/>
              <w:spacing w:after="0"/>
              <w:rPr>
                <w:sz w:val="20"/>
                <w:szCs w:val="20"/>
                <w:color w:val="auto"/>
              </w:rPr>
            </w:pPr>
            <w:r>
              <w:rPr>
                <w:rFonts w:ascii="Arial" w:cs="Arial" w:eastAsia="Arial" w:hAnsi="Arial"/>
                <w:sz w:val="18"/>
                <w:szCs w:val="18"/>
                <w:color w:val="auto"/>
                <w:w w:val="88"/>
              </w:rPr>
              <w:t>60%</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Mr. Brinkley</w:t>
            </w:r>
          </w:p>
        </w:tc>
        <w:tc>
          <w:tcPr>
            <w:tcW w:w="2080" w:type="dxa"/>
            <w:vAlign w:val="bottom"/>
          </w:tcPr>
          <w:p>
            <w:pPr>
              <w:jc w:val="center"/>
              <w:ind w:left="1570"/>
              <w:spacing w:after="0"/>
              <w:rPr>
                <w:sz w:val="20"/>
                <w:szCs w:val="20"/>
                <w:color w:val="auto"/>
              </w:rPr>
            </w:pPr>
            <w:r>
              <w:rPr>
                <w:rFonts w:ascii="Arial" w:cs="Arial" w:eastAsia="Arial" w:hAnsi="Arial"/>
                <w:sz w:val="18"/>
                <w:szCs w:val="18"/>
                <w:color w:val="auto"/>
                <w:w w:val="91"/>
              </w:rPr>
              <w:t>200%</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Mr. Kuchenrither</w:t>
            </w:r>
          </w:p>
        </w:tc>
        <w:tc>
          <w:tcPr>
            <w:tcW w:w="2080" w:type="dxa"/>
            <w:vAlign w:val="bottom"/>
          </w:tcPr>
          <w:p>
            <w:pPr>
              <w:jc w:val="center"/>
              <w:ind w:left="1550"/>
              <w:spacing w:after="0"/>
              <w:rPr>
                <w:sz w:val="20"/>
                <w:szCs w:val="20"/>
                <w:color w:val="auto"/>
              </w:rPr>
            </w:pPr>
            <w:r>
              <w:rPr>
                <w:rFonts w:ascii="Arial" w:cs="Arial" w:eastAsia="Arial" w:hAnsi="Arial"/>
                <w:sz w:val="18"/>
                <w:szCs w:val="18"/>
                <w:color w:val="auto"/>
                <w:w w:val="88"/>
              </w:rPr>
              <w:t>75%</w:t>
            </w:r>
          </w:p>
        </w:tc>
      </w:tr>
      <w:tr>
        <w:trPr>
          <w:trHeight w:val="378"/>
        </w:trPr>
        <w:tc>
          <w:tcPr>
            <w:tcW w:w="2900" w:type="dxa"/>
            <w:vAlign w:val="bottom"/>
          </w:tcPr>
          <w:p>
            <w:pPr>
              <w:spacing w:after="0"/>
              <w:rPr>
                <w:sz w:val="20"/>
                <w:szCs w:val="20"/>
                <w:color w:val="auto"/>
              </w:rPr>
            </w:pPr>
            <w:r>
              <w:rPr>
                <w:rFonts w:ascii="Arial" w:cs="Arial" w:eastAsia="Arial" w:hAnsi="Arial"/>
                <w:sz w:val="18"/>
                <w:szCs w:val="18"/>
                <w:color w:val="auto"/>
              </w:rPr>
              <w:t>Mr. Fosse</w:t>
            </w:r>
          </w:p>
        </w:tc>
        <w:tc>
          <w:tcPr>
            <w:tcW w:w="2080" w:type="dxa"/>
            <w:vAlign w:val="bottom"/>
          </w:tcPr>
          <w:p>
            <w:pPr>
              <w:jc w:val="center"/>
              <w:ind w:left="1570"/>
              <w:spacing w:after="0"/>
              <w:rPr>
                <w:sz w:val="20"/>
                <w:szCs w:val="20"/>
                <w:color w:val="auto"/>
              </w:rPr>
            </w:pPr>
            <w:r>
              <w:rPr>
                <w:rFonts w:ascii="Arial" w:cs="Arial" w:eastAsia="Arial" w:hAnsi="Arial"/>
                <w:sz w:val="18"/>
                <w:szCs w:val="18"/>
                <w:color w:val="auto"/>
                <w:w w:val="91"/>
              </w:rPr>
              <w:t>100%</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Consolidated net income attributable to EZCORP, Inc.</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Consolidated net income attributable to 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39370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Consolidated net income attributable to EZCORP, Inc.</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Consolidated net income attributable to 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39370</wp:posOffset>
            </wp:positionV>
            <wp:extent cx="724662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50% Consolidated net income attributable to EZCORP,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 Business unit operating income</w:t>
      </w:r>
    </w:p>
    <w:p>
      <w:pPr>
        <w:spacing w:after="0" w:line="184" w:lineRule="exact"/>
        <w:rPr>
          <w:sz w:val="20"/>
          <w:szCs w:val="20"/>
          <w:color w:val="auto"/>
        </w:rPr>
      </w:pPr>
    </w:p>
    <w:p>
      <w:pPr>
        <w:sectPr>
          <w:pgSz w:w="11900" w:h="16838" w:orient="portrait"/>
          <w:cols w:equalWidth="0" w:num="2">
            <w:col w:w="5140" w:space="720"/>
            <w:col w:w="5560"/>
          </w:cols>
          <w:pgMar w:left="240" w:top="125" w:right="239" w:bottom="1440" w:gutter="0" w:footer="0" w:header="0"/>
          <w:type w:val="continuous"/>
        </w:sectPr>
      </w:pPr>
    </w:p>
    <w:p>
      <w:pPr>
        <w:ind w:right="160"/>
        <w:spacing w:after="0" w:line="264" w:lineRule="auto"/>
        <w:rPr>
          <w:sz w:val="20"/>
          <w:szCs w:val="20"/>
          <w:color w:val="auto"/>
        </w:rPr>
      </w:pPr>
      <w:r>
        <w:rPr>
          <w:rFonts w:ascii="Arial" w:cs="Arial" w:eastAsia="Arial" w:hAnsi="Arial"/>
          <w:sz w:val="18"/>
          <w:szCs w:val="18"/>
          <w:color w:val="auto"/>
        </w:rPr>
        <w:t>Based on our actual consolidated and business unit financial performance for fiscal 2012, the Committee confirmed the payouts of annual incentive bonuses to the NEO's as indicated in the “Non-Equity Incentive Plan Compensation” column in the Summary Compensation Table below. These amounts were calculated as follows:</w:t>
      </w:r>
    </w:p>
    <w:p>
      <w:pPr>
        <w:spacing w:after="0" w:line="17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Calculation of Individual Annual Incentive Bonus Awards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Target</w:t>
            </w:r>
          </w:p>
        </w:tc>
        <w:tc>
          <w:tcPr>
            <w:tcW w:w="3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Individual</w:t>
            </w:r>
          </w:p>
        </w:tc>
        <w:tc>
          <w:tcPr>
            <w:tcW w:w="540" w:type="dxa"/>
            <w:vAlign w:val="bottom"/>
          </w:tcPr>
          <w:p>
            <w:pPr>
              <w:spacing w:after="0"/>
              <w:rPr>
                <w:sz w:val="14"/>
                <w:szCs w:val="14"/>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8"/>
              </w:rPr>
              <w:t>Actual Award</w:t>
            </w:r>
          </w:p>
        </w:tc>
        <w:tc>
          <w:tcPr>
            <w:tcW w:w="0" w:type="dxa"/>
            <w:vAlign w:val="bottom"/>
          </w:tcPr>
          <w:p>
            <w:pPr>
              <w:spacing w:after="0"/>
              <w:rPr>
                <w:sz w:val="1"/>
                <w:szCs w:val="1"/>
                <w:color w:val="auto"/>
              </w:rPr>
            </w:pPr>
          </w:p>
        </w:tc>
      </w:tr>
      <w:tr>
        <w:trPr>
          <w:trHeight w:val="149"/>
        </w:trPr>
        <w:tc>
          <w:tcPr>
            <w:tcW w:w="22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Named Executive Officer</w:t>
            </w:r>
          </w:p>
        </w:tc>
        <w:tc>
          <w:tcPr>
            <w:tcW w:w="13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2012 Salary</w:t>
            </w:r>
          </w:p>
        </w:tc>
        <w:tc>
          <w:tcPr>
            <w:tcW w:w="1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xml:space="preserve">x  </w:t>
            </w:r>
            <w:r>
              <w:rPr>
                <w:rFonts w:ascii="Arial" w:cs="Arial" w:eastAsia="Arial" w:hAnsi="Arial"/>
                <w:sz w:val="14"/>
                <w:szCs w:val="14"/>
                <w:b w:val="1"/>
                <w:bCs w:val="1"/>
                <w:color w:val="auto"/>
              </w:rPr>
              <w:t>Target Amount</w:t>
            </w:r>
            <w:r>
              <w:rPr>
                <w:rFonts w:ascii="Arial" w:cs="Arial" w:eastAsia="Arial" w:hAnsi="Arial"/>
                <w:sz w:val="18"/>
                <w:szCs w:val="18"/>
                <w:b w:val="1"/>
                <w:bCs w:val="1"/>
                <w:color w:val="auto"/>
              </w:rPr>
              <w:t xml:space="preserve">   =</w:t>
            </w:r>
          </w:p>
        </w:tc>
        <w:tc>
          <w:tcPr>
            <w:tcW w:w="1320" w:type="dxa"/>
            <w:vAlign w:val="bottom"/>
            <w:vMerge w:val="continue"/>
          </w:tcPr>
          <w:p>
            <w:pPr>
              <w:spacing w:after="0"/>
              <w:rPr>
                <w:sz w:val="12"/>
                <w:szCs w:val="12"/>
                <w:color w:val="auto"/>
              </w:rPr>
            </w:pPr>
          </w:p>
        </w:tc>
        <w:tc>
          <w:tcPr>
            <w:tcW w:w="3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x</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x</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5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Opportunity</w:t>
            </w:r>
          </w:p>
        </w:tc>
        <w:tc>
          <w:tcPr>
            <w:tcW w:w="3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Modifier</w:t>
            </w:r>
          </w:p>
        </w:tc>
        <w:tc>
          <w:tcPr>
            <w:tcW w:w="4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Modifier</w:t>
            </w:r>
          </w:p>
        </w:tc>
        <w:tc>
          <w:tcPr>
            <w:tcW w:w="5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Rothamel</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   900,000</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200%</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    1,800,000</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1,260,000</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Stamp</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60%</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240,000</w:t>
            </w:r>
          </w:p>
        </w:tc>
        <w:tc>
          <w:tcPr>
            <w:tcW w:w="3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70%</w:t>
            </w:r>
          </w:p>
        </w:tc>
        <w:tc>
          <w:tcPr>
            <w:tcW w:w="4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Brinkley</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200%</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1,800,000</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1,260,000</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Kuchenrither</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450,000</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75%</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337,500</w:t>
            </w:r>
          </w:p>
        </w:tc>
        <w:tc>
          <w:tcPr>
            <w:tcW w:w="3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70%</w:t>
            </w:r>
          </w:p>
        </w:tc>
        <w:tc>
          <w:tcPr>
            <w:tcW w:w="4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236,250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Fosse</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450,000</w:t>
            </w:r>
          </w:p>
        </w:tc>
        <w:tc>
          <w:tcPr>
            <w:tcW w:w="1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450,000</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234,000</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2012, the Committee approved the annual incentive bonus targets for fiscal 2013. All of our executive officers have the same annual incentive target award opportunities for fiscal 2013 (as a percent of salary) as they had in fiscal 2012, except for Mr. Kuchenrither whose fiscal 2013 target amount was increased to 125% of base salary as part of his promotion to Executive Vice President. Mr. Stamp left the Company in October 2012 and, thus, has no annual incentive bonus opportunity in fiscal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i w:val="1"/>
          <w:iCs w:val="1"/>
          <w:color w:val="auto"/>
        </w:rPr>
        <w:t xml:space="preserve">General — </w:t>
      </w:r>
      <w:r>
        <w:rPr>
          <w:rFonts w:ascii="Arial" w:cs="Arial" w:eastAsia="Arial" w:hAnsi="Arial"/>
          <w:sz w:val="18"/>
          <w:szCs w:val="18"/>
          <w:color w:val="auto"/>
        </w:rPr>
        <w:t>Long-term incentive compensation, in the form of performance-vested or time-vested equity awards, is a key component in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helping to encourage long-term commitment, shareholder alignment and long-term performance orientation. The value of equity awards over time bears a direct relationship to the price of our shares and the returns experienced by our shareholders. These awards are made under the EZCORP 2010 Long-Term Incentive Plan.</w:t>
      </w:r>
    </w:p>
    <w:p>
      <w:pPr>
        <w:spacing w:after="0" w:line="13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All of our executive officers are eligible to receive equity incentive awards. Our approach to long-term incentive compensation for our executive officers for fiscal 2012 and 2013 provides for restricted stock awards that vest over multiple years based upon achievement of sustained earnings growth as measured by the compound annual growth rate in EBITDA over the performance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Eligibility and participation level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in the long-term incentive plan is based on the following criteria:</w:t>
      </w:r>
    </w:p>
    <w:p>
      <w:pPr>
        <w:spacing w:after="0" w:line="175" w:lineRule="exact"/>
        <w:rPr>
          <w:sz w:val="20"/>
          <w:szCs w:val="20"/>
          <w:color w:val="auto"/>
        </w:rPr>
      </w:pPr>
    </w:p>
    <w:p>
      <w:pPr>
        <w:ind w:left="660" w:hanging="31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Analysis of competitive information for comparable positions;</w:t>
      </w:r>
    </w:p>
    <w:p>
      <w:pPr>
        <w:spacing w:after="0" w:line="171" w:lineRule="exact"/>
        <w:rPr>
          <w:rFonts w:ascii="Arial" w:cs="Arial" w:eastAsia="Arial" w:hAnsi="Arial"/>
          <w:sz w:val="18"/>
          <w:szCs w:val="18"/>
          <w:color w:val="auto"/>
        </w:rPr>
      </w:pPr>
    </w:p>
    <w:p>
      <w:pPr>
        <w:ind w:left="660" w:hanging="31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Evaluation of the value added to the Company by hiring or retaining specific executives; and</w:t>
      </w:r>
    </w:p>
    <w:p>
      <w:pPr>
        <w:spacing w:after="0" w:line="171" w:lineRule="exact"/>
        <w:rPr>
          <w:rFonts w:ascii="Arial" w:cs="Arial" w:eastAsia="Arial" w:hAnsi="Arial"/>
          <w:sz w:val="18"/>
          <w:szCs w:val="18"/>
          <w:color w:val="auto"/>
        </w:rPr>
      </w:pPr>
    </w:p>
    <w:p>
      <w:pPr>
        <w:ind w:left="660" w:right="220" w:hanging="31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executive's long-term potential contributions to the Company in terms of impacting overall performance, strategic direction, financial results and shareholder value.</w:t>
      </w:r>
    </w:p>
    <w:p>
      <w:pPr>
        <w:spacing w:after="0" w:line="11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Grant frequency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considers new grants for all executives every year, although we do not necessarily grant new equity to all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every year. The frequency of grant and the amount of equity awards granted in a given year are based in part upon an assessment of past equity awards still outstanding at the time new grants are to be made.</w:t>
      </w:r>
    </w:p>
    <w:p>
      <w:pPr>
        <w:spacing w:after="0" w:line="12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Although equity awards may be made at any time as determined by the Committee, they are generally made on the first business day of our fiscal year or on or around the recipient's hire date (in the case of new-hire grants).</w:t>
      </w:r>
    </w:p>
    <w:p>
      <w:pPr>
        <w:spacing w:after="0" w:line="11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Following a thorough assessment of available market data, internal equity, anticipated impact and past awards, on October 3, 2011 the Committee approved restricted stock grants for 20 key employees totaling 168,800 shares, including the following awards to Named Executive Officers: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ind w:left="2100"/>
              <w:spacing w:after="0"/>
              <w:rPr>
                <w:sz w:val="20"/>
                <w:szCs w:val="20"/>
                <w:color w:val="auto"/>
              </w:rPr>
            </w:pPr>
            <w:r>
              <w:rPr>
                <w:rFonts w:ascii="Arial" w:cs="Arial" w:eastAsia="Arial" w:hAnsi="Arial"/>
                <w:sz w:val="14"/>
                <w:szCs w:val="14"/>
                <w:b w:val="1"/>
                <w:bCs w:val="1"/>
                <w:color w:val="auto"/>
              </w:rPr>
              <w:t>Named</w:t>
            </w: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2"/>
              </w:rPr>
              <w:t>Vesting Schedule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20" w:type="dxa"/>
            <w:vAlign w:val="bottom"/>
            <w:vMerge w:val="restart"/>
          </w:tcPr>
          <w:p>
            <w:pPr>
              <w:ind w:left="2000"/>
              <w:spacing w:after="0" w:line="126" w:lineRule="exact"/>
              <w:rPr>
                <w:sz w:val="20"/>
                <w:szCs w:val="20"/>
                <w:color w:val="auto"/>
              </w:rPr>
            </w:pPr>
            <w:r>
              <w:rPr>
                <w:rFonts w:ascii="Arial" w:cs="Arial" w:eastAsia="Arial" w:hAnsi="Arial"/>
                <w:sz w:val="14"/>
                <w:szCs w:val="14"/>
                <w:b w:val="1"/>
                <w:bCs w:val="1"/>
                <w:color w:val="auto"/>
              </w:rPr>
              <w:t>Executive</w:t>
            </w:r>
          </w:p>
        </w:tc>
        <w:tc>
          <w:tcPr>
            <w:tcW w:w="2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right"/>
              <w:ind w:right="135"/>
              <w:spacing w:after="0" w:line="126"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52"/>
        </w:trPr>
        <w:tc>
          <w:tcPr>
            <w:tcW w:w="3720" w:type="dxa"/>
            <w:vAlign w:val="bottom"/>
            <w:vMerge w:val="continue"/>
          </w:tcPr>
          <w:p>
            <w:pPr>
              <w:spacing w:after="0"/>
              <w:rPr>
                <w:sz w:val="4"/>
                <w:szCs w:val="4"/>
                <w:color w:val="auto"/>
              </w:rPr>
            </w:pPr>
          </w:p>
        </w:tc>
        <w:tc>
          <w:tcPr>
            <w:tcW w:w="24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 shares</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Vesting Period</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October 2012</w:t>
            </w:r>
          </w:p>
        </w:tc>
        <w:tc>
          <w:tcPr>
            <w:tcW w:w="11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October 2013</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October 2014</w:t>
            </w: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Officer</w:t>
            </w:r>
          </w:p>
        </w:tc>
        <w:tc>
          <w:tcPr>
            <w:tcW w:w="24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Rothamel</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Mr. Stamp (a)</w:t>
            </w:r>
          </w:p>
        </w:tc>
        <w:tc>
          <w:tcPr>
            <w:tcW w:w="2440" w:type="dxa"/>
            <w:vAlign w:val="bottom"/>
          </w:tcPr>
          <w:p>
            <w:pPr>
              <w:jc w:val="right"/>
              <w:spacing w:after="0"/>
              <w:rPr>
                <w:sz w:val="20"/>
                <w:szCs w:val="20"/>
                <w:color w:val="auto"/>
              </w:rPr>
            </w:pPr>
            <w:r>
              <w:rPr>
                <w:rFonts w:ascii="Arial" w:cs="Arial" w:eastAsia="Arial" w:hAnsi="Arial"/>
                <w:sz w:val="18"/>
                <w:szCs w:val="18"/>
                <w:color w:val="auto"/>
              </w:rPr>
              <w:t>16,600</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960" w:type="dxa"/>
            <w:vAlign w:val="bottom"/>
          </w:tcPr>
          <w:p>
            <w:pPr>
              <w:jc w:val="right"/>
              <w:spacing w:after="0"/>
              <w:rPr>
                <w:sz w:val="20"/>
                <w:szCs w:val="20"/>
                <w:color w:val="auto"/>
              </w:rPr>
            </w:pPr>
            <w:r>
              <w:rPr>
                <w:rFonts w:ascii="Arial" w:cs="Arial" w:eastAsia="Arial" w:hAnsi="Arial"/>
                <w:sz w:val="18"/>
                <w:szCs w:val="18"/>
                <w:color w:val="auto"/>
              </w:rPr>
              <w:t>5,533</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5,533</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5,534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450,358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Brinkley</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Mr. Kuchenriter</w:t>
            </w:r>
          </w:p>
        </w:tc>
        <w:tc>
          <w:tcPr>
            <w:tcW w:w="2440" w:type="dxa"/>
            <w:vAlign w:val="bottom"/>
          </w:tcPr>
          <w:p>
            <w:pPr>
              <w:jc w:val="right"/>
              <w:spacing w:after="0"/>
              <w:rPr>
                <w:sz w:val="20"/>
                <w:szCs w:val="20"/>
                <w:color w:val="auto"/>
              </w:rPr>
            </w:pPr>
            <w:r>
              <w:rPr>
                <w:rFonts w:ascii="Arial" w:cs="Arial" w:eastAsia="Arial" w:hAnsi="Arial"/>
                <w:sz w:val="18"/>
                <w:szCs w:val="18"/>
                <w:color w:val="auto"/>
              </w:rPr>
              <w:t>33,200</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960" w:type="dxa"/>
            <w:vAlign w:val="bottom"/>
          </w:tcPr>
          <w:p>
            <w:pPr>
              <w:jc w:val="right"/>
              <w:spacing w:after="0"/>
              <w:rPr>
                <w:sz w:val="20"/>
                <w:szCs w:val="20"/>
                <w:color w:val="auto"/>
              </w:rPr>
            </w:pPr>
            <w:r>
              <w:rPr>
                <w:rFonts w:ascii="Arial" w:cs="Arial" w:eastAsia="Arial" w:hAnsi="Arial"/>
                <w:sz w:val="18"/>
                <w:szCs w:val="18"/>
                <w:color w:val="auto"/>
              </w:rPr>
              <w:t>11,066</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11,067</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11,067</w:t>
            </w: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900,716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Fosse</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5,533</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5,534</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450,358</w:t>
            </w:r>
          </w:p>
        </w:tc>
        <w:tc>
          <w:tcPr>
            <w:tcW w:w="0" w:type="dxa"/>
            <w:vAlign w:val="bottom"/>
          </w:tcPr>
          <w:p>
            <w:pPr>
              <w:spacing w:after="0"/>
              <w:rPr>
                <w:sz w:val="1"/>
                <w:szCs w:val="1"/>
                <w:color w:val="auto"/>
              </w:rPr>
            </w:pPr>
          </w:p>
        </w:tc>
      </w:tr>
      <w:tr>
        <w:trPr>
          <w:trHeight w:val="20"/>
        </w:trPr>
        <w:tc>
          <w:tcPr>
            <w:tcW w:w="372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20" w:firstLine="8"/>
        <w:spacing w:after="0" w:line="275" w:lineRule="auto"/>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Stamp left the Company in October 2012 and, thus, received the shares that vested in October 2012 but forfeited the shares that would have otherwise vested in October 2013 and October 2014.</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grants to all executive officers, including the NEOs, were subject to performance-based vesting, requiring a 5% compounded annual growth in EBITDA at each vesting date when compared to fiscal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229"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i w:val="1"/>
          <w:iCs w:val="1"/>
          <w:color w:val="auto"/>
        </w:rPr>
        <w:t xml:space="preserve">Supplemental Executive Retirement Plan — </w:t>
      </w:r>
      <w:r>
        <w:rPr>
          <w:rFonts w:ascii="Arial" w:cs="Arial" w:eastAsia="Arial" w:hAnsi="Arial"/>
          <w:sz w:val="17"/>
          <w:szCs w:val="17"/>
          <w:color w:val="auto"/>
        </w:rPr>
        <w:t>We provide selected executives, including all of the NEO's, with a non-qualified Supplemental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Plan (“SERP”) in order to offset some of the negative impacts of the highly-paid executive contribution limitations applicable to our 401(k) retirement savings plan. For a description of the SERP, see “Other Benefits and Perquisites”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2012 and 2013, the following contributions on behalf of the NEOs were approved by the Committee: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SERP Contribution</w:t>
            </w:r>
          </w:p>
        </w:tc>
        <w:tc>
          <w:tcPr>
            <w:tcW w:w="10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Paul E. Rothamel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243,000</w:t>
            </w:r>
          </w:p>
        </w:tc>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270,000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Stephen A. Stamp</w:t>
            </w:r>
          </w:p>
        </w:tc>
        <w:tc>
          <w:tcPr>
            <w:tcW w:w="4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57,600</w:t>
            </w:r>
          </w:p>
        </w:tc>
        <w:tc>
          <w:tcPr>
            <w:tcW w:w="7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57,600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Sterling B. Brinkley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243,000</w:t>
            </w: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270,000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Mark Kuchenrither</w:t>
            </w:r>
          </w:p>
        </w:tc>
        <w:tc>
          <w:tcPr>
            <w:tcW w:w="4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70,875</w:t>
            </w:r>
          </w:p>
        </w:tc>
        <w:tc>
          <w:tcPr>
            <w:tcW w:w="7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141,750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Eric Fosse</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81,000</w:t>
            </w:r>
          </w:p>
        </w:tc>
        <w:tc>
          <w:tcPr>
            <w:tcW w:w="7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81,000</w:t>
            </w:r>
          </w:p>
        </w:tc>
      </w:tr>
      <w:tr>
        <w:trPr>
          <w:trHeight w:val="27"/>
        </w:trPr>
        <w:tc>
          <w:tcPr>
            <w:tcW w:w="7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Other Benefits and Perquisites — </w:t>
      </w:r>
      <w:r>
        <w:rPr>
          <w:rFonts w:ascii="Arial" w:cs="Arial" w:eastAsia="Arial" w:hAnsi="Arial"/>
          <w:sz w:val="17"/>
          <w:szCs w:val="17"/>
          <w:color w:val="auto"/>
        </w:rPr>
        <w:t>The executive officers participate in other benefit plans on the same terms as other employees. These plans include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dental and life insurance benefits, and our 401(k) retirement savings plan. In addition, we provide supplemental healthcare benefits to our executive officers. The amount of that benefit for the NEOs during fiscal 2012 is included in the “All Other Compensation” table below.</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Employment Agreements, Severance and Change-in-Control Arrangements — </w:t>
      </w:r>
      <w:r>
        <w:rPr>
          <w:rFonts w:ascii="Arial" w:cs="Arial" w:eastAsia="Arial" w:hAnsi="Arial"/>
          <w:sz w:val="18"/>
          <w:szCs w:val="18"/>
          <w:color w:val="auto"/>
        </w:rPr>
        <w:t>On August 3, 2009, we entered into an employment agreement with Paul E.</w:t>
      </w:r>
      <w:r>
        <w:rPr>
          <w:rFonts w:ascii="Arial" w:cs="Arial" w:eastAsia="Arial" w:hAnsi="Arial"/>
          <w:sz w:val="18"/>
          <w:szCs w:val="18"/>
          <w:i w:val="1"/>
          <w:iCs w:val="1"/>
          <w:color w:val="auto"/>
        </w:rPr>
        <w:t xml:space="preserve"> </w:t>
      </w:r>
      <w:r>
        <w:rPr>
          <w:rFonts w:ascii="Arial" w:cs="Arial" w:eastAsia="Arial" w:hAnsi="Arial"/>
          <w:sz w:val="18"/>
          <w:szCs w:val="18"/>
          <w:color w:val="auto"/>
        </w:rPr>
        <w:t>Rothamel, who is now our President and Chief Executive Officer. The agreement provides for certain benefits (principally, a payment equal to one year of then-current base salary) if (a) Mr. Rothamel terminates his employment for good reason (including a change in control), (b) we terminate Mr. Rothamel's employment without cause, or (c) Mr. Rothamel dies or becomes totally and permanently disabled during his active employment. The agreement had an initial term of two years, and has been renewed for an additional one-year term, and will continue to be renewed for successive one-year terms unless either party gives 90-days' notice to terminate.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the following additional severance or change-in-control benefits to its executive officers:</w:t>
      </w:r>
    </w:p>
    <w:p>
      <w:pPr>
        <w:spacing w:after="0" w:line="171" w:lineRule="exact"/>
        <w:rPr>
          <w:sz w:val="20"/>
          <w:szCs w:val="20"/>
          <w:color w:val="auto"/>
        </w:rPr>
      </w:pPr>
    </w:p>
    <w:p>
      <w:pPr>
        <w:ind w:left="660" w:right="1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of employment for certain of our executive officers (including Mr. Stamp, Mr. Kuchenrither and Mr. Fosse) provide that the executive officer will receive salary continuation for one year if his or her employment is terminated by the Company without cause. Mr. Stamp received this benefit upon his departure from the Company in October 2012.</w:t>
      </w:r>
    </w:p>
    <w:p>
      <w:pPr>
        <w:spacing w:after="0" w:line="127" w:lineRule="exact"/>
        <w:rPr>
          <w:rFonts w:ascii="Arial" w:cs="Arial" w:eastAsia="Arial" w:hAnsi="Arial"/>
          <w:sz w:val="18"/>
          <w:szCs w:val="18"/>
          <w:color w:val="auto"/>
        </w:rPr>
      </w:pPr>
    </w:p>
    <w:p>
      <w:pPr>
        <w:jc w:val="both"/>
        <w:ind w:left="660" w:right="42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Brinkley received a restricted stock award in October 2006 that provides for accelerated vesting of some or all of the unvested shares under certain circumstances, including death or disability, failure to be re-elected to his current position or termination of employment without cause.</w:t>
      </w:r>
    </w:p>
    <w:p>
      <w:pPr>
        <w:spacing w:after="0" w:line="69"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11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More information on severance arrangements can be found under “Other Benefit Plans —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1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Restrictive Covenants — </w:t>
      </w:r>
      <w:r>
        <w:rPr>
          <w:rFonts w:ascii="Arial" w:cs="Arial" w:eastAsia="Arial" w:hAnsi="Arial"/>
          <w:sz w:val="18"/>
          <w:szCs w:val="18"/>
          <w:color w:val="auto"/>
        </w:rPr>
        <w:t>Each of the Company's executive officers, along with other key employees, has entered into a Protection of Sensitive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Agreement. Under the terms of that agreement, the executive is subject to confidentiality and non-disclosure obligations with respect to various categories of proprietary, competitively sensitive and confidential information. In addition, the executive has agreed that, for a period of one year following the termination of employment with the Company, he or she will not compete with the Company (within a defined area) and will not solicit the Company's employees or suppliers.</w:t>
      </w:r>
    </w:p>
    <w:p>
      <w:pPr>
        <w:spacing w:after="0" w:line="13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Other Factors Affecting Compensation — </w:t>
      </w:r>
      <w:r>
        <w:rPr>
          <w:rFonts w:ascii="Arial" w:cs="Arial" w:eastAsia="Arial" w:hAnsi="Arial"/>
          <w:sz w:val="17"/>
          <w:szCs w:val="17"/>
          <w:color w:val="auto"/>
        </w:rPr>
        <w:t>In establishing total compensation for the executive officers, the Committee considered the effect of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162(m) of the Internal Revenue Code, which limits the deductibility of compensation paid to each covered employee. Generally, Section 162(m) prevents a company from receiving a federal income tax deduction for compensation paid to a covered employee in excess of $1 million for any year, unless that compensation is performance-based. To the extent practical, the Committee intends to preserve deductibility, but may choose to provide compensation that is not deductible if necessary to attract, retain, and reward high-performing executives.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2012. This report is provided by the following independent directors, who comprised the Compensation Committee as of the end of fiscal 2012.</w:t>
      </w:r>
    </w:p>
    <w:p>
      <w:pPr>
        <w:spacing w:after="0" w:line="1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Joseph J. Beal (Chair)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Pablo Lagos Espinosa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Thomas C. Roberts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No member of the Compensation Committee is or has been an officer or employee of EZCORP, and no member of the Compensation Committee had any relationship requiring disclosure under Item 404 of Regulation S-K, the SEC’s rules requiring disclosure of certain relationships and related-party transactions. None of our executive officers serves or has served on the board of directors or compensation committee (or other committee serving an equivalent function) of any other entity that has or has had a member of our Board of Directors as an executive officer.</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80"/>
          </w:cols>
          <w:pgMar w:left="240" w:top="125" w:right="37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 below summarizes the total compensation for fiscal 2012, 2011 and 2010 for the following persons: Paul E. Rothamel (our principal executive officer); Stephen A. Stamp (who served as our principal financial officer during all of fiscal 2012); and Sterling B. Brinkley, Mark Kuchenrither and Eric Fosse (the three other most highly-compensated individuals who were serving as executive officers at the end of fiscal 2012). These persons are referred to as the “Named Executive Officers.”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5"/>
              </w:rPr>
              <w:t>Stock Stock Awards</w:t>
            </w:r>
          </w:p>
        </w:tc>
        <w:tc>
          <w:tcPr>
            <w:tcW w:w="200" w:type="dxa"/>
            <w:vAlign w:val="bottom"/>
          </w:tcPr>
          <w:p>
            <w:pPr>
              <w:spacing w:after="0"/>
              <w:rPr>
                <w:sz w:val="14"/>
                <w:szCs w:val="14"/>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Non-Equity</w:t>
            </w:r>
          </w:p>
        </w:tc>
        <w:tc>
          <w:tcPr>
            <w:tcW w:w="300" w:type="dxa"/>
            <w:vAlign w:val="bottom"/>
          </w:tcPr>
          <w:p>
            <w:pPr>
              <w:spacing w:after="0"/>
              <w:rPr>
                <w:sz w:val="14"/>
                <w:szCs w:val="14"/>
                <w:color w:val="auto"/>
              </w:rPr>
            </w:pPr>
          </w:p>
        </w:tc>
        <w:tc>
          <w:tcPr>
            <w:tcW w:w="10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360" w:type="dxa"/>
            <w:vAlign w:val="bottom"/>
          </w:tcPr>
          <w:p>
            <w:pPr>
              <w:spacing w:after="0"/>
              <w:rPr>
                <w:sz w:val="12"/>
                <w:szCs w:val="12"/>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2"/>
                <w:szCs w:val="12"/>
                <w:color w:val="auto"/>
              </w:rPr>
            </w:pPr>
          </w:p>
        </w:tc>
        <w:tc>
          <w:tcPr>
            <w:tcW w:w="9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Bonus (1)</w:t>
            </w: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Compensation (3)</w:t>
            </w: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Compensation (4)</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Paul E. Rothamel,</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859,615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1,260,000</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261,561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2,381,176</w:t>
            </w:r>
          </w:p>
        </w:tc>
        <w:tc>
          <w:tcPr>
            <w:tcW w:w="0" w:type="dxa"/>
            <w:vAlign w:val="bottom"/>
          </w:tcPr>
          <w:p>
            <w:pPr>
              <w:spacing w:after="0"/>
              <w:rPr>
                <w:sz w:val="1"/>
                <w:szCs w:val="1"/>
                <w:color w:val="auto"/>
              </w:rPr>
            </w:pPr>
          </w:p>
        </w:tc>
      </w:tr>
      <w:tr>
        <w:trPr>
          <w:trHeight w:val="251"/>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President and Chief Executive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5,952,000</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1,687,500</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178,619</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8,568,119</w:t>
            </w:r>
          </w:p>
        </w:tc>
        <w:tc>
          <w:tcPr>
            <w:tcW w:w="0" w:type="dxa"/>
            <w:vAlign w:val="bottom"/>
          </w:tcPr>
          <w:p>
            <w:pPr>
              <w:spacing w:after="0"/>
              <w:rPr>
                <w:sz w:val="1"/>
                <w:szCs w:val="1"/>
                <w:color w:val="auto"/>
              </w:rPr>
            </w:pPr>
          </w:p>
        </w:tc>
      </w:tr>
      <w:tr>
        <w:trPr>
          <w:trHeight w:val="316"/>
        </w:trPr>
        <w:tc>
          <w:tcPr>
            <w:tcW w:w="2640" w:type="dxa"/>
            <w:vAlign w:val="bottom"/>
            <w:shd w:val="clear" w:color="auto" w:fill="CCEEFF"/>
          </w:tcPr>
          <w:p>
            <w:pPr>
              <w:ind w:left="40"/>
              <w:spacing w:after="0" w:line="316" w:lineRule="exact"/>
              <w:rPr>
                <w:sz w:val="20"/>
                <w:szCs w:val="20"/>
                <w:color w:val="auto"/>
              </w:rPr>
            </w:pPr>
            <w:r>
              <w:rPr>
                <w:rFonts w:ascii="Arial" w:cs="Arial" w:eastAsia="Arial" w:hAnsi="Arial"/>
                <w:sz w:val="18"/>
                <w:szCs w:val="18"/>
                <w:color w:val="auto"/>
              </w:rPr>
              <w:t xml:space="preserve">Officer </w:t>
            </w:r>
            <w:r>
              <w:rPr>
                <w:rFonts w:ascii="Arial" w:cs="Arial" w:eastAsia="Arial" w:hAnsi="Arial"/>
                <w:sz w:val="28"/>
                <w:szCs w:val="28"/>
                <w:color w:val="auto"/>
                <w:vertAlign w:val="superscript"/>
              </w:rPr>
              <w:t>(5)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125,000</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329,250</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1,125,000</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893,228</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2,972,478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Stephen A. Stamp</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386,539</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450,358</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168,000</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72,405</w:t>
            </w: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1,077,302</w:t>
            </w:r>
          </w:p>
        </w:tc>
        <w:tc>
          <w:tcPr>
            <w:tcW w:w="0" w:type="dxa"/>
            <w:vAlign w:val="bottom"/>
          </w:tcPr>
          <w:p>
            <w:pPr>
              <w:spacing w:after="0"/>
              <w:rPr>
                <w:sz w:val="1"/>
                <w:szCs w:val="1"/>
                <w:color w:val="auto"/>
              </w:rPr>
            </w:pPr>
          </w:p>
        </w:tc>
      </w:tr>
      <w:tr>
        <w:trPr>
          <w:trHeight w:val="251"/>
        </w:trPr>
        <w:tc>
          <w:tcPr>
            <w:tcW w:w="2640" w:type="dxa"/>
            <w:vAlign w:val="bottom"/>
          </w:tcPr>
          <w:p>
            <w:pPr>
              <w:ind w:left="40"/>
              <w:spacing w:after="0"/>
              <w:rPr>
                <w:sz w:val="20"/>
                <w:szCs w:val="20"/>
                <w:color w:val="auto"/>
              </w:rPr>
            </w:pPr>
            <w:r>
              <w:rPr>
                <w:rFonts w:ascii="Arial" w:cs="Arial" w:eastAsia="Arial" w:hAnsi="Arial"/>
                <w:sz w:val="18"/>
                <w:szCs w:val="18"/>
                <w:color w:val="auto"/>
              </w:rPr>
              <w:t>Senior Vice President and Chief</w:t>
            </w: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308,269</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427,400</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315,000</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137,066</w:t>
            </w: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1,187,735</w:t>
            </w:r>
          </w:p>
        </w:tc>
        <w:tc>
          <w:tcPr>
            <w:tcW w:w="0" w:type="dxa"/>
            <w:vAlign w:val="bottom"/>
          </w:tcPr>
          <w:p>
            <w:pPr>
              <w:spacing w:after="0"/>
              <w:rPr>
                <w:sz w:val="1"/>
                <w:szCs w:val="1"/>
                <w:color w:val="auto"/>
              </w:rPr>
            </w:pPr>
          </w:p>
        </w:tc>
      </w:tr>
      <w:tr>
        <w:trPr>
          <w:trHeight w:val="316"/>
        </w:trPr>
        <w:tc>
          <w:tcPr>
            <w:tcW w:w="2640" w:type="dxa"/>
            <w:vAlign w:val="bottom"/>
          </w:tcPr>
          <w:p>
            <w:pPr>
              <w:ind w:left="40"/>
              <w:spacing w:after="0" w:line="316" w:lineRule="exact"/>
              <w:rPr>
                <w:sz w:val="20"/>
                <w:szCs w:val="20"/>
                <w:color w:val="auto"/>
              </w:rPr>
            </w:pPr>
            <w:r>
              <w:rPr>
                <w:rFonts w:ascii="Arial" w:cs="Arial" w:eastAsia="Arial" w:hAnsi="Arial"/>
                <w:sz w:val="18"/>
                <w:szCs w:val="18"/>
                <w:color w:val="auto"/>
              </w:rPr>
              <w:t xml:space="preserve">Financial Officer </w:t>
            </w:r>
            <w:r>
              <w:rPr>
                <w:rFonts w:ascii="Arial" w:cs="Arial" w:eastAsia="Arial" w:hAnsi="Arial"/>
                <w:sz w:val="28"/>
                <w:szCs w:val="28"/>
                <w:color w:val="auto"/>
                <w:vertAlign w:val="superscript"/>
              </w:rPr>
              <w:t>(6)</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6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Sterling B. Brinkley,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873,077</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1,260,000</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254,176</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2,387,253</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Chairman of the Board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800,000</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5,952,000</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1,800,000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188,965</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8,740,965</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3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775,000</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1,743,750</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190,750</w:t>
            </w: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2,709,500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Mark Kuchenrither,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432,837</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900,716</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236,250</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78,789</w:t>
            </w: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1,648,592</w:t>
            </w:r>
          </w:p>
        </w:tc>
        <w:tc>
          <w:tcPr>
            <w:tcW w:w="0" w:type="dxa"/>
            <w:vAlign w:val="bottom"/>
          </w:tcPr>
          <w:p>
            <w:pPr>
              <w:spacing w:after="0"/>
              <w:rPr>
                <w:sz w:val="1"/>
                <w:szCs w:val="1"/>
                <w:color w:val="auto"/>
              </w:rPr>
            </w:pPr>
          </w:p>
        </w:tc>
      </w:tr>
      <w:tr>
        <w:trPr>
          <w:trHeight w:val="310"/>
        </w:trPr>
        <w:tc>
          <w:tcPr>
            <w:tcW w:w="2640" w:type="dxa"/>
            <w:vAlign w:val="bottom"/>
          </w:tcPr>
          <w:p>
            <w:pPr>
              <w:ind w:left="40"/>
              <w:spacing w:after="0"/>
              <w:rPr>
                <w:sz w:val="20"/>
                <w:szCs w:val="20"/>
                <w:color w:val="auto"/>
              </w:rPr>
            </w:pPr>
            <w:r>
              <w:rPr>
                <w:rFonts w:ascii="Arial" w:cs="Arial" w:eastAsia="Arial" w:hAnsi="Arial"/>
                <w:sz w:val="18"/>
                <w:szCs w:val="18"/>
                <w:color w:val="auto"/>
              </w:rPr>
              <w:t>Executive Vice President and</w:t>
            </w: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6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386,250</w:t>
            </w:r>
          </w:p>
        </w:tc>
        <w:tc>
          <w:tcPr>
            <w:tcW w:w="28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198,400</w:t>
            </w:r>
          </w:p>
        </w:tc>
        <w:tc>
          <w:tcPr>
            <w:tcW w:w="20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434,531</w:t>
            </w:r>
          </w:p>
        </w:tc>
        <w:tc>
          <w:tcPr>
            <w:tcW w:w="300" w:type="dxa"/>
            <w:vAlign w:val="bottom"/>
          </w:tcPr>
          <w:p>
            <w:pPr>
              <w:spacing w:after="0"/>
              <w:rPr>
                <w:sz w:val="24"/>
                <w:szCs w:val="24"/>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338,524</w:t>
            </w:r>
          </w:p>
        </w:tc>
        <w:tc>
          <w:tcPr>
            <w:tcW w:w="3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1,357,705</w:t>
            </w: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President, Change Capital</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199,039</w:t>
            </w: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215,200</w:t>
            </w:r>
          </w:p>
        </w:tc>
        <w:tc>
          <w:tcPr>
            <w:tcW w:w="20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267,188</w:t>
            </w:r>
          </w:p>
        </w:tc>
        <w:tc>
          <w:tcPr>
            <w:tcW w:w="30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175,085</w:t>
            </w:r>
          </w:p>
        </w:tc>
        <w:tc>
          <w:tcPr>
            <w:tcW w:w="3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856,512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Eric Fosse,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443,269</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450,358</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234,000</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91,140</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1,218,767</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President, U.S Financial and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418,250</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668,200</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627,750</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87,977</w:t>
            </w: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1,802,177</w:t>
            </w:r>
          </w:p>
        </w:tc>
        <w:tc>
          <w:tcPr>
            <w:tcW w:w="0" w:type="dxa"/>
            <w:vAlign w:val="bottom"/>
          </w:tcPr>
          <w:p>
            <w:pPr>
              <w:spacing w:after="0"/>
              <w:rPr>
                <w:sz w:val="1"/>
                <w:szCs w:val="1"/>
                <w:color w:val="auto"/>
              </w:rPr>
            </w:pPr>
          </w:p>
        </w:tc>
      </w:tr>
      <w:tr>
        <w:trPr>
          <w:trHeight w:val="291"/>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 Services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3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400,000</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131,700</w:t>
            </w: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487,600</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90,734</w:t>
            </w: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1,110,034</w:t>
            </w:r>
          </w:p>
        </w:tc>
        <w:tc>
          <w:tcPr>
            <w:tcW w:w="0" w:type="dxa"/>
            <w:vAlign w:val="bottom"/>
          </w:tcPr>
          <w:p>
            <w:pPr>
              <w:spacing w:after="0"/>
              <w:rPr>
                <w:sz w:val="1"/>
                <w:szCs w:val="1"/>
                <w:color w:val="auto"/>
              </w:rPr>
            </w:pPr>
          </w:p>
        </w:tc>
      </w:tr>
      <w:tr>
        <w:trPr>
          <w:trHeight w:val="20"/>
        </w:trPr>
        <w:tc>
          <w:tcPr>
            <w:tcW w:w="2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 shown for Mr. Rothamel represents a sign-on bonus that we paid to Mr. Rothamel pursuant to the terms of his employment agreement.</w:t>
      </w:r>
    </w:p>
    <w:p>
      <w:pPr>
        <w:spacing w:after="0" w:line="113" w:lineRule="exact"/>
        <w:rPr>
          <w:rFonts w:ascii="Arial" w:cs="Arial" w:eastAsia="Arial" w:hAnsi="Arial"/>
          <w:sz w:val="16"/>
          <w:szCs w:val="16"/>
          <w:color w:val="auto"/>
        </w:rPr>
      </w:pPr>
    </w:p>
    <w:p>
      <w:pPr>
        <w:jc w:val="both"/>
        <w:ind w:left="340" w:right="360" w:hanging="332"/>
        <w:spacing w:after="0" w:line="261"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restricted stock awards, computed in accordance with FASB ASC Topic 718. See Note I to our Consolidated Financial Statements included in “Item 8 — Financial Statements and Supplemental Data.” The actual value realized by the Named Executive Officer with respect to stock awards will depend on the market value of our stock on the date the stock is sold.</w:t>
      </w:r>
    </w:p>
    <w:p>
      <w:pPr>
        <w:spacing w:after="0" w:line="75" w:lineRule="exact"/>
        <w:rPr>
          <w:rFonts w:ascii="Arial" w:cs="Arial" w:eastAsia="Arial" w:hAnsi="Arial"/>
          <w:sz w:val="16"/>
          <w:szCs w:val="16"/>
          <w:color w:val="auto"/>
        </w:rPr>
      </w:pPr>
    </w:p>
    <w:p>
      <w:pPr>
        <w:ind w:left="340" w:right="34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represent the cash awards earned under the Incentive Compensation Plan, which is discussed in further detail in “Compensation Discussion and Analysis — Components of Compensation — Annual Incentive Bonus.”</w:t>
      </w:r>
    </w:p>
    <w:p>
      <w:pPr>
        <w:spacing w:after="0" w:line="64" w:lineRule="exact"/>
        <w:rPr>
          <w:rFonts w:ascii="Arial" w:cs="Arial" w:eastAsia="Arial" w:hAnsi="Arial"/>
          <w:sz w:val="16"/>
          <w:szCs w:val="16"/>
          <w:color w:val="auto"/>
        </w:rPr>
      </w:pPr>
    </w:p>
    <w:p>
      <w:pPr>
        <w:ind w:left="340" w:right="160" w:hanging="332"/>
        <w:spacing w:after="0" w:line="261"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include the cost of providing various perquisites and personal benefits, as well as the value of our contributions to the company-sponsored 401(k) plan and Supplemental Executive Retirement Plan. For detail of the amounts shown for each Named Executive Officer, see the table under “Other Benefits and Perquisites — All Other Compensation” below.</w:t>
      </w:r>
    </w:p>
    <w:p>
      <w:pPr>
        <w:spacing w:after="0" w:line="75" w:lineRule="exact"/>
        <w:rPr>
          <w:rFonts w:ascii="Arial" w:cs="Arial" w:eastAsia="Arial" w:hAnsi="Arial"/>
          <w:sz w:val="16"/>
          <w:szCs w:val="16"/>
          <w:color w:val="auto"/>
        </w:rPr>
      </w:pPr>
    </w:p>
    <w:p>
      <w:pPr>
        <w:jc w:val="both"/>
        <w:ind w:left="340" w:right="60" w:hanging="332"/>
        <w:spacing w:after="0" w:line="261"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Rothamel was promoted to President and Chief Executive Officer (principal executive officer) effective November 1, 2010. The amounts shown for fiscal 2010 were paid to Mr. Rothamel in his capacities as Executive Vice President and Chief Operating Officer (from October 1, 2009 through February 9, 2010) and President and Chief Operating Officer (from February 10, 2010 through September 30, 2010).</w:t>
      </w:r>
    </w:p>
    <w:p>
      <w:pPr>
        <w:spacing w:after="0" w:line="75" w:lineRule="exact"/>
        <w:rPr>
          <w:rFonts w:ascii="Arial" w:cs="Arial" w:eastAsia="Arial" w:hAnsi="Arial"/>
          <w:sz w:val="16"/>
          <w:szCs w:val="16"/>
          <w:color w:val="auto"/>
        </w:rPr>
      </w:pPr>
    </w:p>
    <w:p>
      <w:pPr>
        <w:ind w:left="340" w:right="32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Stamp joined the company as Senior Vice President and Chief Financial Officer (principal financial officer) on November 2, 2010. Mr. Stamp left the company in October 2012, and Mr. Kuchenrither is now serving as Chief Financial Officer (principal financial officer).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Based Awards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sets forth certain information about plan-based awards that we made to the Named Executive Officers during fiscal 2012. For information about the plans under which these awards were granted, see the discussion under “Components of Compensation — Annual Incentive Bonus” and “Components of Compensation — Long-Term Incentives” in the Compensation Discussion and Analysis above.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Grants of Plan-Based Awards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Estimated Future Payouts Under</w:t>
            </w:r>
          </w:p>
        </w:tc>
        <w:tc>
          <w:tcPr>
            <w:tcW w:w="1340" w:type="dxa"/>
            <w:vAlign w:val="bottom"/>
          </w:tcPr>
          <w:p>
            <w:pPr>
              <w:jc w:val="center"/>
              <w:ind w:left="278"/>
              <w:spacing w:after="0"/>
              <w:rPr>
                <w:sz w:val="20"/>
                <w:szCs w:val="20"/>
                <w:color w:val="auto"/>
              </w:rPr>
            </w:pPr>
            <w:r>
              <w:rPr>
                <w:rFonts w:ascii="Arial" w:cs="Arial" w:eastAsia="Arial" w:hAnsi="Arial"/>
                <w:sz w:val="14"/>
                <w:szCs w:val="14"/>
                <w:b w:val="1"/>
                <w:bCs w:val="1"/>
                <w:color w:val="auto"/>
                <w:w w:val="92"/>
              </w:rPr>
              <w:t>Stock Awards: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Non-Equity Incentive Plan Awards (1)</w:t>
            </w:r>
          </w:p>
        </w:tc>
        <w:tc>
          <w:tcPr>
            <w:tcW w:w="100" w:type="dxa"/>
            <w:vAlign w:val="bottom"/>
          </w:tcPr>
          <w:p>
            <w:pPr>
              <w:spacing w:after="0"/>
              <w:rPr>
                <w:sz w:val="16"/>
                <w:szCs w:val="16"/>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Number of Shares of</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0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Grant Date</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Stock or Units (2)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Fair Value (3)</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Paul E. Rothamel</w:t>
            </w:r>
          </w:p>
        </w:tc>
        <w:tc>
          <w:tcPr>
            <w:tcW w:w="206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10/1/2011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  1,725,000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  2,587,500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Stephen A. Stamp</w:t>
            </w:r>
          </w:p>
        </w:tc>
        <w:tc>
          <w:tcPr>
            <w:tcW w:w="2060" w:type="dxa"/>
            <w:vAlign w:val="bottom"/>
          </w:tcPr>
          <w:p>
            <w:pPr>
              <w:jc w:val="right"/>
              <w:ind w:right="293"/>
              <w:spacing w:after="0"/>
              <w:rPr>
                <w:sz w:val="20"/>
                <w:szCs w:val="20"/>
                <w:color w:val="auto"/>
              </w:rPr>
            </w:pPr>
            <w:r>
              <w:rPr>
                <w:rFonts w:ascii="Arial" w:cs="Arial" w:eastAsia="Arial" w:hAnsi="Arial"/>
                <w:sz w:val="18"/>
                <w:szCs w:val="18"/>
                <w:color w:val="auto"/>
              </w:rPr>
              <w:t>10/1/2011</w:t>
            </w:r>
          </w:p>
        </w:tc>
        <w:tc>
          <w:tcPr>
            <w:tcW w:w="120" w:type="dxa"/>
            <w:vAlign w:val="bottom"/>
          </w:tcPr>
          <w:p>
            <w:pPr>
              <w:spacing w:after="0"/>
              <w:rPr>
                <w:sz w:val="21"/>
                <w:szCs w:val="21"/>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232,500</w:t>
            </w: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348,750</w:t>
            </w:r>
          </w:p>
        </w:tc>
        <w:tc>
          <w:tcPr>
            <w:tcW w:w="10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16,600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450,358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Sterling B. Brinkley</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10/1/2011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1,750,000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2,625,000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8"/>
                <w:szCs w:val="18"/>
                <w:color w:val="auto"/>
              </w:rPr>
              <w:t>Mark Kuchenrither</w:t>
            </w:r>
          </w:p>
        </w:tc>
        <w:tc>
          <w:tcPr>
            <w:tcW w:w="2060" w:type="dxa"/>
            <w:vAlign w:val="bottom"/>
          </w:tcPr>
          <w:p>
            <w:pPr>
              <w:jc w:val="right"/>
              <w:spacing w:after="0"/>
              <w:rPr>
                <w:sz w:val="20"/>
                <w:szCs w:val="20"/>
                <w:color w:val="auto"/>
              </w:rPr>
            </w:pPr>
            <w:r>
              <w:rPr>
                <w:rFonts w:ascii="Arial" w:cs="Arial" w:eastAsia="Arial" w:hAnsi="Arial"/>
                <w:sz w:val="18"/>
                <w:szCs w:val="18"/>
                <w:color w:val="auto"/>
              </w:rPr>
              <w:t>10/1/2011</w:t>
            </w:r>
          </w:p>
        </w:tc>
        <w:tc>
          <w:tcPr>
            <w:tcW w:w="120" w:type="dxa"/>
            <w:vAlign w:val="bottom"/>
          </w:tcPr>
          <w:p>
            <w:pPr>
              <w:spacing w:after="0"/>
              <w:rPr>
                <w:sz w:val="22"/>
                <w:szCs w:val="22"/>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325,547</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488,320</w:t>
            </w:r>
          </w:p>
        </w:tc>
        <w:tc>
          <w:tcPr>
            <w:tcW w:w="100" w:type="dxa"/>
            <w:vAlign w:val="bottom"/>
          </w:tcPr>
          <w:p>
            <w:pPr>
              <w:spacing w:after="0"/>
              <w:rPr>
                <w:sz w:val="22"/>
                <w:szCs w:val="22"/>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33,200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900,716</w:t>
            </w:r>
          </w:p>
        </w:tc>
        <w:tc>
          <w:tcPr>
            <w:tcW w:w="0" w:type="dxa"/>
            <w:vAlign w:val="bottom"/>
          </w:tcPr>
          <w:p>
            <w:pPr>
              <w:spacing w:after="0"/>
              <w:rPr>
                <w:sz w:val="1"/>
                <w:szCs w:val="1"/>
                <w:color w:val="auto"/>
              </w:rPr>
            </w:pPr>
          </w:p>
        </w:tc>
      </w:tr>
      <w:tr>
        <w:trPr>
          <w:trHeight w:val="270"/>
        </w:trPr>
        <w:tc>
          <w:tcPr>
            <w:tcW w:w="2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Eric Fosse</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10/1/2011</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443,750</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665,625</w:t>
            </w:r>
          </w:p>
        </w:tc>
        <w:tc>
          <w:tcPr>
            <w:tcW w:w="1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16,600</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450,358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right="60" w:hanging="332"/>
        <w:spacing w:after="0" w:line="253"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target amounts are the target awards under the fiscal 2012 Incentive Compensation Program. They represent a specified percentage of the Named Executive Officer’s fiscal 2012 base salary. The threshold amount reflects the fact that no incentive plan awards would have been payable if the minimum financial and other specified incentive goals were not achieved. For actual award amounts, see the “Non-Equity Incentive Plan Compensation” column in the Summary Compensation Table above. More information regarding the Incentive Compensation Program can be found in “Compensation Discussion and Analysis — Components of Compensation — Annual Incentive Bonus.”</w:t>
      </w:r>
    </w:p>
    <w:p>
      <w:pPr>
        <w:spacing w:after="0" w:line="83" w:lineRule="exact"/>
        <w:rPr>
          <w:rFonts w:ascii="Arial" w:cs="Arial" w:eastAsia="Arial" w:hAnsi="Arial"/>
          <w:sz w:val="16"/>
          <w:szCs w:val="16"/>
          <w:color w:val="auto"/>
        </w:rPr>
      </w:pPr>
    </w:p>
    <w:p>
      <w:pPr>
        <w:ind w:left="340" w:right="700" w:hanging="332"/>
        <w:spacing w:after="0" w:line="27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number of shares of restricted stock awarded in fiscal 2012. In the event of the holder’s death or disability, the vesting of unvested shares will be accelerated.</w:t>
      </w:r>
    </w:p>
    <w:p>
      <w:pPr>
        <w:spacing w:after="0" w:line="64"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full grant date fair value of fiscal 2012 equity awards. This is the amount we will expense in our financial statements over the awards’ vesting schedules.</w:t>
      </w:r>
    </w:p>
    <w:p>
      <w:pPr>
        <w:spacing w:after="0" w:line="136" w:lineRule="exact"/>
        <w:rPr>
          <w:rFonts w:ascii="Arial" w:cs="Arial" w:eastAsia="Arial" w:hAnsi="Arial"/>
          <w:sz w:val="14"/>
          <w:szCs w:val="14"/>
          <w:color w:val="auto"/>
        </w:rPr>
      </w:pPr>
    </w:p>
    <w:p>
      <w:pPr>
        <w:ind w:left="340" w:right="220" w:hanging="332"/>
        <w:spacing w:after="0" w:line="286" w:lineRule="auto"/>
        <w:tabs>
          <w:tab w:leader="none" w:pos="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These shares vest pro rata over three years (one-third on the first anniversary of the grant date, one-third on the second anniversary of the grant date and the remaining one-third on the third anniversary of the grant date), subject to the achievement of specified performance objectives. Mr. Stamp left the Company in October 2012 after the first one-third of his award (5,334 shares) had vested; he forfeited the remaining unvested portion of the award (11,266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125" w:right="25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certain information about outstanding stock awards held by the Named Executive Officers as of the end of fiscal 2012. None of the Named Executive Officers holds any stock options.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Stock Awards</w:t>
            </w:r>
          </w:p>
        </w:tc>
        <w:tc>
          <w:tcPr>
            <w:tcW w:w="1840" w:type="dxa"/>
            <w:vAlign w:val="bottom"/>
            <w:tcBorders>
              <w:bottom w:val="single" w:sz="8" w:color="auto"/>
            </w:tcBorders>
          </w:tcPr>
          <w:p>
            <w:pPr>
              <w:spacing w:after="0"/>
              <w:rPr>
                <w:sz w:val="16"/>
                <w:szCs w:val="16"/>
                <w:color w:val="auto"/>
              </w:rPr>
            </w:pPr>
          </w:p>
        </w:tc>
      </w:tr>
      <w:tr>
        <w:trPr>
          <w:trHeight w:val="152"/>
        </w:trPr>
        <w:tc>
          <w:tcPr>
            <w:tcW w:w="5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Number of Shares or Units of</w:t>
            </w:r>
          </w:p>
        </w:tc>
        <w:tc>
          <w:tcPr>
            <w:tcW w:w="280" w:type="dxa"/>
            <w:vAlign w:val="bottom"/>
          </w:tcPr>
          <w:p>
            <w:pPr>
              <w:spacing w:after="0"/>
              <w:rPr>
                <w:sz w:val="13"/>
                <w:szCs w:val="13"/>
                <w:color w:val="auto"/>
              </w:rPr>
            </w:pPr>
          </w:p>
        </w:tc>
        <w:tc>
          <w:tcPr>
            <w:tcW w:w="1840" w:type="dxa"/>
            <w:vAlign w:val="bottom"/>
          </w:tcPr>
          <w:p>
            <w:pPr>
              <w:jc w:val="center"/>
              <w:ind w:right="121"/>
              <w:spacing w:after="0" w:line="153" w:lineRule="exact"/>
              <w:rPr>
                <w:sz w:val="20"/>
                <w:szCs w:val="20"/>
                <w:color w:val="auto"/>
              </w:rPr>
            </w:pPr>
            <w:r>
              <w:rPr>
                <w:rFonts w:ascii="Arial" w:cs="Arial" w:eastAsia="Arial" w:hAnsi="Arial"/>
                <w:sz w:val="14"/>
                <w:szCs w:val="14"/>
                <w:b w:val="1"/>
                <w:bCs w:val="1"/>
                <w:color w:val="auto"/>
                <w:w w:val="95"/>
              </w:rPr>
              <w:t>Market Value of Shares or</w:t>
            </w:r>
          </w:p>
        </w:tc>
      </w:tr>
      <w:tr>
        <w:trPr>
          <w:trHeight w:val="186"/>
        </w:trPr>
        <w:tc>
          <w:tcPr>
            <w:tcW w:w="5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ind w:left="44"/>
              <w:spacing w:after="0"/>
              <w:rPr>
                <w:sz w:val="20"/>
                <w:szCs w:val="20"/>
                <w:color w:val="auto"/>
              </w:rPr>
            </w:pPr>
            <w:r>
              <w:rPr>
                <w:rFonts w:ascii="Arial" w:cs="Arial" w:eastAsia="Arial" w:hAnsi="Arial"/>
                <w:sz w:val="14"/>
                <w:szCs w:val="14"/>
                <w:b w:val="1"/>
                <w:bCs w:val="1"/>
                <w:color w:val="auto"/>
                <w:w w:val="92"/>
              </w:rPr>
              <w:t>Stock That</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Units of Stock</w:t>
            </w:r>
          </w:p>
        </w:tc>
      </w:tr>
      <w:tr>
        <w:trPr>
          <w:trHeight w:val="27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Award Date</w:t>
            </w: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92"/>
              </w:rPr>
              <w:t>Have Not Vested</w:t>
            </w: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That Have Not Vested (1)</w:t>
            </w:r>
          </w:p>
        </w:tc>
      </w:tr>
      <w:tr>
        <w:trPr>
          <w:trHeight w:val="23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Paul E. Rothamel</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10/1/2009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573,250</w:t>
            </w:r>
          </w:p>
        </w:tc>
      </w:tr>
      <w:tr>
        <w:trPr>
          <w:trHeight w:val="283"/>
        </w:trPr>
        <w:tc>
          <w:tcPr>
            <w:tcW w:w="55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10/1/2010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6,879,000</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Stephen A. Stamp</w:t>
            </w:r>
          </w:p>
        </w:tc>
        <w:tc>
          <w:tcPr>
            <w:tcW w:w="1240" w:type="dxa"/>
            <w:vAlign w:val="bottom"/>
          </w:tcPr>
          <w:p>
            <w:pPr>
              <w:jc w:val="right"/>
              <w:spacing w:after="0"/>
              <w:rPr>
                <w:sz w:val="20"/>
                <w:szCs w:val="20"/>
                <w:color w:val="auto"/>
              </w:rPr>
            </w:pPr>
            <w:r>
              <w:rPr>
                <w:rFonts w:ascii="Arial" w:cs="Arial" w:eastAsia="Arial" w:hAnsi="Arial"/>
                <w:sz w:val="16"/>
                <w:szCs w:val="16"/>
                <w:color w:val="auto"/>
              </w:rPr>
              <w:t>11/2/2010</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13,333</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0"/>
                <w:szCs w:val="20"/>
                <w:color w:val="auto"/>
              </w:rPr>
            </w:pPr>
          </w:p>
        </w:tc>
        <w:tc>
          <w:tcPr>
            <w:tcW w:w="1840" w:type="dxa"/>
            <w:vAlign w:val="bottom"/>
          </w:tcPr>
          <w:p>
            <w:pPr>
              <w:jc w:val="right"/>
              <w:ind w:right="21"/>
              <w:spacing w:after="0"/>
              <w:rPr>
                <w:sz w:val="20"/>
                <w:szCs w:val="20"/>
                <w:color w:val="auto"/>
              </w:rPr>
            </w:pPr>
            <w:r>
              <w:rPr>
                <w:rFonts w:ascii="Arial" w:cs="Arial" w:eastAsia="Arial" w:hAnsi="Arial"/>
                <w:sz w:val="16"/>
                <w:szCs w:val="16"/>
                <w:color w:val="auto"/>
              </w:rPr>
              <w:t>305,726</w:t>
            </w:r>
          </w:p>
        </w:tc>
      </w:tr>
      <w:tr>
        <w:trPr>
          <w:trHeight w:val="270"/>
        </w:trPr>
        <w:tc>
          <w:tcPr>
            <w:tcW w:w="55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10/3/2011</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16,600</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3"/>
                <w:szCs w:val="23"/>
                <w:color w:val="auto"/>
              </w:rPr>
            </w:pPr>
          </w:p>
        </w:tc>
        <w:tc>
          <w:tcPr>
            <w:tcW w:w="1840" w:type="dxa"/>
            <w:vAlign w:val="bottom"/>
          </w:tcPr>
          <w:p>
            <w:pPr>
              <w:jc w:val="right"/>
              <w:ind w:right="21"/>
              <w:spacing w:after="0"/>
              <w:rPr>
                <w:sz w:val="20"/>
                <w:szCs w:val="20"/>
                <w:color w:val="auto"/>
              </w:rPr>
            </w:pPr>
            <w:r>
              <w:rPr>
                <w:rFonts w:ascii="Arial" w:cs="Arial" w:eastAsia="Arial" w:hAnsi="Arial"/>
                <w:sz w:val="16"/>
                <w:szCs w:val="16"/>
                <w:color w:val="auto"/>
              </w:rPr>
              <w:t>380,638</w:t>
            </w:r>
          </w:p>
        </w:tc>
      </w:tr>
      <w:tr>
        <w:trPr>
          <w:trHeight w:val="33"/>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Sterling B. Brinkley</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10/2/2006</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405,000</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28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9,286,650</w:t>
            </w:r>
          </w:p>
        </w:tc>
      </w:tr>
      <w:tr>
        <w:trPr>
          <w:trHeight w:val="283"/>
        </w:trPr>
        <w:tc>
          <w:tcPr>
            <w:tcW w:w="55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10/1/2010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6,879,000</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Mark Kuchenrither</w:t>
            </w:r>
          </w:p>
        </w:tc>
        <w:tc>
          <w:tcPr>
            <w:tcW w:w="1240" w:type="dxa"/>
            <w:vAlign w:val="bottom"/>
          </w:tcPr>
          <w:p>
            <w:pPr>
              <w:jc w:val="right"/>
              <w:spacing w:after="0"/>
              <w:rPr>
                <w:sz w:val="20"/>
                <w:szCs w:val="20"/>
                <w:color w:val="auto"/>
              </w:rPr>
            </w:pPr>
            <w:r>
              <w:rPr>
                <w:rFonts w:ascii="Arial" w:cs="Arial" w:eastAsia="Arial" w:hAnsi="Arial"/>
                <w:sz w:val="16"/>
                <w:szCs w:val="16"/>
                <w:color w:val="auto"/>
              </w:rPr>
              <w:t>3/11/2010</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0"/>
                <w:szCs w:val="20"/>
                <w:color w:val="auto"/>
              </w:rPr>
            </w:pPr>
          </w:p>
        </w:tc>
        <w:tc>
          <w:tcPr>
            <w:tcW w:w="1840" w:type="dxa"/>
            <w:vAlign w:val="bottom"/>
          </w:tcPr>
          <w:p>
            <w:pPr>
              <w:jc w:val="right"/>
              <w:ind w:right="21"/>
              <w:spacing w:after="0"/>
              <w:rPr>
                <w:sz w:val="20"/>
                <w:szCs w:val="20"/>
                <w:color w:val="auto"/>
              </w:rPr>
            </w:pPr>
            <w:r>
              <w:rPr>
                <w:rFonts w:ascii="Arial" w:cs="Arial" w:eastAsia="Arial" w:hAnsi="Arial"/>
                <w:sz w:val="16"/>
                <w:szCs w:val="16"/>
                <w:color w:val="auto"/>
              </w:rPr>
              <w:t>229,300</w:t>
            </w:r>
          </w:p>
        </w:tc>
      </w:tr>
      <w:tr>
        <w:trPr>
          <w:trHeight w:val="270"/>
        </w:trPr>
        <w:tc>
          <w:tcPr>
            <w:tcW w:w="55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10/1/2010</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6,666</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3"/>
                <w:szCs w:val="23"/>
                <w:color w:val="auto"/>
              </w:rPr>
            </w:pPr>
          </w:p>
        </w:tc>
        <w:tc>
          <w:tcPr>
            <w:tcW w:w="1840" w:type="dxa"/>
            <w:vAlign w:val="bottom"/>
          </w:tcPr>
          <w:p>
            <w:pPr>
              <w:jc w:val="right"/>
              <w:ind w:right="21"/>
              <w:spacing w:after="0"/>
              <w:rPr>
                <w:sz w:val="20"/>
                <w:szCs w:val="20"/>
                <w:color w:val="auto"/>
              </w:rPr>
            </w:pPr>
            <w:r>
              <w:rPr>
                <w:rFonts w:ascii="Arial" w:cs="Arial" w:eastAsia="Arial" w:hAnsi="Arial"/>
                <w:sz w:val="16"/>
                <w:szCs w:val="16"/>
                <w:color w:val="auto"/>
              </w:rPr>
              <w:t>152,851</w:t>
            </w:r>
          </w:p>
        </w:tc>
      </w:tr>
      <w:tr>
        <w:trPr>
          <w:trHeight w:val="270"/>
        </w:trPr>
        <w:tc>
          <w:tcPr>
            <w:tcW w:w="55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10/3/2011</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33,200</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3"/>
                <w:szCs w:val="23"/>
                <w:color w:val="auto"/>
              </w:rPr>
            </w:pPr>
          </w:p>
        </w:tc>
        <w:tc>
          <w:tcPr>
            <w:tcW w:w="1840" w:type="dxa"/>
            <w:vAlign w:val="bottom"/>
          </w:tcPr>
          <w:p>
            <w:pPr>
              <w:jc w:val="right"/>
              <w:ind w:right="21"/>
              <w:spacing w:after="0"/>
              <w:rPr>
                <w:sz w:val="20"/>
                <w:szCs w:val="20"/>
                <w:color w:val="auto"/>
              </w:rPr>
            </w:pPr>
            <w:r>
              <w:rPr>
                <w:rFonts w:ascii="Arial" w:cs="Arial" w:eastAsia="Arial" w:hAnsi="Arial"/>
                <w:sz w:val="16"/>
                <w:szCs w:val="16"/>
                <w:color w:val="auto"/>
              </w:rPr>
              <w:t>761,276</w:t>
            </w:r>
          </w:p>
        </w:tc>
      </w:tr>
      <w:tr>
        <w:trPr>
          <w:trHeight w:val="33"/>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Eric Fosse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10/1/2009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229,300</w:t>
            </w:r>
          </w:p>
        </w:tc>
      </w:tr>
      <w:tr>
        <w:trPr>
          <w:trHeight w:val="270"/>
        </w:trPr>
        <w:tc>
          <w:tcPr>
            <w:tcW w:w="55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10/1/2010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6,666</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28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152,851</w:t>
            </w:r>
          </w:p>
        </w:tc>
      </w:tr>
      <w:tr>
        <w:trPr>
          <w:trHeight w:val="270"/>
        </w:trPr>
        <w:tc>
          <w:tcPr>
            <w:tcW w:w="55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3/28/2011</w:t>
            </w: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28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229,300</w:t>
            </w:r>
          </w:p>
        </w:tc>
      </w:tr>
      <w:tr>
        <w:trPr>
          <w:trHeight w:val="283"/>
        </w:trPr>
        <w:tc>
          <w:tcPr>
            <w:tcW w:w="55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10/3/2011</w:t>
            </w:r>
          </w:p>
        </w:tc>
        <w:tc>
          <w:tcPr>
            <w:tcW w:w="1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16,600</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380,638</w:t>
            </w:r>
          </w:p>
        </w:tc>
      </w:tr>
      <w:tr>
        <w:trPr>
          <w:trHeight w:val="20"/>
        </w:trPr>
        <w:tc>
          <w:tcPr>
            <w:tcW w:w="55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44" w:lineRule="exact"/>
        <w:rPr>
          <w:sz w:val="20"/>
          <w:szCs w:val="20"/>
          <w:color w:val="auto"/>
        </w:rPr>
      </w:pPr>
    </w:p>
    <w:p>
      <w:pPr>
        <w:ind w:left="340" w:right="300" w:hanging="332"/>
        <w:spacing w:after="0" w:line="264"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Market value is based on the closing price of our Class A Non-voting Common Stock on September 28, 2012, the last market trading day of the Company's fiscal year ($22.93).</w:t>
      </w: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shares vested on October 1, 2012.</w:t>
      </w:r>
    </w:p>
    <w:p>
      <w:pPr>
        <w:spacing w:after="0" w:line="32" w:lineRule="exact"/>
        <w:rPr>
          <w:rFonts w:ascii="Arial" w:cs="Arial" w:eastAsia="Arial" w:hAnsi="Arial"/>
          <w:sz w:val="16"/>
          <w:szCs w:val="16"/>
          <w:color w:val="auto"/>
        </w:rPr>
      </w:pPr>
    </w:p>
    <w:p>
      <w:pPr>
        <w:ind w:left="340" w:right="120" w:hanging="332"/>
        <w:spacing w:after="0" w:line="251"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One-third (100,000) of these shares vested on October 1, 2012. Of the remaining shares, 100,000 vest on October 1, 2014 and 100,000 on October 1, 2016 so long as, at each vesting date, the company has achieved an average annual compounded growth rate in EBITDA of at least 5% when compared to the company’s EBITDA for fiscal 2010. Any shares that do not vest as a result of the failure to attain the applicable performance goal will vest on the next succeeding vesting date so long as the performance goal for that succeeding vesting date has been attained.</w:t>
      </w:r>
    </w:p>
    <w:p>
      <w:pPr>
        <w:ind w:left="340" w:right="20"/>
        <w:spacing w:after="0" w:line="249" w:lineRule="auto"/>
        <w:rPr>
          <w:rFonts w:ascii="Arial" w:cs="Arial" w:eastAsia="Arial" w:hAnsi="Arial"/>
          <w:sz w:val="16"/>
          <w:szCs w:val="16"/>
          <w:color w:val="auto"/>
        </w:rPr>
      </w:pPr>
      <w:r>
        <w:rPr>
          <w:rFonts w:ascii="Arial" w:cs="Arial" w:eastAsia="Arial" w:hAnsi="Arial"/>
          <w:sz w:val="16"/>
          <w:szCs w:val="16"/>
          <w:color w:val="auto"/>
        </w:rPr>
        <w:t>EBITDA for any fiscal year is calculated from the company’s audited consolidated financial statements for such year, and shall be equal to the company’s consolidated net income before interest, taxes, depreciation and amortization, excluding (a) all extraordinary items as defined by generally accepted accounting principles and (b) any recorded expenses associated with the termination of Mr. Rotunda’s employment with the company and any recorded expenses associated with the acceleration of vesting of restricted stock held by Mr. Brinkley or Mr. Rotunda (regardless of whether such expenses are considered to be extraordinary items under generally accepted accounting principles).</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of these shares were forfeited when Mr. Stamp left the company on October 5, 2012.</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One-third (5,534) of these shares vested on October 3, 2012. The remaining 11,066 shares were forfeited when Mr. Stamp left the company on October 5, 2012.</w:t>
      </w:r>
    </w:p>
    <w:p>
      <w:pPr>
        <w:spacing w:after="0" w:line="43" w:lineRule="exact"/>
        <w:rPr>
          <w:rFonts w:ascii="Arial" w:cs="Arial" w:eastAsia="Arial" w:hAnsi="Arial"/>
          <w:sz w:val="15"/>
          <w:szCs w:val="15"/>
          <w:color w:val="auto"/>
        </w:rPr>
      </w:pPr>
    </w:p>
    <w:p>
      <w:pPr>
        <w:ind w:left="340" w:hanging="332"/>
        <w:spacing w:after="0" w:line="275" w:lineRule="auto"/>
        <w:tabs>
          <w:tab w:leader="none" w:pos="3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These shares vest pro rata over three years (one-third of the first anniversary of the grant date, one-third on the second anniversary of the grant date and the remaining one-third on the third anniversary of the grant date) so long as, at each vesting date, the company has achieved an average annual compounded growth rate in EBITDA of at least 5% when compared to the company’s EBITDA for the completed fiscal year immediately preceding the grant date.</w:t>
      </w:r>
    </w:p>
    <w:p>
      <w:pPr>
        <w:spacing w:after="0" w:line="1" w:lineRule="exact"/>
        <w:rPr>
          <w:rFonts w:ascii="Arial" w:cs="Arial" w:eastAsia="Arial" w:hAnsi="Arial"/>
          <w:sz w:val="15"/>
          <w:szCs w:val="15"/>
          <w:color w:val="auto"/>
        </w:rPr>
      </w:pPr>
    </w:p>
    <w:p>
      <w:pPr>
        <w:ind w:left="340" w:hanging="332"/>
        <w:spacing w:after="0" w:line="264"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shares vest pro rata over three years (one-third of the first anniversary of the grant date, one-third on the second anniversary of the grant date and the remaining one-third on the third anniversary of the grant date).</w:t>
      </w: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shares are part of a total grant of 675,000 shares, that vest as follows:</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20% on October 2, 2008 if the average EBITDA for fiscal 2007 and fiscal 2008 is at least 5% greater than the actual EBITDA for fiscal year 2006;</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20% on October 2, 2010 if the average EBITDA for fiscal 2009 and fiscal 2010 is at least 10% greater than the actual EBITDA for fiscal year 2006;</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20% on October 2, 2012 if the average EBITDA for fiscal 2011 and fiscal 2012 is at least 15% greater than the actual EBITDA for fiscal year 2006;</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20% on October 2, 2014 if the average EBITDA for fiscal 2013 and fiscal 2014 is at least 20% greater than the actual EBITDA for fiscal year 2006;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20% on October 2, 2016 if the average EBITDA for fiscal 2015 and fiscal 2016 is at least 25% greater than the actual EBITDA for fiscal year 2006.</w:t>
      </w:r>
    </w:p>
    <w:p>
      <w:pPr>
        <w:spacing w:after="0" w:line="5" w:lineRule="exact"/>
        <w:rPr>
          <w:sz w:val="20"/>
          <w:szCs w:val="20"/>
          <w:color w:val="auto"/>
        </w:rPr>
      </w:pPr>
    </w:p>
    <w:p>
      <w:pPr>
        <w:jc w:val="both"/>
        <w:ind w:left="340" w:right="20"/>
        <w:spacing w:after="0" w:line="246" w:lineRule="auto"/>
        <w:rPr>
          <w:sz w:val="20"/>
          <w:szCs w:val="20"/>
          <w:color w:val="auto"/>
        </w:rPr>
      </w:pPr>
      <w:r>
        <w:rPr>
          <w:rFonts w:ascii="Arial" w:cs="Arial" w:eastAsia="Arial" w:hAnsi="Arial"/>
          <w:sz w:val="16"/>
          <w:szCs w:val="16"/>
          <w:color w:val="auto"/>
        </w:rPr>
        <w:t>Any shares that do not vest as a result of the failure to attain the applicable performance goal will vest on the next succeeding vesting date so long as the performance goal for that succeeding vesting date has been attained. Upon death or disability, vesting will occur immediately on a portion of the unvested shares calculated as follows: 10% of the originally granted shares multiplied by the number of full or partial years of service since the award date, plus 20% of the originally granted shares, less the number of shares previously vested.</w:t>
      </w:r>
    </w:p>
    <w:p>
      <w:pPr>
        <w:spacing w:after="0" w:line="2" w:lineRule="exact"/>
        <w:rPr>
          <w:sz w:val="20"/>
          <w:szCs w:val="20"/>
          <w:color w:val="auto"/>
        </w:rPr>
      </w:pPr>
    </w:p>
    <w:p>
      <w:pPr>
        <w:ind w:left="340" w:right="80"/>
        <w:spacing w:after="0" w:line="281" w:lineRule="auto"/>
        <w:rPr>
          <w:sz w:val="20"/>
          <w:szCs w:val="20"/>
          <w:color w:val="auto"/>
        </w:rPr>
      </w:pPr>
      <w:r>
        <w:rPr>
          <w:rFonts w:ascii="Arial" w:cs="Arial" w:eastAsia="Arial" w:hAnsi="Arial"/>
          <w:sz w:val="14"/>
          <w:szCs w:val="14"/>
          <w:color w:val="auto"/>
        </w:rPr>
        <w:t>The performance goals for the first vestings were achieved, and those shares (270,000) vested as described above. The amount shown represents the unvested shares as of the end of fiscal 2012, which are subject to performance-based vesting as described above. Of the unvested shares shown, 135,000 vested on October 2, 2012.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(9) These shares vest on March 11, 2013.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with respect to the Named Executive Officers, certain information about option exercises and restricted stock vestings during fiscal 2012.</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940" w:type="dxa"/>
            <w:vAlign w:val="bottom"/>
            <w:tcBorders>
              <w:bottom w:val="single" w:sz="8" w:color="auto"/>
            </w:tcBorders>
            <w:gridSpan w:val="3"/>
          </w:tcPr>
          <w:p>
            <w:pPr>
              <w:jc w:val="center"/>
              <w:ind w:left="962"/>
              <w:spacing w:after="0"/>
              <w:rPr>
                <w:sz w:val="20"/>
                <w:szCs w:val="20"/>
                <w:color w:val="auto"/>
              </w:rPr>
            </w:pPr>
            <w:r>
              <w:rPr>
                <w:rFonts w:ascii="Arial" w:cs="Arial" w:eastAsia="Arial" w:hAnsi="Arial"/>
                <w:sz w:val="14"/>
                <w:szCs w:val="14"/>
                <w:b w:val="1"/>
                <w:bCs w:val="1"/>
                <w:color w:val="auto"/>
                <w:w w:val="92"/>
              </w:rPr>
              <w:t>Stock Awards</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4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300" w:type="dxa"/>
            <w:vAlign w:val="bottom"/>
          </w:tcPr>
          <w:p>
            <w:pPr>
              <w:spacing w:after="0"/>
              <w:rPr>
                <w:sz w:val="13"/>
                <w:szCs w:val="13"/>
                <w:color w:val="auto"/>
              </w:rPr>
            </w:pPr>
          </w:p>
        </w:tc>
        <w:tc>
          <w:tcPr>
            <w:tcW w:w="134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7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8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2"/>
              </w:rPr>
              <w:t>Vesting (1)</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Paul E. Rothamel</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840" w:type="dxa"/>
            <w:vAlign w:val="bottom"/>
          </w:tcPr>
          <w:p>
            <w:pPr>
              <w:ind w:left="20"/>
              <w:spacing w:after="0"/>
              <w:rPr>
                <w:sz w:val="20"/>
                <w:szCs w:val="20"/>
                <w:color w:val="auto"/>
              </w:rPr>
            </w:pPr>
            <w:r>
              <w:rPr>
                <w:rFonts w:ascii="Arial" w:cs="Arial" w:eastAsia="Arial" w:hAnsi="Arial"/>
                <w:sz w:val="18"/>
                <w:szCs w:val="18"/>
                <w:color w:val="auto"/>
              </w:rPr>
              <w:t>Stephen A. Stamp</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6,667</w:t>
            </w:r>
          </w:p>
        </w:tc>
        <w:tc>
          <w:tcPr>
            <w:tcW w:w="300" w:type="dxa"/>
            <w:vAlign w:val="bottom"/>
          </w:tcPr>
          <w:p>
            <w:pPr>
              <w:jc w:val="center"/>
              <w:spacing w:after="0"/>
              <w:rPr>
                <w:sz w:val="20"/>
                <w:szCs w:val="20"/>
                <w:color w:val="auto"/>
              </w:rPr>
            </w:pPr>
            <w:r>
              <w:rPr>
                <w:rFonts w:ascii="Arial" w:cs="Arial" w:eastAsia="Arial" w:hAnsi="Arial"/>
                <w:sz w:val="14"/>
                <w:szCs w:val="14"/>
                <w:color w:val="auto"/>
              </w:rPr>
              <w:t>(2)</w:t>
            </w:r>
          </w:p>
        </w:tc>
        <w:tc>
          <w:tcPr>
            <w:tcW w:w="3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181,942</w:t>
            </w:r>
          </w:p>
        </w:tc>
        <w:tc>
          <w:tcPr>
            <w:tcW w:w="0" w:type="dxa"/>
            <w:vAlign w:val="bottom"/>
          </w:tcPr>
          <w:p>
            <w:pPr>
              <w:spacing w:after="0"/>
              <w:rPr>
                <w:sz w:val="1"/>
                <w:szCs w:val="1"/>
                <w:color w:val="auto"/>
              </w:rPr>
            </w:pPr>
          </w:p>
        </w:tc>
      </w:tr>
      <w:tr>
        <w:trPr>
          <w:trHeight w:val="27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Sterling B. Brinkley</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840" w:type="dxa"/>
            <w:vAlign w:val="bottom"/>
          </w:tcPr>
          <w:p>
            <w:pPr>
              <w:ind w:left="20"/>
              <w:spacing w:after="0"/>
              <w:rPr>
                <w:sz w:val="20"/>
                <w:szCs w:val="20"/>
                <w:color w:val="auto"/>
              </w:rPr>
            </w:pPr>
            <w:r>
              <w:rPr>
                <w:rFonts w:ascii="Arial" w:cs="Arial" w:eastAsia="Arial" w:hAnsi="Arial"/>
                <w:sz w:val="18"/>
                <w:szCs w:val="18"/>
                <w:color w:val="auto"/>
              </w:rPr>
              <w:t>Mark Kuchenrither</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3,334</w:t>
            </w:r>
          </w:p>
        </w:tc>
        <w:tc>
          <w:tcPr>
            <w:tcW w:w="300" w:type="dxa"/>
            <w:vAlign w:val="bottom"/>
          </w:tcPr>
          <w:p>
            <w:pPr>
              <w:jc w:val="center"/>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90,985</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Eric Fosse</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18,334</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525,035</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Computed using the fair market value of the stock on the date of vesting.</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shares vested on November 23, 2011. The market value of the stock on the date of vesting was $27.29 per share.</w:t>
      </w:r>
    </w:p>
    <w:p>
      <w:pPr>
        <w:spacing w:after="0" w:line="113" w:lineRule="exact"/>
        <w:rPr>
          <w:rFonts w:ascii="Arial" w:cs="Arial" w:eastAsia="Arial" w:hAnsi="Arial"/>
          <w:sz w:val="16"/>
          <w:szCs w:val="16"/>
          <w:color w:val="auto"/>
        </w:rPr>
      </w:pPr>
    </w:p>
    <w:p>
      <w:pPr>
        <w:ind w:left="340" w:right="100" w:hanging="332"/>
        <w:spacing w:after="0" w:line="310" w:lineRule="auto"/>
        <w:tabs>
          <w:tab w:leader="none" w:pos="3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Of the shares shown, 10,000 vested on October 3, 2011 with a market value of $27.13 per share on the date of vesting, 3,334 vested on November 23, 2011 with a market value of $27.29 per share on the date of vesting and 5,000 shares vested on March 28, 2012 with a market value of $32.55 per share on the date of vesting.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9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401(k) Retirement Plan </w:t>
      </w:r>
      <w:r>
        <w:rPr>
          <w:rFonts w:ascii="Arial" w:cs="Arial" w:eastAsia="Arial" w:hAnsi="Arial"/>
          <w:sz w:val="16"/>
          <w:szCs w:val="16"/>
          <w:color w:val="auto"/>
        </w:rPr>
        <w:t>— All employees are given an opportunity to participate in our 401(k) retirement savings plan (following a new-hire waiting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This plan allows participants to have pre-tax amounts withheld from their pay and provides for a discretionary employer matching contribution (currently, a 25% match in the form of our Class A Non-voting Common Stock up to 6% of salary). Participants may invest their contributions in various fund options, but are prohibited from investing their contributions in our common stock. Participants are immediately vested in their contributions, and the company matching contributions vest over the first four years of employment and are fully vested for participants who have four or more years of service.</w:t>
      </w:r>
    </w:p>
    <w:p>
      <w:pPr>
        <w:spacing w:after="0" w:line="10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Supplemental Executive Retirement Plan </w:t>
      </w:r>
      <w:r>
        <w:rPr>
          <w:rFonts w:ascii="Arial" w:cs="Arial" w:eastAsia="Arial" w:hAnsi="Arial"/>
          <w:sz w:val="16"/>
          <w:szCs w:val="16"/>
          <w:color w:val="auto"/>
        </w:rPr>
        <w:t>— The Internal Revenue Code limits the amount of pre-tax savings that highly-paid executives can contribute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401(k) plan. To offset some of the negative impact of these limitations on retirement savings and to encourage retention of key executives, we provide selected executives with a non-qualified Supplemental Executive Retirement Plan (“SERP”). Company contributions to the SERP are formula-based, reviewed and recommended by management and approved by the Compensation Committee each year. Currently, our annual contributions to the SERP are calculated as a percentage of the sum of base salary plus target bonus, with that percentage being 9% for Senior Vice Presidents or above and 4% for Vice Presidents. The SERP has been designed to provide a potential replacement value of 10% to 20% of final pay for each participant, assuming that the individual remains with us and participates in the SERP for twenty years. There were 17 participants in the SERP during fiscal 2012.</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SERP funds have a vesting schedule as an additional retention tool. Generally, the funds vest over three years from the grant date, with one-third vesting each year. All of a participant’s SERP funds vest 100% in the event of his or her death or disability, the termination of his or her employment without cause, or the termination of the plan due to a change in control of the company. In addition, all SERP funds are 100% vested when a participant attains his or her normal retirement age (60 years old and five years of active service) while actively employed by us. All SERP funds are forfeited, regardless of vesting status, if the participant’s employment is terminated for cause.</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describes the contributions, earnings and balance at the end of fiscal 2012 for each of the Named Executive Officers who participate in the SERP:</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137795</wp:posOffset>
            </wp:positionV>
            <wp:extent cx="1080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tcPr>
          <w:p>
            <w:pPr>
              <w:jc w:val="center"/>
              <w:ind w:right="255"/>
              <w:spacing w:after="0"/>
              <w:rPr>
                <w:sz w:val="20"/>
                <w:szCs w:val="20"/>
                <w:color w:val="auto"/>
              </w:rPr>
            </w:pPr>
            <w:r>
              <w:rPr>
                <w:rFonts w:ascii="Arial" w:cs="Arial" w:eastAsia="Arial" w:hAnsi="Arial"/>
                <w:sz w:val="14"/>
                <w:szCs w:val="14"/>
                <w:b w:val="1"/>
                <w:bCs w:val="1"/>
                <w:color w:val="auto"/>
                <w:w w:val="93"/>
              </w:rPr>
              <w:t>Company</w:t>
            </w:r>
          </w:p>
        </w:tc>
        <w:tc>
          <w:tcPr>
            <w:tcW w:w="1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 Earnings in</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Aggregate Balance at</w:t>
            </w:r>
          </w:p>
        </w:tc>
        <w:tc>
          <w:tcPr>
            <w:tcW w:w="0" w:type="dxa"/>
            <w:vAlign w:val="bottom"/>
          </w:tcPr>
          <w:p>
            <w:pPr>
              <w:spacing w:after="0"/>
              <w:rPr>
                <w:sz w:val="1"/>
                <w:szCs w:val="1"/>
                <w:color w:val="auto"/>
              </w:rPr>
            </w:pPr>
          </w:p>
        </w:tc>
      </w:tr>
      <w:tr>
        <w:trPr>
          <w:trHeight w:val="149"/>
        </w:trPr>
        <w:tc>
          <w:tcPr>
            <w:tcW w:w="3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3260" w:type="dxa"/>
            <w:vAlign w:val="bottom"/>
            <w:gridSpan w:val="2"/>
          </w:tcPr>
          <w:p>
            <w:pPr>
              <w:jc w:val="center"/>
              <w:ind w:left="1579"/>
              <w:spacing w:after="0" w:line="149" w:lineRule="exact"/>
              <w:rPr>
                <w:sz w:val="20"/>
                <w:szCs w:val="20"/>
                <w:color w:val="auto"/>
              </w:rPr>
            </w:pPr>
            <w:r>
              <w:rPr>
                <w:rFonts w:ascii="Arial" w:cs="Arial" w:eastAsia="Arial" w:hAnsi="Arial"/>
                <w:sz w:val="14"/>
                <w:szCs w:val="14"/>
                <w:b w:val="1"/>
                <w:bCs w:val="1"/>
                <w:color w:val="auto"/>
                <w:w w:val="92"/>
              </w:rPr>
              <w:t>Contributions in Fiscal</w:t>
            </w:r>
          </w:p>
        </w:tc>
        <w:tc>
          <w:tcPr>
            <w:tcW w:w="162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Withdrawals/Distributions</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1"/>
              </w:rPr>
              <w:t>2012 (1)</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8"/>
              </w:rPr>
              <w:t>Fiscal 2012 (2)</w:t>
            </w: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2"/>
              </w:rPr>
              <w:t>in Fiscal 2012</w:t>
            </w: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September 30, 2012 (3)</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Paul E. Rothamel</w:t>
            </w:r>
          </w:p>
        </w:tc>
        <w:tc>
          <w:tcPr>
            <w:tcW w:w="2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243,000</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107,671</w:t>
            </w:r>
          </w:p>
        </w:tc>
        <w:tc>
          <w:tcPr>
            <w:tcW w:w="1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614,046</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Stephen A. Stamp (4)</w:t>
            </w:r>
          </w:p>
        </w:tc>
        <w:tc>
          <w:tcPr>
            <w:tcW w:w="20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57,600</w:t>
            </w:r>
          </w:p>
        </w:tc>
        <w:tc>
          <w:tcPr>
            <w:tcW w:w="26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10,618</w:t>
            </w:r>
          </w:p>
        </w:tc>
        <w:tc>
          <w:tcPr>
            <w:tcW w:w="1700" w:type="dxa"/>
            <w:vAlign w:val="bottom"/>
          </w:tcPr>
          <w:p>
            <w:pPr>
              <w:ind w:left="7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68,218</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Sterling B. Brinkley</w:t>
            </w:r>
          </w:p>
        </w:tc>
        <w:tc>
          <w:tcPr>
            <w:tcW w:w="2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243,000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212,779</w:t>
            </w:r>
          </w:p>
        </w:tc>
        <w:tc>
          <w:tcPr>
            <w:tcW w:w="1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1,262,325</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Mark Kuchenrither</w:t>
            </w:r>
          </w:p>
        </w:tc>
        <w:tc>
          <w:tcPr>
            <w:tcW w:w="20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70,875</w:t>
            </w:r>
          </w:p>
        </w:tc>
        <w:tc>
          <w:tcPr>
            <w:tcW w:w="26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25,546</w:t>
            </w:r>
          </w:p>
        </w:tc>
        <w:tc>
          <w:tcPr>
            <w:tcW w:w="1700" w:type="dxa"/>
            <w:vAlign w:val="bottom"/>
          </w:tcPr>
          <w:p>
            <w:pPr>
              <w:ind w:left="7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156,326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Eric Fosse</w:t>
            </w:r>
          </w:p>
        </w:tc>
        <w:tc>
          <w:tcPr>
            <w:tcW w:w="2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81,000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67,415</w:t>
            </w:r>
          </w:p>
        </w:tc>
        <w:tc>
          <w:tcPr>
            <w:tcW w:w="1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429,608</w:t>
            </w:r>
          </w:p>
        </w:tc>
        <w:tc>
          <w:tcPr>
            <w:tcW w:w="0" w:type="dxa"/>
            <w:vAlign w:val="bottom"/>
          </w:tcPr>
          <w:p>
            <w:pPr>
              <w:spacing w:after="0"/>
              <w:rPr>
                <w:sz w:val="1"/>
                <w:szCs w:val="1"/>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amounts were included in the Summary Compensation Table above in the column labeled “All Other Compensation.”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amounts were not included in the Summary Compensation Table above, as the earnings were not in excess of market rates.</w:t>
      </w:r>
    </w:p>
    <w:p>
      <w:pPr>
        <w:spacing w:after="0" w:line="113" w:lineRule="exact"/>
        <w:rPr>
          <w:rFonts w:ascii="Arial" w:cs="Arial" w:eastAsia="Arial" w:hAnsi="Arial"/>
          <w:sz w:val="16"/>
          <w:szCs w:val="16"/>
          <w:color w:val="auto"/>
        </w:rPr>
      </w:pPr>
    </w:p>
    <w:p>
      <w:pPr>
        <w:ind w:left="340" w:right="60" w:hanging="332"/>
        <w:spacing w:after="0" w:line="275"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Of the Aggregate Balance at September 30, 2012, the following amounts were previously reported as compensation in the Summary Compensation Tables for prior years: $258,750 for Mr. Rothamel; $0 for Mr. Stamp; $776,188 for Mr. Brinkley; $257,380 for Mr. Fosse; and $60,834 for Mr. Kuchenrither.</w:t>
      </w:r>
    </w:p>
    <w:p>
      <w:pPr>
        <w:spacing w:after="0" w:line="64"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Mr. Stamp forfeited his entire balance when he left the Company in October 2012.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 The following table describes each component of the amounts shown in the “All Other Compensation” column in the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above.</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center"/>
              <w:ind w:right="232"/>
              <w:spacing w:after="0"/>
              <w:rPr>
                <w:sz w:val="20"/>
                <w:szCs w:val="20"/>
                <w:color w:val="auto"/>
              </w:rPr>
            </w:pPr>
            <w:r>
              <w:rPr>
                <w:rFonts w:ascii="Arial" w:cs="Arial" w:eastAsia="Arial" w:hAnsi="Arial"/>
                <w:sz w:val="14"/>
                <w:szCs w:val="14"/>
                <w:b w:val="1"/>
                <w:bCs w:val="1"/>
                <w:color w:val="auto"/>
                <w:w w:val="91"/>
              </w:rPr>
              <w:t>Value of</w:t>
            </w:r>
          </w:p>
        </w:tc>
        <w:tc>
          <w:tcPr>
            <w:tcW w:w="200" w:type="dxa"/>
            <w:vAlign w:val="bottom"/>
          </w:tcPr>
          <w:p>
            <w:pPr>
              <w:spacing w:after="0"/>
              <w:rPr>
                <w:sz w:val="14"/>
                <w:szCs w:val="14"/>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5"/>
              </w:rPr>
              <w:t>Health Care</w:t>
            </w:r>
          </w:p>
        </w:tc>
        <w:tc>
          <w:tcPr>
            <w:tcW w:w="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Supplemental Life</w:t>
            </w:r>
          </w:p>
        </w:tc>
        <w:tc>
          <w:tcPr>
            <w:tcW w:w="200" w:type="dxa"/>
            <w:vAlign w:val="bottom"/>
          </w:tcPr>
          <w:p>
            <w:pPr>
              <w:spacing w:after="0"/>
              <w:rPr>
                <w:sz w:val="12"/>
                <w:szCs w:val="12"/>
                <w:color w:val="auto"/>
              </w:rPr>
            </w:pPr>
          </w:p>
        </w:tc>
        <w:tc>
          <w:tcPr>
            <w:tcW w:w="12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Defined</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7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11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Supplemental</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Insurance Premiums</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Contribution Plans</w:t>
            </w:r>
          </w:p>
        </w:tc>
        <w:tc>
          <w:tcPr>
            <w:tcW w:w="200" w:type="dxa"/>
            <w:vAlign w:val="bottom"/>
          </w:tcPr>
          <w:p>
            <w:pPr>
              <w:spacing w:after="0"/>
              <w:rPr>
                <w:sz w:val="12"/>
                <w:szCs w:val="12"/>
                <w:color w:val="auto"/>
              </w:rPr>
            </w:pPr>
          </w:p>
        </w:tc>
        <w:tc>
          <w:tcPr>
            <w:tcW w:w="16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w w:val="93"/>
              </w:rPr>
              <w:t>Other Benefits (4)</w:t>
            </w: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4"/>
              </w:rPr>
              <w:t>Insurance (1)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Paul E. Rothamel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13,266</w:t>
            </w:r>
          </w:p>
        </w:tc>
        <w:tc>
          <w:tcPr>
            <w:tcW w:w="3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246,675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261,561</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4,324</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172,425</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250</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178,619</w:t>
            </w:r>
          </w:p>
        </w:tc>
        <w:tc>
          <w:tcPr>
            <w:tcW w:w="0" w:type="dxa"/>
            <w:vAlign w:val="bottom"/>
          </w:tcPr>
          <w:p>
            <w:pPr>
              <w:spacing w:after="0"/>
              <w:rPr>
                <w:sz w:val="1"/>
                <w:szCs w:val="1"/>
                <w:color w:val="auto"/>
              </w:rPr>
            </w:pPr>
          </w:p>
        </w:tc>
      </w:tr>
      <w:tr>
        <w:trPr>
          <w:trHeight w:val="277"/>
        </w:trPr>
        <w:tc>
          <w:tcPr>
            <w:tcW w:w="3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1,683</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1,380</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90,000</w:t>
            </w:r>
          </w:p>
        </w:tc>
        <w:tc>
          <w:tcPr>
            <w:tcW w:w="2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800,165</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893,228</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Stephen A. Stamp</w:t>
            </w:r>
          </w:p>
        </w:tc>
        <w:tc>
          <w:tcPr>
            <w:tcW w:w="780" w:type="dxa"/>
            <w:vAlign w:val="bottom"/>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9,510</w:t>
            </w:r>
          </w:p>
        </w:tc>
        <w:tc>
          <w:tcPr>
            <w:tcW w:w="3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1,620</w:t>
            </w:r>
          </w:p>
        </w:tc>
        <w:tc>
          <w:tcPr>
            <w:tcW w:w="2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61,275</w:t>
            </w:r>
          </w:p>
        </w:tc>
        <w:tc>
          <w:tcPr>
            <w:tcW w:w="200" w:type="dxa"/>
            <w:vAlign w:val="bottom"/>
          </w:tcPr>
          <w:p>
            <w:pPr>
              <w:spacing w:after="0"/>
              <w:rPr>
                <w:sz w:val="21"/>
                <w:szCs w:val="21"/>
                <w:color w:val="auto"/>
              </w:rPr>
            </w:pP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72,405</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2,092</w:t>
            </w:r>
          </w:p>
        </w:tc>
        <w:tc>
          <w:tcPr>
            <w:tcW w:w="36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1,485</w:t>
            </w:r>
          </w:p>
        </w:tc>
        <w:tc>
          <w:tcPr>
            <w:tcW w:w="2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133,489</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137,066</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Sterling B. Brinkley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9,556</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243,000</w:t>
            </w: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254,176</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7,345</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180,000</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188,965</w:t>
            </w:r>
          </w:p>
        </w:tc>
        <w:tc>
          <w:tcPr>
            <w:tcW w:w="0" w:type="dxa"/>
            <w:vAlign w:val="bottom"/>
          </w:tcPr>
          <w:p>
            <w:pPr>
              <w:spacing w:after="0"/>
              <w:rPr>
                <w:sz w:val="1"/>
                <w:szCs w:val="1"/>
                <w:color w:val="auto"/>
              </w:rPr>
            </w:pPr>
          </w:p>
        </w:tc>
      </w:tr>
      <w:tr>
        <w:trPr>
          <w:trHeight w:val="277"/>
        </w:trPr>
        <w:tc>
          <w:tcPr>
            <w:tcW w:w="3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13,615</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2,760</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174,375</w:t>
            </w:r>
          </w:p>
        </w:tc>
        <w:tc>
          <w:tcPr>
            <w:tcW w:w="2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Mark Kuchenrither</w:t>
            </w:r>
          </w:p>
        </w:tc>
        <w:tc>
          <w:tcPr>
            <w:tcW w:w="780" w:type="dxa"/>
            <w:vAlign w:val="bottom"/>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6,294</w:t>
            </w:r>
          </w:p>
        </w:tc>
        <w:tc>
          <w:tcPr>
            <w:tcW w:w="3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1,620</w:t>
            </w:r>
          </w:p>
        </w:tc>
        <w:tc>
          <w:tcPr>
            <w:tcW w:w="2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70,875</w:t>
            </w:r>
          </w:p>
        </w:tc>
        <w:tc>
          <w:tcPr>
            <w:tcW w:w="200" w:type="dxa"/>
            <w:vAlign w:val="bottom"/>
          </w:tcPr>
          <w:p>
            <w:pPr>
              <w:spacing w:after="0"/>
              <w:rPr>
                <w:sz w:val="21"/>
                <w:szCs w:val="21"/>
                <w:color w:val="auto"/>
              </w:rPr>
            </w:pP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78,789</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3,828</w:t>
            </w:r>
          </w:p>
        </w:tc>
        <w:tc>
          <w:tcPr>
            <w:tcW w:w="36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1,620</w:t>
            </w:r>
          </w:p>
        </w:tc>
        <w:tc>
          <w:tcPr>
            <w:tcW w:w="2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60,834</w:t>
            </w:r>
          </w:p>
        </w:tc>
        <w:tc>
          <w:tcPr>
            <w:tcW w:w="200" w:type="dxa"/>
            <w:vAlign w:val="bottom"/>
          </w:tcPr>
          <w:p>
            <w:pPr>
              <w:spacing w:after="0"/>
              <w:rPr>
                <w:sz w:val="23"/>
                <w:szCs w:val="23"/>
                <w:color w:val="auto"/>
              </w:rPr>
            </w:pP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272,242</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338,524</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174,395</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175,085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Fosse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4,845</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84,675</w:t>
            </w: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91,140</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10,012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76,095</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250</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77"/>
        </w:trPr>
        <w:tc>
          <w:tcPr>
            <w:tcW w:w="3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13,093</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2,760</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74,881</w:t>
            </w:r>
          </w:p>
        </w:tc>
        <w:tc>
          <w:tcPr>
            <w:tcW w:w="2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90,734</w:t>
            </w: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340" w:right="100" w:hanging="332"/>
        <w:spacing w:after="0" w:line="349"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reimburse certain of our executives, including all of the Named Executive Officers, for healthcare costs in excess of amounts covered by our health insurance plans. The amounts shown represent the amount of such supplemental healthcare benefits we paid to each of the Named Executive Officers during each of the years presented</w:t>
      </w:r>
    </w:p>
    <w:p>
      <w:pPr>
        <w:spacing w:after="0" w:line="17" w:lineRule="exact"/>
        <w:rPr>
          <w:rFonts w:ascii="Arial" w:cs="Arial" w:eastAsia="Arial" w:hAnsi="Arial"/>
          <w:sz w:val="14"/>
          <w:szCs w:val="14"/>
          <w:color w:val="auto"/>
        </w:rPr>
      </w:pPr>
    </w:p>
    <w:p>
      <w:pPr>
        <w:ind w:left="340" w:right="200" w:hanging="332"/>
        <w:spacing w:after="0" w:line="275"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taxable group life insurance premiums paid on behalf of the Named Executive Officers. The benefit provides life and accidental death and dismemberment coverage at three times the Named Executive Officer’s annual salary up to a maximum of $1 million.</w:t>
      </w:r>
    </w:p>
    <w:p>
      <w:pPr>
        <w:spacing w:after="0" w:line="64" w:lineRule="exact"/>
        <w:rPr>
          <w:rFonts w:ascii="Arial" w:cs="Arial" w:eastAsia="Arial" w:hAnsi="Arial"/>
          <w:sz w:val="16"/>
          <w:szCs w:val="16"/>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the company contributions to the 401(k) plan and the Supplemental Executive Retirement Plan.</w:t>
      </w:r>
    </w:p>
    <w:p>
      <w:pPr>
        <w:spacing w:after="0" w:line="113" w:lineRule="exact"/>
        <w:rPr>
          <w:rFonts w:ascii="Arial" w:cs="Arial" w:eastAsia="Arial" w:hAnsi="Arial"/>
          <w:sz w:val="16"/>
          <w:szCs w:val="16"/>
          <w:color w:val="auto"/>
        </w:rPr>
      </w:pPr>
    </w:p>
    <w:p>
      <w:pPr>
        <w:ind w:left="340" w:hanging="332"/>
        <w:spacing w:after="0" w:line="256"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Rothamel joined the company in September 2009, and the amount shown for him for fiscal 2010 represents the aggregate amounts we paid to him in connection with his relocation from Omaha, Nebraska to Austin, Texas, including a one-time bonus in the amount of $197,949 (plus tax gross-up in the amount of $113,536) intended to compensate him for price reductions necessary to complete the sale of his house in Omaha and a one-time bonus in the amount of $200,000 (plus tax gross-up in the amount of $114,713) to assist him in the purchase of a house in Austin, Texas.</w:t>
      </w:r>
    </w:p>
    <w:p>
      <w:pPr>
        <w:spacing w:after="0" w:line="79" w:lineRule="exact"/>
        <w:rPr>
          <w:rFonts w:ascii="Arial" w:cs="Arial" w:eastAsia="Arial" w:hAnsi="Arial"/>
          <w:sz w:val="16"/>
          <w:szCs w:val="16"/>
          <w:color w:val="auto"/>
        </w:rPr>
      </w:pPr>
    </w:p>
    <w:p>
      <w:pPr>
        <w:ind w:left="340" w:right="80"/>
        <w:spacing w:after="0" w:line="275" w:lineRule="auto"/>
        <w:rPr>
          <w:rFonts w:ascii="Arial" w:cs="Arial" w:eastAsia="Arial" w:hAnsi="Arial"/>
          <w:sz w:val="16"/>
          <w:szCs w:val="16"/>
          <w:color w:val="auto"/>
        </w:rPr>
      </w:pPr>
      <w:r>
        <w:rPr>
          <w:rFonts w:ascii="Arial" w:cs="Arial" w:eastAsia="Arial" w:hAnsi="Arial"/>
          <w:sz w:val="16"/>
          <w:szCs w:val="16"/>
          <w:color w:val="auto"/>
        </w:rPr>
        <w:t>Mr. Stamp joined the company in November 2010, and the amount show for him for fiscal 2011 represents the aggregate amounts we paid to him in connection with his relocation from Cincinnati, Ohio to Austin, Texas.</w:t>
      </w:r>
    </w:p>
    <w:p>
      <w:pPr>
        <w:spacing w:after="0" w:line="64" w:lineRule="exact"/>
        <w:rPr>
          <w:rFonts w:ascii="Arial" w:cs="Arial" w:eastAsia="Arial" w:hAnsi="Arial"/>
          <w:sz w:val="16"/>
          <w:szCs w:val="16"/>
          <w:color w:val="auto"/>
        </w:rPr>
      </w:pPr>
    </w:p>
    <w:p>
      <w:pPr>
        <w:ind w:left="340"/>
        <w:spacing w:after="0" w:line="256" w:lineRule="auto"/>
        <w:rPr>
          <w:rFonts w:ascii="Arial" w:cs="Arial" w:eastAsia="Arial" w:hAnsi="Arial"/>
          <w:sz w:val="16"/>
          <w:szCs w:val="16"/>
          <w:color w:val="auto"/>
        </w:rPr>
      </w:pPr>
      <w:r>
        <w:rPr>
          <w:rFonts w:ascii="Arial" w:cs="Arial" w:eastAsia="Arial" w:hAnsi="Arial"/>
          <w:sz w:val="16"/>
          <w:szCs w:val="16"/>
          <w:color w:val="auto"/>
        </w:rPr>
        <w:t>Mr. Kuchenrither joined the company in March 2010, and the amount shown for him represents the aggregate amounts we paid to him in connection with his relocation from Miami, Florida to Austin, Texas, including a one-time moving allowance of $100,000 (plus tax gross-up in the amount of $44,965) paid in fiscal 2010 to assist him in the purchase of a house in Austin, Texas and a one-time bonus in the amount of $200,000 (plus tax gross-up in the amount of $71,924) paid in fiscal 2011 to assist him in the purchase of a home in Austin, Texas.</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Certain Termination and Change-in-Control Benefits </w:t>
      </w:r>
      <w:r>
        <w:rPr>
          <w:rFonts w:ascii="Arial" w:cs="Arial" w:eastAsia="Arial" w:hAnsi="Arial"/>
          <w:sz w:val="18"/>
          <w:szCs w:val="18"/>
          <w:color w:val="auto"/>
        </w:rPr>
        <w:t>— The following is a summary of various agreements that provide for benefits to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upon termination of employment or a change-in-control:</w:t>
      </w:r>
    </w:p>
    <w:p>
      <w:pPr>
        <w:spacing w:after="0" w:line="116" w:lineRule="exact"/>
        <w:rPr>
          <w:sz w:val="20"/>
          <w:szCs w:val="20"/>
          <w:color w:val="auto"/>
        </w:rPr>
      </w:pPr>
    </w:p>
    <w:p>
      <w:pPr>
        <w:ind w:left="340" w:right="12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Rothamel Employment Agreement — </w:t>
      </w:r>
      <w:r>
        <w:rPr>
          <w:rFonts w:ascii="Arial" w:cs="Arial" w:eastAsia="Arial" w:hAnsi="Arial"/>
          <w:sz w:val="18"/>
          <w:szCs w:val="18"/>
          <w:color w:val="auto"/>
        </w:rPr>
        <w:t>Mr. Rothamel’s employment agreement provides for the payment of certain cash benefits upon the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Mr. Rothamel’s employment in the following circumstances:</w:t>
      </w:r>
    </w:p>
    <w:p>
      <w:pPr>
        <w:spacing w:after="0" w:line="116" w:lineRule="exact"/>
        <w:rPr>
          <w:rFonts w:ascii="Arial" w:cs="Arial" w:eastAsia="Arial" w:hAnsi="Arial"/>
          <w:sz w:val="18"/>
          <w:szCs w:val="18"/>
          <w:color w:val="auto"/>
        </w:rPr>
      </w:pPr>
    </w:p>
    <w:p>
      <w:pPr>
        <w:ind w:left="820" w:right="160" w:hanging="326"/>
        <w:spacing w:after="0" w:line="257" w:lineRule="auto"/>
        <w:tabs>
          <w:tab w:leader="none" w:pos="820"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If Mr. Rothamel resigns for “good reason,” he will be entitled to payment of an amount equal to one year’s base salary and payment of amounts required to allow continuation of healthcare benefits for one year plus tax gross-up. For this purpose, “good reason” includes (1) a resignation following a material diminution of, or material change to, his job title, reporting relationship or responsibilities, authorities and duties, (2) a reduction of his annual base salary below $500,000 or target bonus below 100% of base salary, (3) removal of his principal work location to a location</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20"/>
          </w:cols>
          <w:pgMar w:left="24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right="240"/>
        <w:spacing w:after="0" w:line="324" w:lineRule="auto"/>
        <w:rPr>
          <w:sz w:val="20"/>
          <w:szCs w:val="20"/>
          <w:color w:val="auto"/>
        </w:rPr>
      </w:pPr>
      <w:r>
        <w:rPr>
          <w:rFonts w:ascii="Arial" w:cs="Arial" w:eastAsia="Arial" w:hAnsi="Arial"/>
          <w:sz w:val="18"/>
          <w:szCs w:val="18"/>
          <w:color w:val="auto"/>
        </w:rPr>
        <w:t>more than 50 miles from Austin, Texas, (4) a change-in-control of the company and (5) a requirement that he perform an unlawful, dishonest or unethical act.</w:t>
      </w:r>
    </w:p>
    <w:p>
      <w:pPr>
        <w:spacing w:after="0" w:line="89" w:lineRule="exact"/>
        <w:rPr>
          <w:sz w:val="20"/>
          <w:szCs w:val="20"/>
          <w:color w:val="auto"/>
        </w:rPr>
      </w:pPr>
    </w:p>
    <w:p>
      <w:pPr>
        <w:ind w:left="820" w:right="40" w:hanging="326"/>
        <w:spacing w:after="0" w:line="264" w:lineRule="auto"/>
        <w:tabs>
          <w:tab w:leader="none" w:pos="8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If Mr. Rothamel’s employment is terminated by us without cause, he will be entitled to payment of the prorated portion of his current-year annual incentive bonus (calculated at the target amount), payment of an amount equal to one year’s base salary and payment of amounts required to allow continuation of healthcare benefits for one year plus tax gross-up.</w:t>
      </w:r>
    </w:p>
    <w:p>
      <w:pPr>
        <w:spacing w:after="0" w:line="127" w:lineRule="exact"/>
        <w:rPr>
          <w:rFonts w:ascii="Arial" w:cs="Arial" w:eastAsia="Arial" w:hAnsi="Arial"/>
          <w:sz w:val="18"/>
          <w:szCs w:val="18"/>
          <w:color w:val="auto"/>
        </w:rPr>
      </w:pPr>
    </w:p>
    <w:p>
      <w:pPr>
        <w:ind w:left="820" w:right="280" w:hanging="326"/>
        <w:spacing w:after="0" w:line="264" w:lineRule="auto"/>
        <w:tabs>
          <w:tab w:leader="none" w:pos="8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If Mr. Rothamel’s employment is terminated by reason of death or disability, he (or his estate or beneficiaries) will be entitled to payment of an amount equal to one year’s base salary and payment of amounts required to allow continuation of healthcare benefits (limited to coverage for Mr. Rothamel’s family in the case of Mr. Rothamel’s death) for one year plus tax gross-up.</w:t>
      </w:r>
    </w:p>
    <w:p>
      <w:pPr>
        <w:spacing w:after="0" w:line="127"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October 2, 2006 Restricted Stock Awards </w:t>
      </w:r>
      <w:r>
        <w:rPr>
          <w:rFonts w:ascii="Arial" w:cs="Arial" w:eastAsia="Arial" w:hAnsi="Arial"/>
          <w:sz w:val="18"/>
          <w:szCs w:val="18"/>
          <w:color w:val="auto"/>
        </w:rPr>
        <w:t>— On October 2, 2006, we granted certain performance-based restricted stock awards to Mr. Brinkley.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Note (6) in the “Outstanding Equity Awards at Fiscal Year-End” table under “Incentive Plan Based Awards” above, Mr. Brinkley’s remaining unvested shares will continue to vest over the next five years (subject to the achievement of the specified EBITDA targets), but vesting may be accelerated or continued upon termination of employment in the following circumstances:</w:t>
      </w:r>
    </w:p>
    <w:p>
      <w:pPr>
        <w:spacing w:after="0" w:line="132"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If Mr. Brinkley resigns for “good reason” or if Mr. Brinkley’s employment is terminated by the us without cause, then vesting of all unvested shares will be accelerated to the date of termination.</w:t>
      </w:r>
    </w:p>
    <w:p>
      <w:pPr>
        <w:spacing w:after="0" w:line="116" w:lineRule="exact"/>
        <w:rPr>
          <w:rFonts w:ascii="Arial" w:cs="Arial" w:eastAsia="Arial" w:hAnsi="Arial"/>
          <w:sz w:val="18"/>
          <w:szCs w:val="18"/>
          <w:b w:val="1"/>
          <w:bCs w:val="1"/>
          <w:color w:val="auto"/>
        </w:rPr>
      </w:pPr>
    </w:p>
    <w:p>
      <w:pPr>
        <w:ind w:left="660" w:hanging="328"/>
        <w:spacing w:after="0" w:line="286" w:lineRule="auto"/>
        <w:tabs>
          <w:tab w:leader="none" w:pos="6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If Mr. Brinkley’s employment is terminated by reason of death or disability, then vesting of a portion of the unvested shares will be accelerated to the date of termination. Such portion is calculated as follows: 10% of the originally granted shares multiplied by the number of full or partial years of service since the award date, plus 20% of the originally granted shares, less the number of shares previously vested.</w:t>
      </w:r>
    </w:p>
    <w:p>
      <w:pPr>
        <w:spacing w:after="0" w:line="111" w:lineRule="exact"/>
        <w:rPr>
          <w:rFonts w:ascii="Arial" w:cs="Arial" w:eastAsia="Arial" w:hAnsi="Arial"/>
          <w:sz w:val="17"/>
          <w:szCs w:val="17"/>
          <w:color w:val="auto"/>
        </w:rPr>
      </w:pPr>
    </w:p>
    <w:p>
      <w:pPr>
        <w:ind w:left="660" w:right="160" w:hanging="328"/>
        <w:spacing w:after="0" w:line="277"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Mr. Brinkley voluntarily terminates his employment (other than for “good reason” and except for a voluntary termination that is mutually agreed upon by Mr. Brinkley and the Board of Directors), then all unvested shares will be forfeited.</w:t>
      </w:r>
    </w:p>
    <w:p>
      <w:pPr>
        <w:spacing w:after="0" w:line="116"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Other Restricted Stock Awards — </w:t>
      </w:r>
      <w:r>
        <w:rPr>
          <w:rFonts w:ascii="Arial" w:cs="Arial" w:eastAsia="Arial" w:hAnsi="Arial"/>
          <w:sz w:val="18"/>
          <w:szCs w:val="18"/>
          <w:color w:val="auto"/>
        </w:rPr>
        <w:t>The standard restricted stock award agreement pursuant to which we grant restricted stock to our employees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that vesting is accelerated in whole or in part in the event of the holder’s death or disability.</w:t>
      </w:r>
    </w:p>
    <w:p>
      <w:pPr>
        <w:spacing w:after="0" w:line="116"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SERP Contributions </w:t>
      </w:r>
      <w:r>
        <w:rPr>
          <w:rFonts w:ascii="Arial" w:cs="Arial" w:eastAsia="Arial" w:hAnsi="Arial"/>
          <w:sz w:val="18"/>
          <w:szCs w:val="18"/>
          <w:color w:val="auto"/>
        </w:rPr>
        <w:t>— For all executives (including the Named Executive Officers), any unvested company contributions to the SERP will vest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death or disability of the participant or a change-in-control.</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125" w:right="25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2012.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9"/>
              </w:rPr>
              <w:t>Aggregate</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Accelerated Vesting</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Accelerated Vesting</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Incentive</w:t>
            </w: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0"/>
              </w:rPr>
              <w:t>of</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4"/>
              </w:rPr>
              <w:t>Healthcare</w:t>
            </w:r>
          </w:p>
        </w:tc>
        <w:tc>
          <w:tcPr>
            <w:tcW w:w="340" w:type="dxa"/>
            <w:vAlign w:val="bottom"/>
          </w:tcPr>
          <w:p>
            <w:pPr>
              <w:spacing w:after="0"/>
              <w:rPr>
                <w:sz w:val="12"/>
                <w:szCs w:val="12"/>
                <w:color w:val="auto"/>
              </w:rPr>
            </w:pPr>
          </w:p>
        </w:tc>
        <w:tc>
          <w:tcPr>
            <w:tcW w:w="116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Bonus</w:t>
            </w: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Payments (1)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Stock (2)</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SERP Balance</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Resignation for Good Reason:</w:t>
            </w: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Paul E. Rothamel</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900,000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   $</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32,141</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Stephen A. Stamp</w:t>
            </w: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Sterling B. Brinkley</w:t>
            </w:r>
          </w:p>
        </w:tc>
        <w:tc>
          <w:tcPr>
            <w:tcW w:w="11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16,165,650</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 Kuchenrither</w:t>
            </w: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Eric Fosse</w:t>
            </w:r>
          </w:p>
        </w:tc>
        <w:tc>
          <w:tcPr>
            <w:tcW w:w="11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Termination Without Cause:</w:t>
            </w: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Paul E. Rothamel</w:t>
            </w:r>
          </w:p>
        </w:tc>
        <w:tc>
          <w:tcPr>
            <w:tcW w:w="11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900,000</w:t>
            </w:r>
          </w:p>
        </w:tc>
        <w:tc>
          <w:tcPr>
            <w:tcW w:w="360" w:type="dxa"/>
            <w:vAlign w:val="bottom"/>
          </w:tcPr>
          <w:p>
            <w:pPr>
              <w:spacing w:after="0"/>
              <w:rPr>
                <w:sz w:val="21"/>
                <w:szCs w:val="21"/>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1,725,000</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32,141</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Stephen A. Stamp</w:t>
            </w: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400,000</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Sterling B. Brinkley</w:t>
            </w:r>
          </w:p>
        </w:tc>
        <w:tc>
          <w:tcPr>
            <w:tcW w:w="11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16,165,650</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 Kuchenrither</w:t>
            </w: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450,000</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Eric Fosse</w:t>
            </w:r>
          </w:p>
        </w:tc>
        <w:tc>
          <w:tcPr>
            <w:tcW w:w="11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450,000</w:t>
            </w:r>
          </w:p>
        </w:tc>
        <w:tc>
          <w:tcPr>
            <w:tcW w:w="360" w:type="dxa"/>
            <w:vAlign w:val="bottom"/>
          </w:tcPr>
          <w:p>
            <w:pPr>
              <w:spacing w:after="0"/>
              <w:rPr>
                <w:sz w:val="21"/>
                <w:szCs w:val="21"/>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Death or Disability:</w:t>
            </w: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Paul E. Rothamel</w:t>
            </w:r>
          </w:p>
        </w:tc>
        <w:tc>
          <w:tcPr>
            <w:tcW w:w="11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900,000</w:t>
            </w:r>
          </w:p>
        </w:tc>
        <w:tc>
          <w:tcPr>
            <w:tcW w:w="360" w:type="dxa"/>
            <w:vAlign w:val="bottom"/>
          </w:tcPr>
          <w:p>
            <w:pPr>
              <w:spacing w:after="0"/>
              <w:rPr>
                <w:sz w:val="21"/>
                <w:szCs w:val="21"/>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32,141</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7,263,078</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463,172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Stephen A. Stamp</w:t>
            </w: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839,238</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68,218</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Sterling B. Brinkley</w:t>
            </w:r>
          </w:p>
        </w:tc>
        <w:tc>
          <w:tcPr>
            <w:tcW w:w="11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8,942,700</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509,039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 Kuchenrither</w:t>
            </w: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1,143,450</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131,505</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Eric Fosse</w:t>
            </w:r>
          </w:p>
        </w:tc>
        <w:tc>
          <w:tcPr>
            <w:tcW w:w="11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916,420</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186,043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Represents the aggregate amount of the payments to be made to allow continuation of healthcare benefits, plus the related tax gross-up payments (if applicable).</w:t>
      </w:r>
    </w:p>
    <w:p>
      <w:pPr>
        <w:spacing w:after="0" w:line="124" w:lineRule="exact"/>
        <w:rPr>
          <w:rFonts w:ascii="Arial" w:cs="Arial" w:eastAsia="Arial" w:hAnsi="Arial"/>
          <w:sz w:val="15"/>
          <w:szCs w:val="15"/>
          <w:color w:val="auto"/>
        </w:rPr>
      </w:pPr>
    </w:p>
    <w:p>
      <w:pPr>
        <w:ind w:left="340" w:right="60" w:hanging="332"/>
        <w:spacing w:after="0" w:line="275"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number of shares subject to accelerated vesting (as described above), multiplied by the closing sales price of the Class A Common Stock on September 28, 2012 ($22.93).</w:t>
      </w:r>
    </w:p>
    <w:p>
      <w:pPr>
        <w:spacing w:after="0" w:line="11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additional benefits described above would apply, depending on the circumstances of the termination.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Each non-employee director receives a basic annual retainer fee, with the chair of the Audit Committee, the chair of the Compensation Committee and the Lead Director each receiving an additional amount. During fiscal 2012, the basic annual retainer fee was $75,000, and additional amounts paid to the chair of the Audit Committee, the chair of the Compensation Committee and the Lead Director were $18,000, $12,000 and $45,000, respectively. For fiscal 2013 the basic annual retainer fee will be $80,000 and the additional amounts paid to the chair of the Audit Committee, the chair of the Compensation Committee and the Lead Director will be $20,000, $15,000 and $50,000, respectively. Annual retainer fees are paid in cash on a quarterly basis.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 No options have been awarded to the non-employee directors since fiscal 2007. Equity awards are generally granted on the first business day of the fiscal year.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the compensation paid to our non-employee directors for fiscal 2012. Mr. Brinkley and Mr. Rothamel are executive officers of the company and do not receive any additional compensation for serving on the Board of Directors.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41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Fees Earned or Paid</w:t>
            </w:r>
          </w:p>
        </w:tc>
        <w:tc>
          <w:tcPr>
            <w:tcW w:w="220" w:type="dxa"/>
            <w:vAlign w:val="bottom"/>
          </w:tcPr>
          <w:p>
            <w:pPr>
              <w:spacing w:after="0"/>
              <w:rPr>
                <w:sz w:val="14"/>
                <w:szCs w:val="14"/>
                <w:color w:val="auto"/>
              </w:rPr>
            </w:pPr>
          </w:p>
        </w:tc>
        <w:tc>
          <w:tcPr>
            <w:tcW w:w="122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Restricted Stock</w:t>
            </w:r>
          </w:p>
        </w:tc>
        <w:tc>
          <w:tcPr>
            <w:tcW w:w="4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in Cash</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Awards (1)</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Joseph J. Beal</w:t>
            </w:r>
          </w:p>
        </w:tc>
        <w:tc>
          <w:tcPr>
            <w:tcW w:w="3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141,076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228,076</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Pablo Lagos Espinosa</w:t>
            </w:r>
          </w:p>
        </w:tc>
        <w:tc>
          <w:tcPr>
            <w:tcW w:w="300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141,076</w:t>
            </w: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216,076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Farrell</w:t>
            </w:r>
          </w:p>
        </w:tc>
        <w:tc>
          <w:tcPr>
            <w:tcW w:w="3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75,000</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141,076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216,076</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William C. Love</w:t>
            </w:r>
          </w:p>
        </w:tc>
        <w:tc>
          <w:tcPr>
            <w:tcW w:w="300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93,000</w:t>
            </w: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141,076</w:t>
            </w: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234,076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Thomas C. Roberts</w:t>
            </w:r>
          </w:p>
        </w:tc>
        <w:tc>
          <w:tcPr>
            <w:tcW w:w="3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120,000</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141,076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261,076</w:t>
            </w:r>
          </w:p>
        </w:tc>
        <w:tc>
          <w:tcPr>
            <w:tcW w:w="0" w:type="dxa"/>
            <w:vAlign w:val="bottom"/>
          </w:tcPr>
          <w:p>
            <w:pPr>
              <w:spacing w:after="0"/>
              <w:rPr>
                <w:sz w:val="1"/>
                <w:szCs w:val="1"/>
                <w:color w:val="auto"/>
              </w:rPr>
            </w:pPr>
          </w:p>
        </w:tc>
      </w:tr>
      <w:tr>
        <w:trPr>
          <w:trHeight w:val="20"/>
        </w:trPr>
        <w:tc>
          <w:tcPr>
            <w:tcW w:w="434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right="60" w:hanging="332"/>
        <w:spacing w:after="0" w:line="286" w:lineRule="auto"/>
        <w:tabs>
          <w:tab w:leader="none" w:pos="3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Amounts represent the aggregate grant date fair value of restricted stock awards, computed in accordance with FASB ASC Topic 718. See Note I to our Consolidated Financial Statements included in “Item 8 — Financial Statements and Supplemental Data” for a description of the assumptions used in that computation. The actual value realized by the director with respect to stock awards will depend on the market value of our stock on the date the stock is sold.</w:t>
      </w:r>
    </w:p>
    <w:p>
      <w:pPr>
        <w:spacing w:after="0" w:line="58" w:lineRule="exact"/>
        <w:rPr>
          <w:rFonts w:ascii="Arial" w:cs="Arial" w:eastAsia="Arial" w:hAnsi="Arial"/>
          <w:sz w:val="15"/>
          <w:szCs w:val="15"/>
          <w:color w:val="auto"/>
        </w:rPr>
      </w:pPr>
    </w:p>
    <w:p>
      <w:pPr>
        <w:ind w:left="340" w:right="120"/>
        <w:spacing w:after="0" w:line="261" w:lineRule="auto"/>
        <w:rPr>
          <w:rFonts w:ascii="Arial" w:cs="Arial" w:eastAsia="Arial" w:hAnsi="Arial"/>
          <w:sz w:val="15"/>
          <w:szCs w:val="15"/>
          <w:color w:val="auto"/>
        </w:rPr>
      </w:pPr>
      <w:r>
        <w:rPr>
          <w:rFonts w:ascii="Arial" w:cs="Arial" w:eastAsia="Arial" w:hAnsi="Arial"/>
          <w:sz w:val="16"/>
          <w:szCs w:val="16"/>
          <w:color w:val="auto"/>
        </w:rPr>
        <w:t>In October 2011, each non-employee director received a grant of 5,200 shares of restricted stock, vesting over a two-year period (50% on the first anniversary of the date of grant and 50% on the second anniversary of the date of grant). All non-employee directors received their grants as of October 3, 2011, The values shown above were computed using the closing price of our Class A Non-Voting Common Stock on October 3, 2011 ($27.13).</w:t>
      </w:r>
    </w:p>
    <w:p>
      <w:pPr>
        <w:spacing w:after="0" w:line="75" w:lineRule="exact"/>
        <w:rPr>
          <w:rFonts w:ascii="Arial" w:cs="Arial" w:eastAsia="Arial" w:hAnsi="Arial"/>
          <w:sz w:val="15"/>
          <w:szCs w:val="15"/>
          <w:color w:val="auto"/>
        </w:rPr>
      </w:pPr>
    </w:p>
    <w:p>
      <w:pPr>
        <w:ind w:left="340" w:right="60"/>
        <w:spacing w:after="0" w:line="275" w:lineRule="auto"/>
        <w:rPr>
          <w:rFonts w:ascii="Arial" w:cs="Arial" w:eastAsia="Arial" w:hAnsi="Arial"/>
          <w:sz w:val="15"/>
          <w:szCs w:val="15"/>
          <w:color w:val="auto"/>
        </w:rPr>
      </w:pPr>
      <w:r>
        <w:rPr>
          <w:rFonts w:ascii="Arial" w:cs="Arial" w:eastAsia="Arial" w:hAnsi="Arial"/>
          <w:sz w:val="16"/>
          <w:szCs w:val="16"/>
          <w:color w:val="auto"/>
        </w:rPr>
        <w:t>At September 30, 2012, each of the non-employee directors held the following number of shares of restricted stock: Mr. Beal, 8,200; Mr. Lagos, 8,200; Mr. Farrell, 5,200; Mr. Love, 8,200; and Mr. Roberts, 8,200.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Stockholders have approved the 2010 Long-Term Incentive Plan, which we currently use for stock incentive awards. These awards can be in the form of stock options, stock appreciation rights, stock bonuses, restricted stock, restricted stock units, performance units, or performance shares. Although options are still outstanding under the 1998, 2003 and 2006 Incentive Plans, no shares are available for future awards. We do not have any equity compensation plans that were not approved by stockholders. The following table summarizes information about our equity compensation plans as of 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Issued Upon Exercise</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of Outstanding Options</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Outstanding Options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76"/>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(a) (1)</w:t>
            </w: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18,100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650,361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18,100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650,361</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_____________________________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vMerge w:val="continue"/>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Excludes 1,448,833 shares of restricted stock that were outstanding at September 30, 2012.</w:t>
      </w:r>
    </w:p>
    <w:p>
      <w:pPr>
        <w:spacing w:after="0" w:line="243"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October 31, 2012 for (i) each person known to us to be the beneficial owner of more than 5% of the total number of shares outstanding, (ii) each of our directors, (iii) each of the Named Executive Officers (other than Mr. Stamp, who is no longer with the company), and</w:t>
      </w:r>
    </w:p>
    <w:p>
      <w:pPr>
        <w:spacing w:after="0" w:line="2" w:lineRule="exact"/>
        <w:rPr>
          <w:sz w:val="20"/>
          <w:szCs w:val="20"/>
          <w:color w:val="auto"/>
        </w:rPr>
      </w:pPr>
    </w:p>
    <w:p>
      <w:pPr>
        <w:ind w:right="260" w:firstLine="8"/>
        <w:spacing w:after="0" w:line="261" w:lineRule="auto"/>
        <w:tabs>
          <w:tab w:leader="none" w:pos="3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directors and executive officers as a group. Unless otherwise indicated, each person named below holds sole voting and investment power over the shares shown, subject to community property laws where applicable.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200" w:type="dxa"/>
            <w:vAlign w:val="bottom"/>
            <w:gridSpan w:val="2"/>
          </w:tcPr>
          <w:p>
            <w:pPr>
              <w:jc w:val="center"/>
              <w:ind w:left="781"/>
              <w:spacing w:after="0"/>
              <w:rPr>
                <w:sz w:val="20"/>
                <w:szCs w:val="20"/>
                <w:color w:val="auto"/>
              </w:rPr>
            </w:pPr>
            <w:r>
              <w:rPr>
                <w:rFonts w:ascii="Arial" w:cs="Arial" w:eastAsia="Arial" w:hAnsi="Arial"/>
                <w:sz w:val="14"/>
                <w:szCs w:val="14"/>
                <w:b w:val="1"/>
                <w:bCs w:val="1"/>
                <w:color w:val="auto"/>
                <w:w w:val="93"/>
              </w:rPr>
              <w:t>Class A Non-Voting</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Class B Voting</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3160" w:type="dxa"/>
            <w:vAlign w:val="bottom"/>
          </w:tcPr>
          <w:p>
            <w:pPr>
              <w:spacing w:after="0"/>
              <w:rPr>
                <w:sz w:val="16"/>
                <w:szCs w:val="16"/>
                <w:color w:val="auto"/>
              </w:rPr>
            </w:pPr>
          </w:p>
        </w:tc>
        <w:tc>
          <w:tcPr>
            <w:tcW w:w="2200" w:type="dxa"/>
            <w:vAlign w:val="bottom"/>
            <w:tcBorders>
              <w:bottom w:val="single" w:sz="8" w:color="auto"/>
            </w:tcBorders>
            <w:gridSpan w:val="2"/>
          </w:tcPr>
          <w:p>
            <w:pPr>
              <w:jc w:val="center"/>
              <w:ind w:left="781"/>
              <w:spacing w:after="0"/>
              <w:rPr>
                <w:sz w:val="20"/>
                <w:szCs w:val="20"/>
                <w:color w:val="auto"/>
              </w:rPr>
            </w:pPr>
            <w:r>
              <w:rPr>
                <w:rFonts w:ascii="Arial" w:cs="Arial" w:eastAsia="Arial" w:hAnsi="Arial"/>
                <w:sz w:val="14"/>
                <w:szCs w:val="14"/>
                <w:b w:val="1"/>
                <w:bCs w:val="1"/>
                <w:color w:val="auto"/>
                <w:w w:val="91"/>
              </w:rPr>
              <w:t>Common Stock</w:t>
            </w:r>
          </w:p>
        </w:tc>
        <w:tc>
          <w:tcPr>
            <w:tcW w:w="82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82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1480" w:type="dxa"/>
            <w:vAlign w:val="bottom"/>
          </w:tcPr>
          <w:p>
            <w:pPr>
              <w:spacing w:after="0"/>
              <w:rPr>
                <w:sz w:val="16"/>
                <w:szCs w:val="16"/>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Beneficial Owner</w:t>
            </w:r>
          </w:p>
        </w:tc>
        <w:tc>
          <w:tcPr>
            <w:tcW w:w="13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Number</w:t>
            </w:r>
          </w:p>
        </w:tc>
        <w:tc>
          <w:tcPr>
            <w:tcW w:w="8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4"/>
                <w:szCs w:val="14"/>
                <w:b w:val="1"/>
                <w:bCs w:val="1"/>
                <w:color w:val="auto"/>
                <w:w w:val="93"/>
              </w:rPr>
              <w:t>Percent</w:t>
            </w:r>
          </w:p>
        </w:tc>
        <w:tc>
          <w:tcPr>
            <w:tcW w:w="188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Number</w:t>
            </w: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89"/>
              </w:rPr>
              <w:t>Percent</w:t>
            </w:r>
          </w:p>
        </w:tc>
        <w:tc>
          <w:tcPr>
            <w:tcW w:w="14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Voting Percent</w:t>
            </w:r>
          </w:p>
        </w:tc>
      </w:tr>
      <w:tr>
        <w:trPr>
          <w:trHeight w:val="219"/>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Pawn Limited Partnership (a)</w:t>
            </w:r>
          </w:p>
        </w:tc>
        <w:tc>
          <w:tcPr>
            <w:tcW w:w="1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MS Pawn Corporation</w:t>
            </w:r>
          </w:p>
        </w:tc>
        <w:tc>
          <w:tcPr>
            <w:tcW w:w="1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Phillip Ean Cohen</w:t>
            </w:r>
          </w:p>
        </w:tc>
        <w:tc>
          <w:tcPr>
            <w:tcW w:w="1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1901 Capital Parkway</w:t>
            </w:r>
          </w:p>
        </w:tc>
        <w:tc>
          <w:tcPr>
            <w:tcW w:w="1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9"/>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Austin, Texas 78746</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2,974,047</w:t>
            </w:r>
          </w:p>
        </w:tc>
        <w:tc>
          <w:tcPr>
            <w:tcW w:w="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1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5.79%  (b)</w:t>
            </w:r>
          </w:p>
        </w:tc>
        <w:tc>
          <w:tcPr>
            <w:tcW w:w="18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2,970,171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rPr>
              <w:t>Blackrock, Inc.</w:t>
            </w:r>
          </w:p>
        </w:tc>
        <w:tc>
          <w:tcPr>
            <w:tcW w:w="1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3"/>
        </w:trPr>
        <w:tc>
          <w:tcPr>
            <w:tcW w:w="3160" w:type="dxa"/>
            <w:vAlign w:val="bottom"/>
          </w:tcPr>
          <w:p>
            <w:pPr>
              <w:ind w:left="160"/>
              <w:spacing w:after="0" w:line="203" w:lineRule="exact"/>
              <w:rPr>
                <w:sz w:val="20"/>
                <w:szCs w:val="20"/>
                <w:color w:val="auto"/>
              </w:rPr>
            </w:pPr>
            <w:r>
              <w:rPr>
                <w:rFonts w:ascii="Arial" w:cs="Arial" w:eastAsia="Arial" w:hAnsi="Arial"/>
                <w:sz w:val="16"/>
                <w:szCs w:val="16"/>
                <w:color w:val="auto"/>
              </w:rPr>
              <w:t>40 East 52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Street</w:t>
            </w: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3160" w:type="dxa"/>
            <w:vAlign w:val="bottom"/>
          </w:tcPr>
          <w:p>
            <w:pPr>
              <w:ind w:left="160"/>
              <w:spacing w:after="0"/>
              <w:rPr>
                <w:sz w:val="20"/>
                <w:szCs w:val="20"/>
                <w:color w:val="auto"/>
              </w:rPr>
            </w:pPr>
            <w:r>
              <w:rPr>
                <w:rFonts w:ascii="Arial" w:cs="Arial" w:eastAsia="Arial" w:hAnsi="Arial"/>
                <w:sz w:val="16"/>
                <w:szCs w:val="16"/>
                <w:color w:val="auto"/>
              </w:rPr>
              <w:t>New York, New York 10022</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3,455,713</w:t>
            </w:r>
          </w:p>
        </w:tc>
        <w:tc>
          <w:tcPr>
            <w:tcW w:w="860" w:type="dxa"/>
            <w:vAlign w:val="bottom"/>
          </w:tcPr>
          <w:p>
            <w:pPr>
              <w:ind w:left="120"/>
              <w:spacing w:after="0"/>
              <w:rPr>
                <w:sz w:val="20"/>
                <w:szCs w:val="20"/>
                <w:color w:val="auto"/>
              </w:rPr>
            </w:pPr>
            <w:r>
              <w:rPr>
                <w:rFonts w:ascii="Arial" w:cs="Arial" w:eastAsia="Arial" w:hAnsi="Arial"/>
                <w:sz w:val="16"/>
                <w:szCs w:val="16"/>
                <w:color w:val="auto"/>
              </w:rPr>
              <w:t>(c)</w:t>
            </w:r>
          </w:p>
        </w:tc>
        <w:tc>
          <w:tcPr>
            <w:tcW w:w="820" w:type="dxa"/>
            <w:vAlign w:val="bottom"/>
          </w:tcPr>
          <w:p>
            <w:pPr>
              <w:ind w:left="380"/>
              <w:spacing w:after="0"/>
              <w:rPr>
                <w:sz w:val="20"/>
                <w:szCs w:val="20"/>
                <w:color w:val="auto"/>
              </w:rPr>
            </w:pPr>
            <w:r>
              <w:rPr>
                <w:rFonts w:ascii="Arial" w:cs="Arial" w:eastAsia="Arial" w:hAnsi="Arial"/>
                <w:sz w:val="16"/>
                <w:szCs w:val="16"/>
                <w:color w:val="auto"/>
                <w:w w:val="92"/>
              </w:rPr>
              <w:t>7.29%</w:t>
            </w:r>
          </w:p>
        </w:tc>
        <w:tc>
          <w:tcPr>
            <w:tcW w:w="640" w:type="dxa"/>
            <w:vAlign w:val="bottom"/>
          </w:tcPr>
          <w:p>
            <w:pPr>
              <w:spacing w:after="0"/>
              <w:rPr>
                <w:sz w:val="17"/>
                <w:szCs w:val="17"/>
                <w:color w:val="auto"/>
              </w:rPr>
            </w:pPr>
          </w:p>
        </w:tc>
        <w:tc>
          <w:tcPr>
            <w:tcW w:w="188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Vanguard Group, Inc.</w:t>
            </w:r>
          </w:p>
        </w:tc>
        <w:tc>
          <w:tcPr>
            <w:tcW w:w="1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 Vanguard Blvd.</w:t>
            </w:r>
          </w:p>
        </w:tc>
        <w:tc>
          <w:tcPr>
            <w:tcW w:w="1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9"/>
        </w:trPr>
        <w:tc>
          <w:tcPr>
            <w:tcW w:w="3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Malvern, Pennsylvania 19355</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2,669,667</w:t>
            </w:r>
          </w:p>
        </w:tc>
        <w:tc>
          <w:tcPr>
            <w:tcW w:w="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w:t>
            </w:r>
          </w:p>
        </w:tc>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5.63%</w:t>
            </w:r>
          </w:p>
        </w:tc>
        <w:tc>
          <w:tcPr>
            <w:tcW w:w="6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Sterling B. Brinkley</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987,220</w:t>
            </w:r>
          </w:p>
        </w:tc>
        <w:tc>
          <w:tcPr>
            <w:tcW w:w="860" w:type="dxa"/>
            <w:vAlign w:val="bottom"/>
          </w:tcPr>
          <w:p>
            <w:pPr>
              <w:ind w:left="120"/>
              <w:spacing w:after="0"/>
              <w:rPr>
                <w:sz w:val="20"/>
                <w:szCs w:val="20"/>
                <w:color w:val="auto"/>
              </w:rPr>
            </w:pPr>
            <w:r>
              <w:rPr>
                <w:rFonts w:ascii="Arial" w:cs="Arial" w:eastAsia="Arial" w:hAnsi="Arial"/>
                <w:sz w:val="16"/>
                <w:szCs w:val="16"/>
                <w:color w:val="auto"/>
              </w:rPr>
              <w:t>(e)</w:t>
            </w:r>
          </w:p>
        </w:tc>
        <w:tc>
          <w:tcPr>
            <w:tcW w:w="820" w:type="dxa"/>
            <w:vAlign w:val="bottom"/>
          </w:tcPr>
          <w:p>
            <w:pPr>
              <w:ind w:left="380"/>
              <w:spacing w:after="0"/>
              <w:rPr>
                <w:sz w:val="20"/>
                <w:szCs w:val="20"/>
                <w:color w:val="auto"/>
              </w:rPr>
            </w:pPr>
            <w:r>
              <w:rPr>
                <w:rFonts w:ascii="Arial" w:cs="Arial" w:eastAsia="Arial" w:hAnsi="Arial"/>
                <w:sz w:val="16"/>
                <w:szCs w:val="16"/>
                <w:color w:val="auto"/>
                <w:w w:val="92"/>
              </w:rPr>
              <w:t>2.03%</w:t>
            </w:r>
          </w:p>
        </w:tc>
        <w:tc>
          <w:tcPr>
            <w:tcW w:w="640" w:type="dxa"/>
            <w:vAlign w:val="bottom"/>
          </w:tcPr>
          <w:p>
            <w:pPr>
              <w:spacing w:after="0"/>
              <w:rPr>
                <w:sz w:val="20"/>
                <w:szCs w:val="20"/>
                <w:color w:val="auto"/>
              </w:rPr>
            </w:pPr>
          </w:p>
        </w:tc>
        <w:tc>
          <w:tcPr>
            <w:tcW w:w="188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Paul E. Rothamel</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118,570</w:t>
            </w:r>
          </w:p>
        </w:tc>
        <w:tc>
          <w:tcPr>
            <w:tcW w:w="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w:t>
            </w:r>
          </w:p>
        </w:tc>
        <w:tc>
          <w:tcPr>
            <w:tcW w:w="1460" w:type="dxa"/>
            <w:vAlign w:val="bottom"/>
            <w:tcBorders>
              <w:bottom w:val="single" w:sz="8" w:color="CCEEFF"/>
            </w:tcBorders>
            <w:gridSpan w:val="2"/>
            <w:shd w:val="clear" w:color="auto" w:fill="CCEEFF"/>
          </w:tcPr>
          <w:p>
            <w:pPr>
              <w:jc w:val="center"/>
              <w:ind w:right="860"/>
              <w:spacing w:after="0"/>
              <w:rPr>
                <w:sz w:val="20"/>
                <w:szCs w:val="20"/>
                <w:color w:val="auto"/>
              </w:rPr>
            </w:pPr>
            <w:r>
              <w:rPr>
                <w:rFonts w:ascii="Arial" w:cs="Arial" w:eastAsia="Arial" w:hAnsi="Arial"/>
                <w:sz w:val="16"/>
                <w:szCs w:val="16"/>
                <w:color w:val="auto"/>
              </w:rPr>
              <w:t>(g)</w:t>
            </w:r>
          </w:p>
        </w:tc>
        <w:tc>
          <w:tcPr>
            <w:tcW w:w="18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Joseph J. Beal</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15,100</w:t>
            </w:r>
          </w:p>
        </w:tc>
        <w:tc>
          <w:tcPr>
            <w:tcW w:w="860" w:type="dxa"/>
            <w:vAlign w:val="bottom"/>
          </w:tcPr>
          <w:p>
            <w:pPr>
              <w:ind w:left="120"/>
              <w:spacing w:after="0"/>
              <w:rPr>
                <w:sz w:val="20"/>
                <w:szCs w:val="20"/>
                <w:color w:val="auto"/>
              </w:rPr>
            </w:pPr>
            <w:r>
              <w:rPr>
                <w:rFonts w:ascii="Arial" w:cs="Arial" w:eastAsia="Arial" w:hAnsi="Arial"/>
                <w:sz w:val="16"/>
                <w:szCs w:val="16"/>
                <w:color w:val="auto"/>
              </w:rPr>
              <w:t>(h)</w:t>
            </w:r>
          </w:p>
        </w:tc>
        <w:tc>
          <w:tcPr>
            <w:tcW w:w="1460" w:type="dxa"/>
            <w:vAlign w:val="bottom"/>
            <w:gridSpan w:val="2"/>
          </w:tcPr>
          <w:p>
            <w:pPr>
              <w:jc w:val="center"/>
              <w:ind w:right="860"/>
              <w:spacing w:after="0"/>
              <w:rPr>
                <w:sz w:val="20"/>
                <w:szCs w:val="20"/>
                <w:color w:val="auto"/>
              </w:rPr>
            </w:pPr>
            <w:r>
              <w:rPr>
                <w:rFonts w:ascii="Arial" w:cs="Arial" w:eastAsia="Arial" w:hAnsi="Arial"/>
                <w:sz w:val="16"/>
                <w:szCs w:val="16"/>
                <w:color w:val="auto"/>
              </w:rPr>
              <w:t>(g)</w:t>
            </w:r>
          </w:p>
        </w:tc>
        <w:tc>
          <w:tcPr>
            <w:tcW w:w="188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Pablo Lagos Espinosa</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8,600</w:t>
            </w:r>
          </w:p>
        </w:tc>
        <w:tc>
          <w:tcPr>
            <w:tcW w:w="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460" w:type="dxa"/>
            <w:vAlign w:val="bottom"/>
            <w:tcBorders>
              <w:bottom w:val="single" w:sz="8" w:color="CCEEFF"/>
            </w:tcBorders>
            <w:gridSpan w:val="2"/>
            <w:shd w:val="clear" w:color="auto" w:fill="CCEEFF"/>
          </w:tcPr>
          <w:p>
            <w:pPr>
              <w:jc w:val="center"/>
              <w:ind w:right="860"/>
              <w:spacing w:after="0"/>
              <w:rPr>
                <w:sz w:val="20"/>
                <w:szCs w:val="20"/>
                <w:color w:val="auto"/>
              </w:rPr>
            </w:pPr>
            <w:r>
              <w:rPr>
                <w:rFonts w:ascii="Arial" w:cs="Arial" w:eastAsia="Arial" w:hAnsi="Arial"/>
                <w:sz w:val="16"/>
                <w:szCs w:val="16"/>
                <w:color w:val="auto"/>
              </w:rPr>
              <w:t>(g)</w:t>
            </w:r>
          </w:p>
        </w:tc>
        <w:tc>
          <w:tcPr>
            <w:tcW w:w="18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John Farrell</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2,600</w:t>
            </w:r>
          </w:p>
        </w:tc>
        <w:tc>
          <w:tcPr>
            <w:tcW w:w="860" w:type="dxa"/>
            <w:vAlign w:val="bottom"/>
          </w:tcPr>
          <w:p>
            <w:pPr>
              <w:ind w:left="120"/>
              <w:spacing w:after="0"/>
              <w:rPr>
                <w:sz w:val="20"/>
                <w:szCs w:val="20"/>
                <w:color w:val="auto"/>
              </w:rPr>
            </w:pPr>
            <w:r>
              <w:rPr>
                <w:rFonts w:ascii="Arial" w:cs="Arial" w:eastAsia="Arial" w:hAnsi="Arial"/>
                <w:sz w:val="16"/>
                <w:szCs w:val="16"/>
                <w:color w:val="auto"/>
              </w:rPr>
              <w:t>(h)</w:t>
            </w:r>
          </w:p>
        </w:tc>
        <w:tc>
          <w:tcPr>
            <w:tcW w:w="1460" w:type="dxa"/>
            <w:vAlign w:val="bottom"/>
            <w:gridSpan w:val="2"/>
          </w:tcPr>
          <w:p>
            <w:pPr>
              <w:jc w:val="center"/>
              <w:ind w:right="860"/>
              <w:spacing w:after="0"/>
              <w:rPr>
                <w:sz w:val="20"/>
                <w:szCs w:val="20"/>
                <w:color w:val="auto"/>
              </w:rPr>
            </w:pPr>
            <w:r>
              <w:rPr>
                <w:rFonts w:ascii="Arial" w:cs="Arial" w:eastAsia="Arial" w:hAnsi="Arial"/>
                <w:sz w:val="16"/>
                <w:szCs w:val="16"/>
                <w:color w:val="auto"/>
              </w:rPr>
              <w:t>(g)</w:t>
            </w: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William C. Love</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21,600</w:t>
            </w:r>
          </w:p>
        </w:tc>
        <w:tc>
          <w:tcPr>
            <w:tcW w:w="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460" w:type="dxa"/>
            <w:vAlign w:val="bottom"/>
            <w:tcBorders>
              <w:bottom w:val="single" w:sz="8" w:color="CCEEFF"/>
            </w:tcBorders>
            <w:gridSpan w:val="2"/>
            <w:shd w:val="clear" w:color="auto" w:fill="CCEEFF"/>
          </w:tcPr>
          <w:p>
            <w:pPr>
              <w:jc w:val="center"/>
              <w:ind w:right="860"/>
              <w:spacing w:after="0"/>
              <w:rPr>
                <w:sz w:val="20"/>
                <w:szCs w:val="20"/>
                <w:color w:val="auto"/>
              </w:rPr>
            </w:pPr>
            <w:r>
              <w:rPr>
                <w:rFonts w:ascii="Arial" w:cs="Arial" w:eastAsia="Arial" w:hAnsi="Arial"/>
                <w:sz w:val="16"/>
                <w:szCs w:val="16"/>
                <w:color w:val="auto"/>
              </w:rPr>
              <w:t>(g)</w:t>
            </w:r>
          </w:p>
        </w:tc>
        <w:tc>
          <w:tcPr>
            <w:tcW w:w="18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Thomas C. Roberts</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23,600</w:t>
            </w:r>
          </w:p>
        </w:tc>
        <w:tc>
          <w:tcPr>
            <w:tcW w:w="860" w:type="dxa"/>
            <w:vAlign w:val="bottom"/>
          </w:tcPr>
          <w:p>
            <w:pPr>
              <w:ind w:left="120"/>
              <w:spacing w:after="0"/>
              <w:rPr>
                <w:sz w:val="20"/>
                <w:szCs w:val="20"/>
                <w:color w:val="auto"/>
              </w:rPr>
            </w:pPr>
            <w:r>
              <w:rPr>
                <w:rFonts w:ascii="Arial" w:cs="Arial" w:eastAsia="Arial" w:hAnsi="Arial"/>
                <w:sz w:val="16"/>
                <w:szCs w:val="16"/>
                <w:color w:val="auto"/>
              </w:rPr>
              <w:t>(h)</w:t>
            </w:r>
          </w:p>
        </w:tc>
        <w:tc>
          <w:tcPr>
            <w:tcW w:w="1460" w:type="dxa"/>
            <w:vAlign w:val="bottom"/>
            <w:gridSpan w:val="2"/>
          </w:tcPr>
          <w:p>
            <w:pPr>
              <w:jc w:val="center"/>
              <w:ind w:right="860"/>
              <w:spacing w:after="0"/>
              <w:rPr>
                <w:sz w:val="20"/>
                <w:szCs w:val="20"/>
                <w:color w:val="auto"/>
              </w:rPr>
            </w:pPr>
            <w:r>
              <w:rPr>
                <w:rFonts w:ascii="Arial" w:cs="Arial" w:eastAsia="Arial" w:hAnsi="Arial"/>
                <w:sz w:val="16"/>
                <w:szCs w:val="16"/>
                <w:color w:val="auto"/>
              </w:rPr>
              <w:t>(g)</w:t>
            </w:r>
          </w:p>
        </w:tc>
        <w:tc>
          <w:tcPr>
            <w:tcW w:w="188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 Kuchenrither</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16,852</w:t>
            </w:r>
          </w:p>
        </w:tc>
        <w:tc>
          <w:tcPr>
            <w:tcW w:w="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w:t>
            </w:r>
          </w:p>
        </w:tc>
        <w:tc>
          <w:tcPr>
            <w:tcW w:w="1460" w:type="dxa"/>
            <w:vAlign w:val="bottom"/>
            <w:tcBorders>
              <w:bottom w:val="single" w:sz="8" w:color="CCEEFF"/>
            </w:tcBorders>
            <w:gridSpan w:val="2"/>
            <w:shd w:val="clear" w:color="auto" w:fill="CCEEFF"/>
          </w:tcPr>
          <w:p>
            <w:pPr>
              <w:jc w:val="center"/>
              <w:ind w:right="860"/>
              <w:spacing w:after="0"/>
              <w:rPr>
                <w:sz w:val="20"/>
                <w:szCs w:val="20"/>
                <w:color w:val="auto"/>
              </w:rPr>
            </w:pPr>
            <w:r>
              <w:rPr>
                <w:rFonts w:ascii="Arial" w:cs="Arial" w:eastAsia="Arial" w:hAnsi="Arial"/>
                <w:sz w:val="16"/>
                <w:szCs w:val="16"/>
                <w:color w:val="auto"/>
              </w:rPr>
              <w:t>(g)</w:t>
            </w:r>
          </w:p>
        </w:tc>
        <w:tc>
          <w:tcPr>
            <w:tcW w:w="18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Eric Fosse</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15,954</w:t>
            </w:r>
          </w:p>
        </w:tc>
        <w:tc>
          <w:tcPr>
            <w:tcW w:w="860" w:type="dxa"/>
            <w:vAlign w:val="bottom"/>
          </w:tcPr>
          <w:p>
            <w:pPr>
              <w:ind w:left="120"/>
              <w:spacing w:after="0"/>
              <w:rPr>
                <w:sz w:val="20"/>
                <w:szCs w:val="20"/>
                <w:color w:val="auto"/>
              </w:rPr>
            </w:pPr>
            <w:r>
              <w:rPr>
                <w:rFonts w:ascii="Arial" w:cs="Arial" w:eastAsia="Arial" w:hAnsi="Arial"/>
                <w:sz w:val="16"/>
                <w:szCs w:val="16"/>
                <w:color w:val="auto"/>
              </w:rPr>
              <w:t>(j)</w:t>
            </w:r>
          </w:p>
        </w:tc>
        <w:tc>
          <w:tcPr>
            <w:tcW w:w="1460" w:type="dxa"/>
            <w:vAlign w:val="bottom"/>
            <w:gridSpan w:val="2"/>
          </w:tcPr>
          <w:p>
            <w:pPr>
              <w:jc w:val="center"/>
              <w:ind w:right="860"/>
              <w:spacing w:after="0"/>
              <w:rPr>
                <w:sz w:val="20"/>
                <w:szCs w:val="20"/>
                <w:color w:val="auto"/>
              </w:rPr>
            </w:pPr>
            <w:r>
              <w:rPr>
                <w:rFonts w:ascii="Arial" w:cs="Arial" w:eastAsia="Arial" w:hAnsi="Arial"/>
                <w:sz w:val="16"/>
                <w:szCs w:val="16"/>
                <w:color w:val="auto"/>
              </w:rPr>
              <w:t>(g)</w:t>
            </w:r>
          </w:p>
        </w:tc>
        <w:tc>
          <w:tcPr>
            <w:tcW w:w="188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Directors and executive officers as a group (14</w:t>
            </w:r>
          </w:p>
        </w:tc>
        <w:tc>
          <w:tcPr>
            <w:tcW w:w="1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persons) (l)</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1,255,592</w:t>
            </w:r>
          </w:p>
        </w:tc>
        <w:tc>
          <w:tcPr>
            <w:tcW w:w="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(k)</w:t>
            </w:r>
          </w:p>
        </w:tc>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2.57%</w:t>
            </w:r>
          </w:p>
        </w:tc>
        <w:tc>
          <w:tcPr>
            <w:tcW w:w="6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3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44" w:lineRule="exact"/>
        <w:rPr>
          <w:sz w:val="20"/>
          <w:szCs w:val="20"/>
          <w:color w:val="auto"/>
        </w:rPr>
      </w:pPr>
    </w:p>
    <w:p>
      <w:pPr>
        <w:ind w:left="340" w:right="480" w:hanging="332"/>
        <w:spacing w:after="0" w:line="275"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10" w:lineRule="exact"/>
        <w:rPr>
          <w:rFonts w:ascii="Arial" w:cs="Arial" w:eastAsia="Arial" w:hAnsi="Arial"/>
          <w:sz w:val="16"/>
          <w:szCs w:val="16"/>
          <w:color w:val="auto"/>
        </w:rPr>
      </w:pPr>
    </w:p>
    <w:p>
      <w:pPr>
        <w:ind w:left="340" w:right="40" w:hanging="332"/>
        <w:spacing w:after="0" w:line="275"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number of shares and percentage reflect Class A Common Stock, inclusive of Class B Common Stock, shares of which are convertible to Class A Common Stock on a one-to-one basis.</w:t>
      </w:r>
    </w:p>
    <w:p>
      <w:pPr>
        <w:spacing w:after="0" w:line="10" w:lineRule="exact"/>
        <w:rPr>
          <w:rFonts w:ascii="Arial" w:cs="Arial" w:eastAsia="Arial" w:hAnsi="Arial"/>
          <w:sz w:val="16"/>
          <w:szCs w:val="16"/>
          <w:color w:val="auto"/>
        </w:rPr>
      </w:pPr>
    </w:p>
    <w:p>
      <w:pPr>
        <w:ind w:left="340" w:right="40" w:hanging="332"/>
        <w:spacing w:after="0" w:line="261"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According to its Schedule 13G filed with the SEC on February 13, 2012, Blackrock, Inc. held, as of December 31, 2011, sole voting power and sole dispositive power with respect to 3,455,713 shares. The percentage of the class represented by these shares shown in the table above is based on information provided by Blackrock, Inc. in its Schedule 13G.</w:t>
      </w:r>
    </w:p>
    <w:p>
      <w:pPr>
        <w:spacing w:after="0" w:line="20"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According to its Schedule 13G filed with the SEC on February 09, 2012, The Vanguard Group, Inc. held, as of December 31, 2011, sole voting power with respect to 64,260 shares, sole dispositive power with respect to 2,605,407 shares and shared dispositive power with respect to 64,260 shares. The percentage of the class represented by these shares shown in the table above is based on information provided by The Vanguard Group, Inc. in its Schedule 13G.</w:t>
      </w:r>
    </w:p>
    <w:p>
      <w:pPr>
        <w:spacing w:after="0" w:line="4" w:lineRule="exact"/>
        <w:rPr>
          <w:rFonts w:ascii="Arial" w:cs="Arial" w:eastAsia="Arial" w:hAnsi="Arial"/>
          <w:sz w:val="15"/>
          <w:szCs w:val="15"/>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235,000 shares of restricted stock that will vest in November 2012. Does not include 470,000 shares of unvested restricted stock.</w:t>
      </w:r>
    </w:p>
    <w:p>
      <w:pPr>
        <w:spacing w:after="0" w:line="59" w:lineRule="exact"/>
        <w:rPr>
          <w:rFonts w:ascii="Arial" w:cs="Arial" w:eastAsia="Arial" w:hAnsi="Arial"/>
          <w:sz w:val="16"/>
          <w:szCs w:val="16"/>
          <w:color w:val="auto"/>
        </w:rPr>
      </w:pPr>
    </w:p>
    <w:p>
      <w:pPr>
        <w:ind w:left="340" w:right="60" w:hanging="332"/>
        <w:spacing w:after="0" w:line="275"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100,000 shares of restricted stock that will vest in November 2012 and 183 shares held through the company's 401 (k) retirement savings plan. Does not include 200,000 shares of unvested restricted stock.</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Shares beneficially owned do not exceed one percent of Class A Common Stock, inclusive of Class B Common Stock.</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Does not include 9,100 shares of unvested restricted stock.</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14,400 shares of restricted stock that will vest in November 2012. Does not include 35,466 shares of unvested restricted stock.</w:t>
      </w:r>
    </w:p>
    <w:p>
      <w:pPr>
        <w:spacing w:after="0" w:line="59" w:lineRule="exact"/>
        <w:rPr>
          <w:rFonts w:ascii="Arial" w:cs="Arial" w:eastAsia="Arial" w:hAnsi="Arial"/>
          <w:sz w:val="16"/>
          <w:szCs w:val="16"/>
          <w:color w:val="auto"/>
        </w:rPr>
      </w:pPr>
    </w:p>
    <w:p>
      <w:pPr>
        <w:ind w:left="340" w:right="260" w:hanging="332"/>
        <w:spacing w:after="0" w:line="275"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8,867 shares of restricted stock that will vest in November 2012 and 387 shares held through the company's 401(k) retirement savings plan. Does not include 24,399 shares of unvested restricted stock.</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Group includes those persons who were serving as directors and executive officers on October 31, 2012.</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372,734 shares of restricted stock that will vest in November 2012. Does not include 858,694 shares of unvested restricted stock.</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125" w:right="29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Madison Park</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October 1, 2012, we entered into an advisory services agreement with Madison Park, LLC (“Madison Park”), a business and financial advisory firm wholly-owned by Phillip E. Cohen, the beneficial owner of all of EZCORP’s outstanding Class B Voting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Summary of Terms </w:t>
      </w:r>
      <w:r>
        <w:rPr>
          <w:rFonts w:ascii="Arial" w:cs="Arial" w:eastAsia="Arial" w:hAnsi="Arial"/>
          <w:sz w:val="16"/>
          <w:szCs w:val="16"/>
          <w:color w:val="auto"/>
        </w:rPr>
        <w:t>— The advisory services agreement is effective as of October 1, 2012, and the term of the engagement runs through September 30,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terminate the agreement at any time on 30 days’ written notice to the other party.</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agreement, Madison Park will provide advisory services related to EZCORP’s business and long-term strategic plan, including (a) identifying, evaluating and negotiating potential acquisitions and strategic alliances, (b) assessing operating and strategic objectives, including new business development,</w:t>
      </w: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assisting in international business development and strategic investment opportunities that complement EZCORP’s business lines and strategic objectives,</w:t>
      </w:r>
    </w:p>
    <w:p>
      <w:pPr>
        <w:spacing w:after="0" w:line="32" w:lineRule="exact"/>
        <w:rPr>
          <w:rFonts w:ascii="Arial" w:cs="Arial" w:eastAsia="Arial" w:hAnsi="Arial"/>
          <w:sz w:val="16"/>
          <w:szCs w:val="16"/>
          <w:color w:val="auto"/>
        </w:rPr>
      </w:pPr>
    </w:p>
    <w:p>
      <w:pPr>
        <w:ind w:right="60" w:firstLine="8"/>
        <w:spacing w:after="0" w:line="268"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analyzing financial condition and results of operations, evaluating strengths and weaknesses of financial performance and recommending measures to improve performance, (d) advising on dividend policy and corporate transactions, such as stock repurchases, splits, recapitalizations and restructurings, (f) providing briefings on business strategy to the Board of Directors from time to time, (g) advising on investor relations and relations with investment bankers, securities analysts and other members of the financial services industry and (h) performing such other services as are reasonably requested by EZCORP. In exchange for those services, EZCORP will pay Madison Park a retainer fee of $600,000 per month and will reimburse Madison Park for its out-of-pocket expenses incurred in connection with the engagement. EZCORP will indemnify Madison Park (and its officers, directors, employees and affiliates) from and against all claims, costs, liabilities and damages related to or arising out of the engagement (except to the extent that any claim, cost, liability or damage results from the recklessness, willful misconduct or bad faith of the indemnified 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agreement is filed as Exhibit 10.7.</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Board Governance Process </w:t>
      </w:r>
      <w:r>
        <w:rPr>
          <w:rFonts w:ascii="Arial" w:cs="Arial" w:eastAsia="Arial" w:hAnsi="Arial"/>
          <w:sz w:val="18"/>
          <w:szCs w:val="18"/>
          <w:color w:val="auto"/>
        </w:rPr>
        <w:t>— The engagement of Madison Park pursuant to the advisory services agreement was identified and acknowledged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EZCORP Board of Directors as a related party transaction that was subject to the company’s Policy for Review and Evaluation of Related Party Transactions. Under that policy, the Audit Committee (comprised entirely of independent, non-employee directors) is responsible for reviewing, evaluating, approving or taking other action with respect to related party transactions on behalf of, and with full power and authority of, the Board of Directors. Acting under that policy,</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implemented measures designed to ensure that the advisory services agreement with Madison Park was considered, analyzed, negotiated and approved objectively. Those measures included the following:</w:t>
      </w:r>
    </w:p>
    <w:p>
      <w:pPr>
        <w:spacing w:after="0" w:line="116" w:lineRule="exact"/>
        <w:rPr>
          <w:sz w:val="20"/>
          <w:szCs w:val="20"/>
          <w:color w:val="auto"/>
        </w:rPr>
      </w:pPr>
    </w:p>
    <w:p>
      <w:pPr>
        <w:ind w:left="660" w:right="20" w:hanging="328"/>
        <w:spacing w:after="0" w:line="31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 Committee engaged a qualified, independent financial advisory firm for the purpose of evaluating the proposed advisory services agreement relative to comparable market rates for the services contemplated by the agreement, and that firm counseled and advised the committee in the course of its consideration and evaluation of the Madison Park relationship and the proposed terms of the new advisory services agreement.</w:t>
      </w:r>
    </w:p>
    <w:p>
      <w:pPr>
        <w:spacing w:after="0" w:line="92"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Audit Committee sought, received and relied upon an opinion from that independent financial advisory firm to the effect that the consideration to be paid to Madison Park pursuant to the advisory services agreement is fair to EZCORP from a financial point of view.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With those measures, the Audit Committee evaluated and considered the following information, among other things:</w:t>
      </w:r>
    </w:p>
    <w:p>
      <w:pPr>
        <w:spacing w:after="0" w:line="171" w:lineRule="exact"/>
        <w:rPr>
          <w:sz w:val="20"/>
          <w:szCs w:val="20"/>
          <w:color w:val="auto"/>
        </w:rPr>
      </w:pPr>
    </w:p>
    <w:p>
      <w:pPr>
        <w:ind w:left="660" w:right="2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committee’s financial advisor prepared, and presented to the committee, a report that analyzed 40 separate comparable public company advisory engagements. That report described the structure of the contracted fee and compared the amount of the fee to various financial metrics such as revenues and EBITDA.</w:t>
      </w:r>
    </w:p>
    <w:p>
      <w:pPr>
        <w:spacing w:after="0" w:line="127" w:lineRule="exact"/>
        <w:rPr>
          <w:rFonts w:ascii="Arial" w:cs="Arial" w:eastAsia="Arial" w:hAnsi="Arial"/>
          <w:sz w:val="18"/>
          <w:szCs w:val="18"/>
          <w:color w:val="auto"/>
        </w:rPr>
      </w:pPr>
    </w:p>
    <w:p>
      <w:pPr>
        <w:jc w:val="both"/>
        <w:ind w:left="660" w:right="180" w:hanging="328"/>
        <w:spacing w:after="0" w:line="288"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committee considered whether EZCORP continues to need services provided by Madison Park and whether there were alternative sources for those services. The committee concluded that the services provided by Madison Park under previous contracts had been essential to the company’s growth and diversification of its business and that these types of services would be critical to continue that successful growth and diversification.</w:t>
      </w:r>
    </w:p>
    <w:p>
      <w:pPr>
        <w:ind w:left="660" w:right="260"/>
        <w:spacing w:after="0" w:line="255" w:lineRule="auto"/>
        <w:rPr>
          <w:rFonts w:ascii="Arial" w:cs="Arial" w:eastAsia="Arial" w:hAnsi="Arial"/>
          <w:sz w:val="16"/>
          <w:szCs w:val="16"/>
          <w:color w:val="auto"/>
        </w:rPr>
      </w:pPr>
      <w:r>
        <w:rPr>
          <w:rFonts w:ascii="Arial" w:cs="Arial" w:eastAsia="Arial" w:hAnsi="Arial"/>
          <w:sz w:val="18"/>
          <w:szCs w:val="18"/>
          <w:color w:val="auto"/>
        </w:rPr>
        <w:t>Further, the committee concluded that, given the current challenging market environment, the advice, counsel and guidance provided by Madison Park, as well as Madison Parks contacts and perspectives on strategic acquisition opportunities, would be critical to shaping and executing EZCORP’s strategic plans, both short-term and long-term.</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20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committee also concluded that, given EZCORP’s unique business and based on the committee’s prior investigations, it was unlikely that any other financial or strategic advisor would have the specific expertise to provide the services the company needs. A necessary element to this conclusion was the unique capabilities and expertise of Madison Park and its principal, Mr. Cohen, including long-term experience and high-level strategic, industry-specific expertise.</w:t>
      </w:r>
    </w:p>
    <w:p>
      <w:pPr>
        <w:spacing w:after="0" w:line="13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committee considered a multi-year, performance-based arrangement, but ultimately concluded that a single-year, fixed-fee arrangement was in the best interests of the company at this time.</w:t>
      </w:r>
    </w:p>
    <w:p>
      <w:pPr>
        <w:spacing w:after="0" w:line="116" w:lineRule="exact"/>
        <w:rPr>
          <w:rFonts w:ascii="Arial" w:cs="Arial" w:eastAsia="Arial" w:hAnsi="Arial"/>
          <w:sz w:val="18"/>
          <w:szCs w:val="18"/>
          <w:color w:val="auto"/>
        </w:rPr>
      </w:pPr>
    </w:p>
    <w:p>
      <w:pPr>
        <w:ind w:left="660" w:right="40" w:hanging="328"/>
        <w:spacing w:after="0" w:line="293"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context of an analysis of the historical and proposed fee amounts compared with the company’s historical and projected financial results, as well as the analytical data provided by the committee’s financial advisor, the committee considered whether the proposed retainer fee was appropriate, given the company’s need for the services and Madison Park’s unique ability to provide them. The committee observed that the amount of the proposed fee generally fell within the ranges indicated by the comparable data, albeit at the upper portions of those ranges. Given the unique expertise provided by Madison Park and the company’s need for that unique expertise, the committee concluded that a fee in the upper portions of the comparable ranges was justified, particularly given the strategic challenges facing the company over the next year.</w:t>
      </w:r>
    </w:p>
    <w:p>
      <w:pPr>
        <w:spacing w:after="0" w:line="110" w:lineRule="exact"/>
        <w:rPr>
          <w:rFonts w:ascii="Arial" w:cs="Arial" w:eastAsia="Arial" w:hAnsi="Arial"/>
          <w:sz w:val="16"/>
          <w:szCs w:val="16"/>
          <w:color w:val="auto"/>
        </w:rPr>
      </w:pPr>
    </w:p>
    <w:p>
      <w:pPr>
        <w:ind w:left="660" w:right="1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After thorough discussion and analysis, the committee concluded that, under reasonable analytical methodologies, the proposed fee appeared to be within the range indicated by the comparative data, particularly when the company’s unique needs and Madison Park’s unique abilities were considered.</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After consideration and discussion of this information and other factors, the information and fairness opinion provided by its independent financial advisory firm and the relationships and the interests of Mr. Cohen, the Audit Committee concluded that the proposed advisory services agreement for fiscal 2013 was fair to, and in the best interests of, EZCORP and its stockholders and, on that basis, approved the engagement of Madison Park pursuant to the advisory services agreement.</w:t>
      </w:r>
    </w:p>
    <w:p>
      <w:pPr>
        <w:spacing w:after="0" w:line="13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advisory services agreement replaces a similar agreement that expired on September 30, 2011. Under that prior agreement, which was effective for all of fiscal 2012, we paid Madison Park a total of $6.0 million in exchange for the financial advisory services provided pursuant to the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 As noted under "Agreement with Madison Park" above, the Audit Committee reviewed and approved the transaction described in that section.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of Directors believes that the interests of the stockholders are best served by having a substantial number of objective, independent representatives on the Board. For this purpose, a director is considered to be independent only if the Board affirmatively determines that the director does not have any direct or indirect material relationship with the company that may impair, or appear to impair, the director’s ability to make independent judgments.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125" w:right="29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Board has evaluated all relationships between each director and the company and has made the following determinations with respect to each director’s independence: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Director</w:t>
            </w:r>
          </w:p>
        </w:tc>
        <w:tc>
          <w:tcPr>
            <w:tcW w:w="120" w:type="dxa"/>
            <w:vAlign w:val="bottom"/>
          </w:tcPr>
          <w:p>
            <w:pPr>
              <w:spacing w:after="0"/>
              <w:rPr>
                <w:sz w:val="16"/>
                <w:szCs w:val="16"/>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Status (a)</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Sterling B. Brinkley</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(b)</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Paul E. Rothamel</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(b)</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Joseph J. Beal</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John Farrell</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William C. Love</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Thomas C. Roberts</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340" w:right="80" w:hanging="332"/>
        <w:spacing w:after="0" w:line="256"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79" w:lineRule="exact"/>
        <w:rPr>
          <w:rFonts w:ascii="Arial" w:cs="Arial" w:eastAsia="Arial" w:hAnsi="Arial"/>
          <w:sz w:val="16"/>
          <w:szCs w:val="16"/>
          <w:color w:val="auto"/>
        </w:rPr>
      </w:pPr>
    </w:p>
    <w:p>
      <w:pPr>
        <w:ind w:left="340" w:hanging="332"/>
        <w:spacing w:after="0"/>
        <w:tabs>
          <w:tab w:leader="none" w:pos="3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Mr. Brinkley and Mr. Rothamel are executive officers and, therefore, are not independent in accordance with the standards set forth in the NASDAQ Listing Rules.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BDO USA, LLP is a registered public accounting firm and has been our independent auditor since 2004. In addition to retaining BDO USA, LLP to audit our consolidated financial statements, we engage the firm from time to time to perform other services. The following table presents all fees we incurred in connection with professional services provided by BDO USA, LLP during each of the last two fiscal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Audit of financial statements and audit pursuant to section 404 of the Sarbanes-Oxley Act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557,417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587,583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Quarterly reviews and other audit fees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144,568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111,824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audit fees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701,985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699,407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related fees (a)</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67,105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59,194</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fees for services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769,090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758,601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5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8"/>
                <w:szCs w:val="18"/>
                <w:color w:val="auto"/>
              </w:rPr>
              <w:t>(a)  Audit related fees consist of consultations and the audit of our 401(k) retirement savings plan.</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amounts shown for fiscal 2012 include our estimated costs for the fiscal 2012 integrated audit, for which we have not yet received final billings. Included in the amounts for fiscal 2012 above is a $37,583 reduction of fees related to the fiscal 2011 integrated audit, as our previously estimated costs exceeded total billings. Included in the amounts for fiscal 2011 above is a $37,583 addition of fees related to the fiscal 2010 integrated audit, as total billings exceeded our previously estimated costs.</w:t>
      </w:r>
    </w:p>
    <w:p>
      <w:pPr>
        <w:spacing w:after="0" w:line="2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Audit Committee of our Board of Directors has adopted a policy requiring its pre-approval of all fees to be paid to our independent audit firm, regardless of the type of service. All non-audit services were reviewed with the Audit Committee, which concluded that the provision of such services by BDO USA, LLP was compatible with the maintenance of that firm’s independence in the conduct of its auditing functions.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consolidated financial statements of EZCORP, Inc. are included in “Part II — Item 8 — Financial Statements and Supplementary Data”:</w:t>
      </w:r>
    </w:p>
    <w:p>
      <w:pPr>
        <w:spacing w:after="0" w:line="183"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Consolidated Balance Sheets as of September 30, 2012 and 2011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Consolidated Statements of Operations for each of the three years in the period ended September 30, 2012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each of the three years in the period ended September 30, 2012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September 30, 2012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each of the three years in the period ended September 30, 2012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282"/>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Amended Certificate of Incorporation (incorporated by reference to Exhibit 3.1 to the Company’s Registration Statement on Form S-4</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September 26, 2008, Commission File No. 33-153703)</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Amended Bylaws (incorporated by reference to Exhibit 3.2 to the Company’s Annual Report on Form 10-K for the year ended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September 30, 2008,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Specimen of Class A Non-voting Common Stock certificate (incorporated by reference to Exhibit 4.1 to the Company’s Registration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Statement on Form S-1 effective August 23, 1991, Commission File No. 33-41317)</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Credit Services and Loan Administration Agreement, dated April 11, 2006, between Texas EZPAWN, L.P. and NCP Finance Limited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Partnership (incorporated by reference to Exhibit 10.97 to the Company’s Quarterly Report on Form 10-Q for the quarter ended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31, 2006,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Guaranty, dated April 11, 2006, from EZCORP, Inc. to NCP Finance Limited Partnership (incorporated by reference to Exhibit 10.98 to</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the Company’s Quarterly Report on Form 10-Q for the quarter ended March 31, 2006,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Credit Services Organization and Lender Agreement, dated April 12, 2006, between Texas EZMONEY, L.P. and Integrity Texas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Funding, L.P. (incorporated by reference to Exhibit 10.99 to the Company’s Quarterly Report on Form 10-Q for the quarter ended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31, 2006,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Credit Services Organization and Lender Agreement, dated November 9, 2005, between Texas EZPAWN, L.P. and Integrity Texas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Funding, L.P. (incorporated by reference to Exhibit 10.100 to the Company’s Quarterly Report on Form 10-Q for the quarter ended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31, 2006,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Credit Agreement, dated as of May 10, 2011, among EZCORP, Inc. (as Borrower), certain domestic subsidiaries of the Borrower from</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time to time party thereto (as Guarantors), the Lenders party thereto, and Wells Fargo Bank, National Association (as Administrative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Agent) and BBVA Compass Bank (as Syndication Agent) (incorporate by reference to Exhibit 10.1 to the Company’s Current Report 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8-K dated May 10, 2011 and filed May 11, 2011,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Advisory Services Agreement, effective October 1, 2011, between the Company and Madison Park, LLC (incorporated by reference to</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Exhibit 10.1 to the Company’s Current Report on Form 8-K dated September 30, 2011 and filed October 6, 2011, Commission File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 0-19424)</w:t>
            </w:r>
          </w:p>
        </w:tc>
      </w:tr>
      <w:tr>
        <w:trPr>
          <w:trHeight w:val="48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134</w:t>
            </w:r>
          </w:p>
        </w:tc>
      </w:tr>
    </w:tbl>
    <w:p>
      <w:pPr>
        <w:sectPr>
          <w:pgSz w:w="11900" w:h="16838" w:orient="portrait"/>
          <w:cols w:equalWidth="0" w:num="1">
            <w:col w:w="11420"/>
          </w:cols>
          <w:pgMar w:left="240" w:top="125" w:right="2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Table of Contents</w:t>
              </w:r>
            </w:hyperlink>
          </w:p>
        </w:tc>
        <w:tc>
          <w:tcPr>
            <w:tcW w:w="9920" w:type="dxa"/>
            <w:vAlign w:val="bottom"/>
          </w:tcPr>
          <w:p>
            <w:pPr>
              <w:spacing w:after="0"/>
              <w:rPr>
                <w:sz w:val="17"/>
                <w:szCs w:val="17"/>
                <w:color w:val="auto"/>
              </w:rPr>
            </w:pPr>
          </w:p>
        </w:tc>
      </w:tr>
      <w:tr>
        <w:trPr>
          <w:trHeight w:val="681"/>
        </w:trPr>
        <w:tc>
          <w:tcPr>
            <w:tcW w:w="1280" w:type="dxa"/>
            <w:vAlign w:val="bottom"/>
            <w:tcBorders>
              <w:top w:val="single" w:sz="8" w:color="0000FF"/>
            </w:tcBorders>
          </w:tcPr>
          <w:p>
            <w:pPr>
              <w:jc w:val="center"/>
              <w:ind w:left="31"/>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Advisory Services Agreement, effective October 1, 2012, between the Company and Madison Park, LLC (incorporated by reference to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Exhibit 10.1 to the Company’s Current Report on Form 8-K dated September 28, 2012 and filed October 4, 2012, Commission File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No. 0-19424)</w:t>
            </w:r>
          </w:p>
        </w:tc>
      </w:tr>
      <w:tr>
        <w:trPr>
          <w:trHeight w:val="256"/>
        </w:trPr>
        <w:tc>
          <w:tcPr>
            <w:tcW w:w="1280" w:type="dxa"/>
            <w:vAlign w:val="bottom"/>
          </w:tcPr>
          <w:p>
            <w:pPr>
              <w:jc w:val="center"/>
              <w:ind w:left="31"/>
              <w:spacing w:after="0"/>
              <w:rPr>
                <w:sz w:val="20"/>
                <w:szCs w:val="20"/>
                <w:color w:val="auto"/>
              </w:rPr>
            </w:pPr>
            <w:r>
              <w:rPr>
                <w:rFonts w:ascii="Arial" w:cs="Arial" w:eastAsia="Arial" w:hAnsi="Arial"/>
                <w:sz w:val="18"/>
                <w:szCs w:val="18"/>
                <w:color w:val="auto"/>
                <w:w w:val="95"/>
              </w:rPr>
              <w:t>10.8*</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EZCORP, Inc. 401(k) Plan and Trust, effective October 27, 2009 (incorporated by reference to Exhibit 10.1 to the Company’s Annual</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Report on Form 10-K for the year ended September 30, 2009, Commission File No. 0-19424)</w:t>
            </w:r>
          </w:p>
        </w:tc>
      </w:tr>
      <w:tr>
        <w:trPr>
          <w:trHeight w:val="256"/>
        </w:trPr>
        <w:tc>
          <w:tcPr>
            <w:tcW w:w="1280" w:type="dxa"/>
            <w:vAlign w:val="bottom"/>
          </w:tcPr>
          <w:p>
            <w:pPr>
              <w:jc w:val="center"/>
              <w:ind w:left="31"/>
              <w:spacing w:after="0"/>
              <w:rPr>
                <w:sz w:val="20"/>
                <w:szCs w:val="20"/>
                <w:color w:val="auto"/>
              </w:rPr>
            </w:pPr>
            <w:r>
              <w:rPr>
                <w:rFonts w:ascii="Arial" w:cs="Arial" w:eastAsia="Arial" w:hAnsi="Arial"/>
                <w:sz w:val="18"/>
                <w:szCs w:val="18"/>
                <w:color w:val="auto"/>
                <w:w w:val="95"/>
              </w:rPr>
              <w:t>10.9*</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EZCORP, Inc. Supplemental Executive Retirement Plan effective December 1, 2005 (incorporated by reference to Exhibit 10.94 to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6"/>
              </w:rPr>
              <w:t>Company’s Current Report on Form 8-K dated November 28, 2005 and filed December 1, 2005, Commission File No. 0-19424)</w:t>
            </w:r>
          </w:p>
        </w:tc>
      </w:tr>
      <w:tr>
        <w:trPr>
          <w:trHeight w:val="256"/>
        </w:trPr>
        <w:tc>
          <w:tcPr>
            <w:tcW w:w="1280" w:type="dxa"/>
            <w:vAlign w:val="bottom"/>
          </w:tcPr>
          <w:p>
            <w:pPr>
              <w:jc w:val="center"/>
              <w:ind w:left="11"/>
              <w:spacing w:after="0"/>
              <w:rPr>
                <w:sz w:val="20"/>
                <w:szCs w:val="20"/>
                <w:color w:val="auto"/>
              </w:rPr>
            </w:pPr>
            <w:r>
              <w:rPr>
                <w:rFonts w:ascii="Arial" w:cs="Arial" w:eastAsia="Arial" w:hAnsi="Arial"/>
                <w:sz w:val="18"/>
                <w:szCs w:val="18"/>
                <w:color w:val="auto"/>
                <w:w w:val="95"/>
              </w:rPr>
              <w:t>10.10*</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EZCORP, Inc. 2006 Incentive Plan (incorporated by reference to Exhibit 10.104 to the Company’s Annual Report on Form 10-K for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year ended September 30, 2006, Commission File No. 0-19424)</w:t>
            </w:r>
          </w:p>
        </w:tc>
      </w:tr>
      <w:tr>
        <w:trPr>
          <w:trHeight w:val="256"/>
        </w:trPr>
        <w:tc>
          <w:tcPr>
            <w:tcW w:w="1280" w:type="dxa"/>
            <w:vAlign w:val="bottom"/>
          </w:tcPr>
          <w:p>
            <w:pPr>
              <w:jc w:val="center"/>
              <w:ind w:left="31"/>
              <w:spacing w:after="0"/>
              <w:rPr>
                <w:sz w:val="20"/>
                <w:szCs w:val="20"/>
                <w:color w:val="auto"/>
              </w:rPr>
            </w:pPr>
            <w:r>
              <w:rPr>
                <w:rFonts w:ascii="Arial" w:cs="Arial" w:eastAsia="Arial" w:hAnsi="Arial"/>
                <w:sz w:val="18"/>
                <w:szCs w:val="18"/>
                <w:color w:val="auto"/>
                <w:w w:val="92"/>
              </w:rPr>
              <w:t>10.11*</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Amended and Restated EZCORP, Inc. 2010 Long-Term Incentive Plan (incorporated by reference to Exhibit 99.1 to the Company’s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Registration Statement on Form S-8 effective May 19, 2010, Commission File No. 333-166950)</w:t>
            </w:r>
          </w:p>
        </w:tc>
      </w:tr>
      <w:tr>
        <w:trPr>
          <w:trHeight w:val="256"/>
        </w:trPr>
        <w:tc>
          <w:tcPr>
            <w:tcW w:w="1280" w:type="dxa"/>
            <w:vAlign w:val="bottom"/>
          </w:tcPr>
          <w:p>
            <w:pPr>
              <w:jc w:val="center"/>
              <w:ind w:left="11"/>
              <w:spacing w:after="0"/>
              <w:rPr>
                <w:sz w:val="20"/>
                <w:szCs w:val="20"/>
                <w:color w:val="auto"/>
              </w:rPr>
            </w:pPr>
            <w:r>
              <w:rPr>
                <w:rFonts w:ascii="Arial" w:cs="Arial" w:eastAsia="Arial" w:hAnsi="Arial"/>
                <w:sz w:val="18"/>
                <w:szCs w:val="18"/>
                <w:color w:val="auto"/>
                <w:w w:val="95"/>
              </w:rPr>
              <w:t>10.12*</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Amended and Restated EZCORP, Inc. Incentive Compensation Plan (incorporated by reference to Exhibit 10.2 to the Company’s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Current Report on Form 8-K dated September 28,2012 and filed October 4, 2012, Commission File No. 0-19424).</w:t>
            </w:r>
          </w:p>
        </w:tc>
      </w:tr>
      <w:tr>
        <w:trPr>
          <w:trHeight w:val="256"/>
        </w:trPr>
        <w:tc>
          <w:tcPr>
            <w:tcW w:w="1280" w:type="dxa"/>
            <w:vAlign w:val="bottom"/>
          </w:tcPr>
          <w:p>
            <w:pPr>
              <w:jc w:val="center"/>
              <w:ind w:left="11"/>
              <w:spacing w:after="0"/>
              <w:rPr>
                <w:sz w:val="20"/>
                <w:szCs w:val="20"/>
                <w:color w:val="auto"/>
              </w:rPr>
            </w:pPr>
            <w:r>
              <w:rPr>
                <w:rFonts w:ascii="Arial" w:cs="Arial" w:eastAsia="Arial" w:hAnsi="Arial"/>
                <w:sz w:val="18"/>
                <w:szCs w:val="18"/>
                <w:color w:val="auto"/>
                <w:w w:val="95"/>
              </w:rPr>
              <w:t>10.13*</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7"/>
              </w:rPr>
              <w:t>Form of Protection of Sensitive Information, Noncompetition and Nonsolicitation Agreement between the Company and certain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employees, including the executive officers (incorporated by reference to Exhibit 10.15 to the Company’s Annual Report on Form 10-K</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for the year ended September 30, 2010, Commission File No. 0-19424)</w:t>
            </w:r>
          </w:p>
        </w:tc>
      </w:tr>
      <w:tr>
        <w:trPr>
          <w:trHeight w:val="256"/>
        </w:trPr>
        <w:tc>
          <w:tcPr>
            <w:tcW w:w="1280" w:type="dxa"/>
            <w:vAlign w:val="bottom"/>
          </w:tcPr>
          <w:p>
            <w:pPr>
              <w:jc w:val="center"/>
              <w:ind w:left="11"/>
              <w:spacing w:after="0"/>
              <w:rPr>
                <w:sz w:val="20"/>
                <w:szCs w:val="20"/>
                <w:color w:val="auto"/>
              </w:rPr>
            </w:pPr>
            <w:r>
              <w:rPr>
                <w:rFonts w:ascii="Arial" w:cs="Arial" w:eastAsia="Arial" w:hAnsi="Arial"/>
                <w:sz w:val="18"/>
                <w:szCs w:val="18"/>
                <w:color w:val="auto"/>
                <w:w w:val="95"/>
              </w:rPr>
              <w:t>10.14*</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Form of Restricted Stock Award for executive officers (incorporated by reference to Exhibit 10.16 to the Company’s Annual Report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Form 10-K for the year ended September 30, 2010, Commission File No. 0-19424)</w:t>
            </w:r>
          </w:p>
        </w:tc>
      </w:tr>
      <w:tr>
        <w:trPr>
          <w:trHeight w:val="256"/>
        </w:trPr>
        <w:tc>
          <w:tcPr>
            <w:tcW w:w="1280" w:type="dxa"/>
            <w:vAlign w:val="bottom"/>
          </w:tcPr>
          <w:p>
            <w:pPr>
              <w:jc w:val="center"/>
              <w:ind w:left="11"/>
              <w:spacing w:after="0"/>
              <w:rPr>
                <w:sz w:val="20"/>
                <w:szCs w:val="20"/>
                <w:color w:val="auto"/>
              </w:rPr>
            </w:pPr>
            <w:r>
              <w:rPr>
                <w:rFonts w:ascii="Arial" w:cs="Arial" w:eastAsia="Arial" w:hAnsi="Arial"/>
                <w:sz w:val="18"/>
                <w:szCs w:val="18"/>
                <w:color w:val="auto"/>
                <w:w w:val="95"/>
              </w:rPr>
              <w:t>10.15*</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Form of Restricted Stock Award for non-employee directors (incorporated by reference to Exhibit 10.17 to the Company’s Annual</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Report on Form 10-K for the year ended September 30, 2010, Commission File No. 0-19424)</w:t>
            </w:r>
          </w:p>
        </w:tc>
      </w:tr>
      <w:tr>
        <w:trPr>
          <w:trHeight w:val="256"/>
        </w:trPr>
        <w:tc>
          <w:tcPr>
            <w:tcW w:w="1280" w:type="dxa"/>
            <w:vAlign w:val="bottom"/>
          </w:tcPr>
          <w:p>
            <w:pPr>
              <w:jc w:val="center"/>
              <w:ind w:left="11"/>
              <w:spacing w:after="0"/>
              <w:rPr>
                <w:sz w:val="20"/>
                <w:szCs w:val="20"/>
                <w:color w:val="auto"/>
              </w:rPr>
            </w:pPr>
            <w:r>
              <w:rPr>
                <w:rFonts w:ascii="Arial" w:cs="Arial" w:eastAsia="Arial" w:hAnsi="Arial"/>
                <w:sz w:val="18"/>
                <w:szCs w:val="18"/>
                <w:color w:val="auto"/>
                <w:w w:val="95"/>
              </w:rPr>
              <w:t>10.16*</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Employment and Compensation Agreement, effective January 1, 2009, between the Company and Joseph L. Rotunda (incorporated by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9"/>
              </w:rPr>
              <w:t>reference to Exhibit 10.1 to the Company’s Current Report on Form 8-K dated January 22, 2009 and filed January 27, 2009,</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Commission File No. 0-19424)</w:t>
            </w:r>
          </w:p>
        </w:tc>
      </w:tr>
      <w:tr>
        <w:trPr>
          <w:trHeight w:val="256"/>
        </w:trPr>
        <w:tc>
          <w:tcPr>
            <w:tcW w:w="1280" w:type="dxa"/>
            <w:vAlign w:val="bottom"/>
          </w:tcPr>
          <w:p>
            <w:pPr>
              <w:jc w:val="center"/>
              <w:ind w:left="11"/>
              <w:spacing w:after="0"/>
              <w:rPr>
                <w:sz w:val="20"/>
                <w:szCs w:val="20"/>
                <w:color w:val="auto"/>
              </w:rPr>
            </w:pPr>
            <w:r>
              <w:rPr>
                <w:rFonts w:ascii="Arial" w:cs="Arial" w:eastAsia="Arial" w:hAnsi="Arial"/>
                <w:sz w:val="18"/>
                <w:szCs w:val="18"/>
                <w:color w:val="auto"/>
                <w:w w:val="95"/>
              </w:rPr>
              <w:t>10.17*</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Employment and Compensation Agreement, effective September 14, 2009, between the Company and Paul E. Rothamel (incorporated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by reference to Exhibit 10.1 to the Company’s Annual Report on Form 10-K for the year ended September 30, 2009, Commission File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No. 0-19424)</w:t>
            </w:r>
          </w:p>
        </w:tc>
      </w:tr>
      <w:tr>
        <w:trPr>
          <w:trHeight w:val="256"/>
        </w:trPr>
        <w:tc>
          <w:tcPr>
            <w:tcW w:w="1280" w:type="dxa"/>
            <w:vAlign w:val="bottom"/>
          </w:tcPr>
          <w:p>
            <w:pPr>
              <w:jc w:val="center"/>
              <w:ind w:left="31"/>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22"/>
                <w:szCs w:val="22"/>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Consulting Agreement, effective November 1, 2010, between the Company and Joseph L. Rotunda (incorporated by reference to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Exhibit 99.1 to the Company’s Current Report on Form 8-K dated October 8, 2010 and filed October 12, 2010, Commission File No. 0-</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19424)</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21.1†</w:t>
            </w:r>
          </w:p>
        </w:tc>
        <w:tc>
          <w:tcPr>
            <w:tcW w:w="9920" w:type="dxa"/>
            <w:vAlign w:val="bottom"/>
          </w:tcPr>
          <w:p>
            <w:pPr>
              <w:ind w:left="120"/>
              <w:spacing w:after="0"/>
              <w:rPr>
                <w:sz w:val="20"/>
                <w:szCs w:val="20"/>
                <w:color w:val="auto"/>
              </w:rPr>
            </w:pPr>
            <w:r>
              <w:rPr>
                <w:rFonts w:ascii="Arial" w:cs="Arial" w:eastAsia="Arial" w:hAnsi="Arial"/>
                <w:sz w:val="18"/>
                <w:szCs w:val="18"/>
                <w:color w:val="auto"/>
              </w:rPr>
              <w:t>Subsidiaries of EZCORP, Inc.</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23.1†</w:t>
            </w:r>
          </w:p>
        </w:tc>
        <w:tc>
          <w:tcPr>
            <w:tcW w:w="9920" w:type="dxa"/>
            <w:vAlign w:val="bottom"/>
          </w:tcPr>
          <w:p>
            <w:pPr>
              <w:ind w:left="120"/>
              <w:spacing w:after="0"/>
              <w:rPr>
                <w:sz w:val="20"/>
                <w:szCs w:val="20"/>
                <w:color w:val="auto"/>
              </w:rPr>
            </w:pPr>
            <w:r>
              <w:rPr>
                <w:rFonts w:ascii="Arial" w:cs="Arial" w:eastAsia="Arial" w:hAnsi="Arial"/>
                <w:sz w:val="18"/>
                <w:szCs w:val="18"/>
                <w:color w:val="auto"/>
              </w:rPr>
              <w:t>Consent of BDO USA, LLP</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31.1†</w:t>
            </w: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Certification of Paul E. Rothamel, Chief Executive Officer, pursuant to Rule 13a-14(a) under the Securities Exchange Act of 1934,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31.2†</w:t>
            </w: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Certification of Mark Kuchenrither, Chief Financial Officer, pursuant to Rule 13a-14(a) under the Securities Exchange Act of 1934,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32.1††</w:t>
            </w: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Certifications of Paul E. Rothamel, Chief Executive Officer, and Mark Kuchenrither, Chief Financial Officer, pursuant to 18 U.S.C.</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992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270"/>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101.SCH†††</w:t>
            </w:r>
          </w:p>
        </w:tc>
        <w:tc>
          <w:tcPr>
            <w:tcW w:w="992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101.CAL†††</w:t>
            </w:r>
          </w:p>
        </w:tc>
        <w:tc>
          <w:tcPr>
            <w:tcW w:w="992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101.LAB†††</w:t>
            </w:r>
          </w:p>
        </w:tc>
        <w:tc>
          <w:tcPr>
            <w:tcW w:w="9920" w:type="dxa"/>
            <w:vAlign w:val="bottom"/>
          </w:tcPr>
          <w:p>
            <w:pPr>
              <w:ind w:left="1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0"/>
              </w:rPr>
              <w:t>101.DEF†††</w:t>
            </w:r>
          </w:p>
        </w:tc>
        <w:tc>
          <w:tcPr>
            <w:tcW w:w="992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0"/>
              </w:rPr>
              <w:t>101.PRE†††</w:t>
            </w:r>
          </w:p>
        </w:tc>
        <w:tc>
          <w:tcPr>
            <w:tcW w:w="992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1320" w:type="dxa"/>
            <w:vAlign w:val="bottom"/>
            <w:gridSpan w:val="3"/>
          </w:tcPr>
          <w:p>
            <w:pPr>
              <w:spacing w:after="0"/>
              <w:rPr>
                <w:sz w:val="20"/>
                <w:szCs w:val="20"/>
                <w:color w:val="auto"/>
              </w:rPr>
            </w:pPr>
            <w:r>
              <w:rPr>
                <w:rFonts w:ascii="Arial" w:cs="Arial" w:eastAsia="Arial" w:hAnsi="Arial"/>
                <w:sz w:val="18"/>
                <w:szCs w:val="18"/>
                <w:color w:val="auto"/>
              </w:rPr>
              <w:t>_____________________________</w:t>
            </w:r>
          </w:p>
        </w:tc>
      </w:tr>
      <w:tr>
        <w:trPr>
          <w:trHeight w:val="359"/>
        </w:trPr>
        <w:tc>
          <w:tcPr>
            <w:tcW w:w="1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6"/>
                <w:szCs w:val="16"/>
                <w:color w:val="auto"/>
              </w:rPr>
              <w:t>Identifies Exhibit that consists of or includes a management contract or compensatory plan or arrangement.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92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920" w:type="dxa"/>
            <w:vAlign w:val="bottom"/>
          </w:tcPr>
          <w:p>
            <w:pPr>
              <w:ind w:left="120"/>
              <w:spacing w:after="0"/>
              <w:rPr>
                <w:sz w:val="20"/>
                <w:szCs w:val="20"/>
                <w:color w:val="auto"/>
              </w:rPr>
            </w:pPr>
            <w:r>
              <w:rPr>
                <w:rFonts w:ascii="Arial" w:cs="Arial" w:eastAsia="Arial" w:hAnsi="Arial"/>
                <w:sz w:val="16"/>
                <w:szCs w:val="16"/>
                <w:color w:val="auto"/>
              </w:rPr>
              <w:t>Furnished herewith.</w:t>
            </w:r>
          </w:p>
        </w:tc>
      </w:tr>
    </w:tbl>
    <w:p>
      <w:pPr>
        <w:spacing w:after="0" w:line="64" w:lineRule="exact"/>
        <w:rPr>
          <w:sz w:val="20"/>
          <w:szCs w:val="20"/>
          <w:color w:val="auto"/>
        </w:rPr>
      </w:pPr>
    </w:p>
    <w:p>
      <w:pPr>
        <w:ind w:left="1520" w:hanging="1485"/>
        <w:spacing w:after="0" w:line="270" w:lineRule="auto"/>
        <w:tabs>
          <w:tab w:leader="none" w:pos="1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Attached as Exhibit 101 to this report are the following formatted in XBRL (Extensible Business Reporting Language): (i) Consolidated Balance Sheets at September 30, 2012, and September 30, 2011; (ii) Consolidated Statements of Operations for the years ended September 30, 2012, September 30, 2011 and September 30, 2010; (iii) Consolidated Statements of Comprehensive Income for the years ended September 30, 2012, September 30, 2011 and September 30, 2010; Consolidated Statements of Cash Flows for the for the years ended September 30, 2012, September 30, 2011 and September 30, 2010; Consolidated Statements of Shareholders’ Equity for the years ended September 30, 2012, September 30, 2011 and September 30, 2010; and (iv) Notes to Consolidated Financial Statements.</w:t>
      </w:r>
    </w:p>
    <w:p>
      <w:pPr>
        <w:sectPr>
          <w:pgSz w:w="11900" w:h="16838" w:orient="portrait"/>
          <w:cols w:equalWidth="0" w:num="1">
            <w:col w:w="11380"/>
          </w:cols>
          <w:pgMar w:left="240" w:top="108" w:right="279" w:bottom="1440" w:gutter="0" w:footer="0" w:header="0"/>
        </w:sect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380"/>
          </w:cols>
          <w:pgMar w:left="240" w:top="108" w:right="27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518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E. Rothamel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4612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Paul E. Rothamel,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36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4"/>
        </w:trPr>
        <w:tc>
          <w:tcPr>
            <w:tcW w:w="2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4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2880" w:type="dxa"/>
            <w:vAlign w:val="bottom"/>
          </w:tcPr>
          <w:p>
            <w:pPr>
              <w:ind w:left="40"/>
              <w:spacing w:after="0"/>
              <w:rPr>
                <w:sz w:val="20"/>
                <w:szCs w:val="20"/>
                <w:color w:val="auto"/>
              </w:rPr>
            </w:pPr>
            <w:r>
              <w:rPr>
                <w:rFonts w:ascii="Arial" w:cs="Arial" w:eastAsia="Arial" w:hAnsi="Arial"/>
                <w:sz w:val="18"/>
                <w:szCs w:val="18"/>
                <w:color w:val="auto"/>
              </w:rPr>
              <w:t>/s/ Sterling B. Brinkley</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840" w:type="dxa"/>
            <w:vAlign w:val="bottom"/>
          </w:tcPr>
          <w:p>
            <w:pPr>
              <w:ind w:left="20"/>
              <w:spacing w:after="0"/>
              <w:rPr>
                <w:sz w:val="20"/>
                <w:szCs w:val="20"/>
                <w:color w:val="auto"/>
              </w:rPr>
            </w:pPr>
            <w:r>
              <w:rPr>
                <w:rFonts w:ascii="Arial" w:cs="Arial" w:eastAsia="Arial" w:hAnsi="Arial"/>
                <w:sz w:val="18"/>
                <w:szCs w:val="18"/>
                <w:color w:val="auto"/>
              </w:rPr>
              <w:t>November 20, 2012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Pr>
          <w:p>
            <w:pPr>
              <w:jc w:val="center"/>
              <w:spacing w:after="0"/>
              <w:rPr>
                <w:sz w:val="20"/>
                <w:szCs w:val="20"/>
                <w:color w:val="auto"/>
              </w:rPr>
            </w:pPr>
            <w:r>
              <w:rPr>
                <w:rFonts w:ascii="Arial" w:cs="Arial" w:eastAsia="Arial" w:hAnsi="Arial"/>
                <w:sz w:val="18"/>
                <w:szCs w:val="18"/>
                <w:color w:val="auto"/>
                <w:w w:val="94"/>
              </w:rPr>
              <w:t>Sterling B. Brinkley</w:t>
            </w:r>
          </w:p>
        </w:tc>
        <w:tc>
          <w:tcPr>
            <w:tcW w:w="1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880" w:type="dxa"/>
            <w:vAlign w:val="bottom"/>
          </w:tcPr>
          <w:p>
            <w:pPr>
              <w:ind w:left="40"/>
              <w:spacing w:after="0"/>
              <w:rPr>
                <w:sz w:val="20"/>
                <w:szCs w:val="20"/>
                <w:color w:val="auto"/>
              </w:rPr>
            </w:pPr>
            <w:r>
              <w:rPr>
                <w:rFonts w:ascii="Arial" w:cs="Arial" w:eastAsia="Arial" w:hAnsi="Arial"/>
                <w:sz w:val="18"/>
                <w:szCs w:val="18"/>
                <w:color w:val="auto"/>
              </w:rPr>
              <w:t>/s/ Paul E. Rothamel</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840" w:type="dxa"/>
            <w:vAlign w:val="bottom"/>
          </w:tcPr>
          <w:p>
            <w:pPr>
              <w:ind w:left="20"/>
              <w:spacing w:after="0"/>
              <w:rPr>
                <w:sz w:val="20"/>
                <w:szCs w:val="20"/>
                <w:color w:val="auto"/>
              </w:rPr>
            </w:pPr>
            <w:r>
              <w:rPr>
                <w:rFonts w:ascii="Arial" w:cs="Arial" w:eastAsia="Arial" w:hAnsi="Arial"/>
                <w:sz w:val="18"/>
                <w:szCs w:val="18"/>
                <w:color w:val="auto"/>
              </w:rPr>
              <w:t>November 20, 2012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Pr>
          <w:p>
            <w:pPr>
              <w:jc w:val="center"/>
              <w:spacing w:after="0"/>
              <w:rPr>
                <w:sz w:val="20"/>
                <w:szCs w:val="20"/>
                <w:color w:val="auto"/>
              </w:rPr>
            </w:pPr>
            <w:r>
              <w:rPr>
                <w:rFonts w:ascii="Arial" w:cs="Arial" w:eastAsia="Arial" w:hAnsi="Arial"/>
                <w:sz w:val="18"/>
                <w:szCs w:val="18"/>
                <w:color w:val="auto"/>
                <w:w w:val="91"/>
              </w:rPr>
              <w:t>Paul E. Rothamel</w:t>
            </w:r>
          </w:p>
        </w:tc>
        <w:tc>
          <w:tcPr>
            <w:tcW w:w="120" w:type="dxa"/>
            <w:vAlign w:val="bottom"/>
          </w:tcPr>
          <w:p>
            <w:pPr>
              <w:spacing w:after="0"/>
              <w:rPr>
                <w:sz w:val="21"/>
                <w:szCs w:val="21"/>
                <w:color w:val="auto"/>
              </w:rPr>
            </w:pPr>
          </w:p>
        </w:tc>
        <w:tc>
          <w:tcPr>
            <w:tcW w:w="5580" w:type="dxa"/>
            <w:vAlign w:val="bottom"/>
            <w:gridSpan w:val="2"/>
            <w:vMerge w:val="continue"/>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880" w:type="dxa"/>
            <w:vAlign w:val="bottom"/>
          </w:tcPr>
          <w:p>
            <w:pPr>
              <w:ind w:left="40"/>
              <w:spacing w:after="0"/>
              <w:rPr>
                <w:sz w:val="20"/>
                <w:szCs w:val="20"/>
                <w:color w:val="auto"/>
              </w:rPr>
            </w:pPr>
            <w:r>
              <w:rPr>
                <w:rFonts w:ascii="Arial" w:cs="Arial" w:eastAsia="Arial" w:hAnsi="Arial"/>
                <w:sz w:val="18"/>
                <w:szCs w:val="18"/>
                <w:color w:val="auto"/>
              </w:rPr>
              <w:t>/s/ Joseph J. Beal</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40" w:type="dxa"/>
            <w:vAlign w:val="bottom"/>
          </w:tcPr>
          <w:p>
            <w:pPr>
              <w:ind w:left="20"/>
              <w:spacing w:after="0"/>
              <w:rPr>
                <w:sz w:val="20"/>
                <w:szCs w:val="20"/>
                <w:color w:val="auto"/>
              </w:rPr>
            </w:pPr>
            <w:r>
              <w:rPr>
                <w:rFonts w:ascii="Arial" w:cs="Arial" w:eastAsia="Arial" w:hAnsi="Arial"/>
                <w:sz w:val="18"/>
                <w:szCs w:val="18"/>
                <w:color w:val="auto"/>
              </w:rPr>
              <w:t>November 20, 2012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Pr>
          <w:p>
            <w:pPr>
              <w:jc w:val="center"/>
              <w:spacing w:after="0"/>
              <w:rPr>
                <w:sz w:val="20"/>
                <w:szCs w:val="20"/>
                <w:color w:val="auto"/>
              </w:rPr>
            </w:pPr>
            <w:r>
              <w:rPr>
                <w:rFonts w:ascii="Arial" w:cs="Arial" w:eastAsia="Arial" w:hAnsi="Arial"/>
                <w:sz w:val="18"/>
                <w:szCs w:val="18"/>
                <w:color w:val="auto"/>
                <w:w w:val="88"/>
              </w:rPr>
              <w:t>Joseph J. Beal</w:t>
            </w:r>
          </w:p>
        </w:tc>
        <w:tc>
          <w:tcPr>
            <w:tcW w:w="1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2880" w:type="dxa"/>
            <w:vAlign w:val="bottom"/>
          </w:tcPr>
          <w:p>
            <w:pPr>
              <w:ind w:left="40"/>
              <w:spacing w:after="0"/>
              <w:rPr>
                <w:sz w:val="20"/>
                <w:szCs w:val="20"/>
                <w:color w:val="auto"/>
              </w:rPr>
            </w:pPr>
            <w:r>
              <w:rPr>
                <w:rFonts w:ascii="Arial" w:cs="Arial" w:eastAsia="Arial" w:hAnsi="Arial"/>
                <w:sz w:val="18"/>
                <w:szCs w:val="18"/>
                <w:color w:val="auto"/>
              </w:rPr>
              <w:t>/s/ Pablo Lagos Espinosa</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40" w:type="dxa"/>
            <w:vAlign w:val="bottom"/>
          </w:tcPr>
          <w:p>
            <w:pPr>
              <w:ind w:left="20"/>
              <w:spacing w:after="0"/>
              <w:rPr>
                <w:sz w:val="20"/>
                <w:szCs w:val="20"/>
                <w:color w:val="auto"/>
              </w:rPr>
            </w:pPr>
            <w:r>
              <w:rPr>
                <w:rFonts w:ascii="Arial" w:cs="Arial" w:eastAsia="Arial" w:hAnsi="Arial"/>
                <w:sz w:val="18"/>
                <w:szCs w:val="18"/>
                <w:color w:val="auto"/>
              </w:rPr>
              <w:t>November 20, 2012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2880" w:type="dxa"/>
            <w:vAlign w:val="bottom"/>
          </w:tcPr>
          <w:p>
            <w:pPr>
              <w:ind w:left="40"/>
              <w:spacing w:after="0"/>
              <w:rPr>
                <w:sz w:val="20"/>
                <w:szCs w:val="20"/>
                <w:color w:val="auto"/>
              </w:rPr>
            </w:pPr>
            <w:r>
              <w:rPr>
                <w:rFonts w:ascii="Arial" w:cs="Arial" w:eastAsia="Arial" w:hAnsi="Arial"/>
                <w:sz w:val="18"/>
                <w:szCs w:val="18"/>
                <w:color w:val="auto"/>
              </w:rPr>
              <w:t>/s/ John Farrell</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40" w:type="dxa"/>
            <w:vAlign w:val="bottom"/>
          </w:tcPr>
          <w:p>
            <w:pPr>
              <w:ind w:left="20"/>
              <w:spacing w:after="0"/>
              <w:rPr>
                <w:sz w:val="20"/>
                <w:szCs w:val="20"/>
                <w:color w:val="auto"/>
              </w:rPr>
            </w:pPr>
            <w:r>
              <w:rPr>
                <w:rFonts w:ascii="Arial" w:cs="Arial" w:eastAsia="Arial" w:hAnsi="Arial"/>
                <w:sz w:val="18"/>
                <w:szCs w:val="18"/>
                <w:color w:val="auto"/>
              </w:rPr>
              <w:t>November 20, 2012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Pr>
          <w:p>
            <w:pPr>
              <w:jc w:val="center"/>
              <w:spacing w:after="0"/>
              <w:rPr>
                <w:sz w:val="20"/>
                <w:szCs w:val="20"/>
                <w:color w:val="auto"/>
              </w:rPr>
            </w:pPr>
            <w:r>
              <w:rPr>
                <w:rFonts w:ascii="Arial" w:cs="Arial" w:eastAsia="Arial" w:hAnsi="Arial"/>
                <w:sz w:val="18"/>
                <w:szCs w:val="18"/>
                <w:color w:val="auto"/>
                <w:w w:val="92"/>
              </w:rPr>
              <w:t>John Farrell</w:t>
            </w:r>
          </w:p>
        </w:tc>
        <w:tc>
          <w:tcPr>
            <w:tcW w:w="1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880" w:type="dxa"/>
            <w:vAlign w:val="bottom"/>
          </w:tcPr>
          <w:p>
            <w:pPr>
              <w:ind w:left="40"/>
              <w:spacing w:after="0"/>
              <w:rPr>
                <w:sz w:val="20"/>
                <w:szCs w:val="20"/>
                <w:color w:val="auto"/>
              </w:rPr>
            </w:pPr>
            <w:r>
              <w:rPr>
                <w:rFonts w:ascii="Arial" w:cs="Arial" w:eastAsia="Arial" w:hAnsi="Arial"/>
                <w:sz w:val="18"/>
                <w:szCs w:val="18"/>
                <w:color w:val="auto"/>
              </w:rPr>
              <w:t>/s/ William C. Love</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40" w:type="dxa"/>
            <w:vAlign w:val="bottom"/>
          </w:tcPr>
          <w:p>
            <w:pPr>
              <w:ind w:left="20"/>
              <w:spacing w:after="0"/>
              <w:rPr>
                <w:sz w:val="20"/>
                <w:szCs w:val="20"/>
                <w:color w:val="auto"/>
              </w:rPr>
            </w:pPr>
            <w:r>
              <w:rPr>
                <w:rFonts w:ascii="Arial" w:cs="Arial" w:eastAsia="Arial" w:hAnsi="Arial"/>
                <w:sz w:val="18"/>
                <w:szCs w:val="18"/>
                <w:color w:val="auto"/>
              </w:rPr>
              <w:t>November 20, 2012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Pr>
          <w:p>
            <w:pPr>
              <w:jc w:val="center"/>
              <w:spacing w:after="0"/>
              <w:rPr>
                <w:sz w:val="20"/>
                <w:szCs w:val="20"/>
                <w:color w:val="auto"/>
              </w:rPr>
            </w:pPr>
            <w:r>
              <w:rPr>
                <w:rFonts w:ascii="Arial" w:cs="Arial" w:eastAsia="Arial" w:hAnsi="Arial"/>
                <w:sz w:val="18"/>
                <w:szCs w:val="18"/>
                <w:color w:val="auto"/>
                <w:w w:val="95"/>
              </w:rPr>
              <w:t>William C. Love</w:t>
            </w:r>
          </w:p>
        </w:tc>
        <w:tc>
          <w:tcPr>
            <w:tcW w:w="1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880" w:type="dxa"/>
            <w:vAlign w:val="bottom"/>
          </w:tcPr>
          <w:p>
            <w:pPr>
              <w:ind w:left="40"/>
              <w:spacing w:after="0"/>
              <w:rPr>
                <w:sz w:val="20"/>
                <w:szCs w:val="20"/>
                <w:color w:val="auto"/>
              </w:rPr>
            </w:pPr>
            <w:r>
              <w:rPr>
                <w:rFonts w:ascii="Arial" w:cs="Arial" w:eastAsia="Arial" w:hAnsi="Arial"/>
                <w:sz w:val="18"/>
                <w:szCs w:val="18"/>
                <w:color w:val="auto"/>
              </w:rPr>
              <w:t>/s/ Thomas C. Roberts</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40" w:type="dxa"/>
            <w:vAlign w:val="bottom"/>
          </w:tcPr>
          <w:p>
            <w:pPr>
              <w:ind w:left="20"/>
              <w:spacing w:after="0"/>
              <w:rPr>
                <w:sz w:val="20"/>
                <w:szCs w:val="20"/>
                <w:color w:val="auto"/>
              </w:rPr>
            </w:pPr>
            <w:r>
              <w:rPr>
                <w:rFonts w:ascii="Arial" w:cs="Arial" w:eastAsia="Arial" w:hAnsi="Arial"/>
                <w:sz w:val="18"/>
                <w:szCs w:val="18"/>
                <w:color w:val="auto"/>
              </w:rPr>
              <w:t>November 20, 2012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1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2880" w:type="dxa"/>
            <w:vAlign w:val="bottom"/>
          </w:tcPr>
          <w:p>
            <w:pPr>
              <w:ind w:left="40"/>
              <w:spacing w:after="0"/>
              <w:rPr>
                <w:sz w:val="20"/>
                <w:szCs w:val="20"/>
                <w:color w:val="auto"/>
              </w:rPr>
            </w:pPr>
            <w:r>
              <w:rPr>
                <w:rFonts w:ascii="Arial" w:cs="Arial" w:eastAsia="Arial" w:hAnsi="Arial"/>
                <w:sz w:val="18"/>
                <w:szCs w:val="18"/>
                <w:color w:val="auto"/>
              </w:rPr>
              <w:t>/s/ Mark Kuchenrither</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840" w:type="dxa"/>
            <w:vAlign w:val="bottom"/>
          </w:tcPr>
          <w:p>
            <w:pPr>
              <w:ind w:left="20"/>
              <w:spacing w:after="0"/>
              <w:rPr>
                <w:sz w:val="20"/>
                <w:szCs w:val="20"/>
                <w:color w:val="auto"/>
              </w:rPr>
            </w:pPr>
            <w:r>
              <w:rPr>
                <w:rFonts w:ascii="Arial" w:cs="Arial" w:eastAsia="Arial" w:hAnsi="Arial"/>
                <w:sz w:val="18"/>
                <w:szCs w:val="18"/>
                <w:color w:val="auto"/>
              </w:rPr>
              <w:t>November 20, 2012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5"/>
              </w:rPr>
              <w:t>Mark Kuchenrither</w:t>
            </w:r>
          </w:p>
        </w:tc>
        <w:tc>
          <w:tcPr>
            <w:tcW w:w="120" w:type="dxa"/>
            <w:vAlign w:val="bottom"/>
          </w:tcPr>
          <w:p>
            <w:pPr>
              <w:spacing w:after="0"/>
              <w:rPr>
                <w:sz w:val="20"/>
                <w:szCs w:val="20"/>
                <w:color w:val="auto"/>
              </w:rPr>
            </w:pPr>
          </w:p>
        </w:tc>
        <w:tc>
          <w:tcPr>
            <w:tcW w:w="5580" w:type="dxa"/>
            <w:vAlign w:val="bottom"/>
            <w:gridSpan w:val="2"/>
            <w:vMerge w:val="continue"/>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880" w:type="dxa"/>
            <w:vAlign w:val="bottom"/>
          </w:tcPr>
          <w:p>
            <w:pPr>
              <w:ind w:left="40"/>
              <w:spacing w:after="0"/>
              <w:rPr>
                <w:sz w:val="20"/>
                <w:szCs w:val="20"/>
                <w:color w:val="auto"/>
              </w:rPr>
            </w:pPr>
            <w:r>
              <w:rPr>
                <w:rFonts w:ascii="Arial" w:cs="Arial" w:eastAsia="Arial" w:hAnsi="Arial"/>
                <w:sz w:val="18"/>
                <w:szCs w:val="18"/>
                <w:color w:val="auto"/>
              </w:rPr>
              <w:t>/s/ Jeffrey S. Byal</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w:t>
            </w:r>
          </w:p>
        </w:tc>
        <w:tc>
          <w:tcPr>
            <w:tcW w:w="2840" w:type="dxa"/>
            <w:vAlign w:val="bottom"/>
          </w:tcPr>
          <w:p>
            <w:pPr>
              <w:ind w:left="20"/>
              <w:spacing w:after="0"/>
              <w:rPr>
                <w:sz w:val="20"/>
                <w:szCs w:val="20"/>
                <w:color w:val="auto"/>
              </w:rPr>
            </w:pPr>
            <w:r>
              <w:rPr>
                <w:rFonts w:ascii="Arial" w:cs="Arial" w:eastAsia="Arial" w:hAnsi="Arial"/>
                <w:sz w:val="18"/>
                <w:szCs w:val="18"/>
                <w:color w:val="auto"/>
              </w:rPr>
              <w:t>November 20, 2012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Arial" w:cs="Arial" w:eastAsia="Arial" w:hAnsi="Arial"/>
                <w:sz w:val="18"/>
                <w:szCs w:val="18"/>
                <w:color w:val="auto"/>
                <w:w w:val="93"/>
              </w:rPr>
              <w:t>Jeffrey S. Byal</w:t>
            </w:r>
          </w:p>
        </w:tc>
        <w:tc>
          <w:tcPr>
            <w:tcW w:w="120" w:type="dxa"/>
            <w:vAlign w:val="bottom"/>
          </w:tcPr>
          <w:p>
            <w:pPr>
              <w:spacing w:after="0"/>
              <w:rPr>
                <w:sz w:val="20"/>
                <w:szCs w:val="20"/>
                <w:color w:val="auto"/>
              </w:rPr>
            </w:pPr>
          </w:p>
        </w:tc>
        <w:tc>
          <w:tcPr>
            <w:tcW w:w="5580" w:type="dxa"/>
            <w:vAlign w:val="bottom"/>
            <w:gridSpan w:val="2"/>
            <w:vMerge w:val="continue"/>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2880" w:type="dxa"/>
            <w:vAlign w:val="bottom"/>
          </w:tcPr>
          <w:p>
            <w:pPr>
              <w:spacing w:after="0"/>
              <w:rPr>
                <w:sz w:val="24"/>
                <w:szCs w:val="24"/>
                <w:color w:val="auto"/>
              </w:rPr>
            </w:pPr>
          </w:p>
        </w:tc>
        <w:tc>
          <w:tcPr>
            <w:tcW w:w="5580" w:type="dxa"/>
            <w:vAlign w:val="bottom"/>
            <w:gridSpan w:val="2"/>
          </w:tcPr>
          <w:p>
            <w:pPr>
              <w:jc w:val="right"/>
              <w:ind w:right="253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3380"/>
              <w:spacing w:after="0"/>
              <w:rPr>
                <w:sz w:val="20"/>
                <w:szCs w:val="20"/>
                <w:color w:val="auto"/>
              </w:rPr>
            </w:pPr>
            <w:r>
              <w:rPr>
                <w:rFonts w:ascii="Arial" w:cs="Arial" w:eastAsia="Arial" w:hAnsi="Arial"/>
                <w:sz w:val="22"/>
                <w:szCs w:val="22"/>
                <w:b w:val="1"/>
                <w:bCs w:val="1"/>
                <w:color w:val="auto"/>
              </w:rPr>
              <w:t>EXHIBIT INDEX</w:t>
            </w:r>
          </w:p>
        </w:tc>
      </w:tr>
      <w:tr>
        <w:trPr>
          <w:trHeight w:val="443"/>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Amended Certificate of Incorporation (incorporated by reference to Exhibit 3.1 to the Company’s Registration Statement on Form S-4</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September 26, 2008, Commission File No. 33-153703)</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Amended Bylaws (incorporated by reference to Exhibit 3.2 to the Company’s Annual Report on Form 10-K for the year ended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September 30, 2008,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Specimen of Class A Non-voting Common Stock certificate (incorporated by reference to Exhibit 4.1 to the Company’s Registration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Statement on Form S-1 effective August 23, 1991, Commission File No. 33-41317)</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Credit Services and Loan Administration Agreement, dated April 11, 2006, between Texas EZPAWN, L.P. and NCP Finance Limited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Partnership (incorporated by reference to Exhibit 10.97 to the Company’s Quarterly Report on Form 10-Q for the quarter ended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31, 2006,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Guaranty, dated April 11, 2006, from EZCORP, Inc. to NCP Finance Limited Partnership (incorporated by reference to Exhibit 10.98 to</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the Company’s Quarterly Report on Form 10-Q for the quarter ended March 31, 2006,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Credit Services Organization and Lender Agreement, dated April 12, 2006, between Texas EZMONEY, L.P. and Integrity Texas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Funding, L.P. (incorporated by reference to Exhibit 10.99 to the Company’s Quarterly Report on Form 10-Q for the quarter ended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31, 2006,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Credit Services Organization and Lender Agreement, dated November 9, 2005, between Texas EZPAWN, L.P. and Integrity Texas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Funding, L.P. (incorporated by reference to Exhibit 10.100 to the Company’s Quarterly Report on Form 10-Q for the quarter ended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31, 2006,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Credit Agreement, dated as of May 10, 2011, among EZCORP, Inc. (as Borrower), certain domestic subsidiaries of the Borrower from</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time to time party thereto (as Guarantors), the Lenders party thereto, and Wells Fargo Bank, National Association (as Administrative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Agent) and BBVA Compass Bank (as Syndication Agent) (incorporate by reference to Exhibit 10.1 to the Company’s Current Report 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8-K dated May 10, 2011 and filed May 11, 2011,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Advisory Services Agreement, effective October 1, 2011, between the Company and Madison Park, LLC (incorporated by reference to</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Exhibit 10.1 to the Company’s Current Report on Form 8-K dated September 30, 2011 and filed October 6, 2011, Commission File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Advisory Services Agreement, effective October 1, 2012, between the Company and Madison Park, LLC (incorporated by reference to</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Exhibit 10.1 to the Company’s Current Report on Form 8-K dated September 28, 2012 and filed October 4, 2012, Commission File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EZCORP, Inc. 401(k) Plan and Trust, effective October 27, 2009 (incorporated by reference to Exhibit 10.1 to the Company’s Annual</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Report on Form 10-K for the year ended September 30, 2009,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EZCORP, Inc. Supplemental Executive Retirement Plan effective December 1, 2005 (incorporated by reference to Exhibit 10.94 to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Company’s Current Report on Form 8-K dated November 28, 2005 and filed December 1, 2005,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EZCORP, Inc. 2006 Incentive Plan (incorporated by reference to Exhibit 10.104 to the Company’s Annual Report on Form 10-K for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year ended September 30, 2006,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2"/>
              </w:rPr>
              <w:t>10.11*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Amended and Restated EZCORP, Inc. 2010 Long-Term Incentive Plan (incorporated by reference to Exhibit 99.1 to the Company’s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Registration Statement on Form S-8 effective May 19, 2010, Commission File No. 333-166950)</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Amended and Restated EZCORP, Inc. Incentive Compensation Plan (incorporated by reference to Exhibit 10.2 to the Company’s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Current Report on Form 8-K dated September 28,2012 and filed October 4, 2012, Commission File No. 0-19424).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Form of Protection of Sensitive Information, Noncompetition and Nonsolicitation Agreement between the Company and certain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employees, including the executive officers (incorporated by reference to Exhibit 10.15 to the Company’s Annual Report on Form 10-K</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 the year ended September 30, 2010, Commission File No. 0-19424).</w:t>
            </w:r>
          </w:p>
        </w:tc>
      </w:tr>
      <w:tr>
        <w:trPr>
          <w:trHeight w:val="48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137</w:t>
            </w:r>
          </w:p>
        </w:tc>
      </w:tr>
    </w:tbl>
    <w:p>
      <w:pPr>
        <w:sectPr>
          <w:pgSz w:w="11900" w:h="16838" w:orient="portrait"/>
          <w:cols w:equalWidth="0" w:num="1">
            <w:col w:w="11420"/>
          </w:cols>
          <w:pgMar w:left="240" w:top="125" w:right="2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Table of Contents</w:t>
              </w:r>
            </w:hyperlink>
          </w:p>
        </w:tc>
        <w:tc>
          <w:tcPr>
            <w:tcW w:w="9900" w:type="dxa"/>
            <w:vAlign w:val="bottom"/>
          </w:tcPr>
          <w:p>
            <w:pPr>
              <w:spacing w:after="0"/>
              <w:rPr>
                <w:sz w:val="17"/>
                <w:szCs w:val="17"/>
                <w:color w:val="auto"/>
              </w:rPr>
            </w:pPr>
          </w:p>
        </w:tc>
      </w:tr>
      <w:tr>
        <w:trPr>
          <w:trHeight w:val="681"/>
        </w:trPr>
        <w:tc>
          <w:tcPr>
            <w:tcW w:w="1280" w:type="dxa"/>
            <w:vAlign w:val="bottom"/>
            <w:tcBorders>
              <w:top w:val="single" w:sz="8" w:color="0000FF"/>
            </w:tcBorders>
          </w:tcPr>
          <w:p>
            <w:pPr>
              <w:jc w:val="center"/>
              <w:ind w:left="10"/>
              <w:spacing w:after="0"/>
              <w:rPr>
                <w:sz w:val="20"/>
                <w:szCs w:val="20"/>
                <w:color w:val="auto"/>
              </w:rPr>
            </w:pPr>
            <w:r>
              <w:rPr>
                <w:rFonts w:ascii="Arial" w:cs="Arial" w:eastAsia="Arial" w:hAnsi="Arial"/>
                <w:sz w:val="18"/>
                <w:szCs w:val="18"/>
                <w:color w:val="auto"/>
                <w:w w:val="95"/>
              </w:rPr>
              <w:t>10.14*</w:t>
            </w:r>
          </w:p>
        </w:tc>
        <w:tc>
          <w:tcPr>
            <w:tcW w:w="120" w:type="dxa"/>
            <w:vAlign w:val="bottom"/>
          </w:tcPr>
          <w:p>
            <w:pPr>
              <w:spacing w:after="0"/>
              <w:rPr>
                <w:sz w:val="24"/>
                <w:szCs w:val="24"/>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w w:val="92"/>
              </w:rPr>
              <w:t>Form of Restricted Stock Award for executive officers (incorporated by reference to Exhibit 10.16 to the Company’s Annual Report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Form 10-K for the year ended September 30, 2010, Commission File No. 0-19424)</w:t>
            </w: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10.15*</w:t>
            </w:r>
          </w:p>
        </w:tc>
        <w:tc>
          <w:tcPr>
            <w:tcW w:w="120" w:type="dxa"/>
            <w:vAlign w:val="bottom"/>
          </w:tcPr>
          <w:p>
            <w:pPr>
              <w:spacing w:after="0"/>
              <w:rPr>
                <w:sz w:val="22"/>
                <w:szCs w:val="22"/>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w w:val="95"/>
              </w:rPr>
              <w:t>Form of Restricted Stock Award for non-employee directors (incorporated by reference to Exhibit 10.17 to the Company’s Annual</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Report on Form 10-K for the year ended September 30, 2010, Commission File No. 0-19424)</w:t>
            </w: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10.16*</w:t>
            </w:r>
          </w:p>
        </w:tc>
        <w:tc>
          <w:tcPr>
            <w:tcW w:w="120" w:type="dxa"/>
            <w:vAlign w:val="bottom"/>
          </w:tcPr>
          <w:p>
            <w:pPr>
              <w:spacing w:after="0"/>
              <w:rPr>
                <w:sz w:val="22"/>
                <w:szCs w:val="22"/>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w w:val="90"/>
              </w:rPr>
              <w:t>Employment and Compensation Agreement, effective January 1, 2009, between the Company and Joseph L. Rotunda (incorporated by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w w:val="99"/>
              </w:rPr>
              <w:t>reference to Exhibit 10.1 to the Company’s Current Report on Form 8-K dated January 22, 2009 and filed January 27, 2009,</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Commission File No. 0-19424)</w:t>
            </w: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10.17*</w:t>
            </w:r>
          </w:p>
        </w:tc>
        <w:tc>
          <w:tcPr>
            <w:tcW w:w="120" w:type="dxa"/>
            <w:vAlign w:val="bottom"/>
          </w:tcPr>
          <w:p>
            <w:pPr>
              <w:spacing w:after="0"/>
              <w:rPr>
                <w:sz w:val="22"/>
                <w:szCs w:val="22"/>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w w:val="90"/>
              </w:rPr>
              <w:t>Employment and Compensation Agreement, effective September 14, 2009, between the Company and Paul E. Rothamel (incorporated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w w:val="91"/>
              </w:rPr>
              <w:t>by reference to Exhibit 10.1 to the Company’s Annual Report on Form 10-K for the year ended September 30, 2009, Commission File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No. 0-19424)</w:t>
            </w: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22"/>
                <w:szCs w:val="22"/>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w w:val="95"/>
              </w:rPr>
              <w:t>Consulting Agreement, effective November 1, 2010, between the Company and Joseph L. Rotunda (incorporated by reference to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w w:val="91"/>
              </w:rPr>
              <w:t>Exhibit 99.1 to the Company’s Current Report on Form 8-K dated October 8, 2010 and filed October 12, 2010, Commission File No. 0-</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19424)</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21.1†</w:t>
            </w:r>
          </w:p>
        </w:tc>
        <w:tc>
          <w:tcPr>
            <w:tcW w:w="9900" w:type="dxa"/>
            <w:vAlign w:val="bottom"/>
          </w:tcPr>
          <w:p>
            <w:pPr>
              <w:ind w:left="120"/>
              <w:spacing w:after="0"/>
              <w:rPr>
                <w:sz w:val="20"/>
                <w:szCs w:val="20"/>
                <w:color w:val="auto"/>
              </w:rPr>
            </w:pPr>
            <w:r>
              <w:rPr>
                <w:rFonts w:ascii="Arial" w:cs="Arial" w:eastAsia="Arial" w:hAnsi="Arial"/>
                <w:sz w:val="18"/>
                <w:szCs w:val="18"/>
                <w:color w:val="auto"/>
              </w:rPr>
              <w:t>Subsidiaries of EZCORP, Inc.</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23.1†</w:t>
            </w:r>
          </w:p>
        </w:tc>
        <w:tc>
          <w:tcPr>
            <w:tcW w:w="9900" w:type="dxa"/>
            <w:vAlign w:val="bottom"/>
          </w:tcPr>
          <w:p>
            <w:pPr>
              <w:ind w:left="120"/>
              <w:spacing w:after="0"/>
              <w:rPr>
                <w:sz w:val="20"/>
                <w:szCs w:val="20"/>
                <w:color w:val="auto"/>
              </w:rPr>
            </w:pPr>
            <w:r>
              <w:rPr>
                <w:rFonts w:ascii="Arial" w:cs="Arial" w:eastAsia="Arial" w:hAnsi="Arial"/>
                <w:sz w:val="18"/>
                <w:szCs w:val="18"/>
                <w:color w:val="auto"/>
              </w:rPr>
              <w:t>Consent of BDO USA, LLP</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31.1†</w:t>
            </w:r>
          </w:p>
        </w:tc>
        <w:tc>
          <w:tcPr>
            <w:tcW w:w="9900" w:type="dxa"/>
            <w:vAlign w:val="bottom"/>
          </w:tcPr>
          <w:p>
            <w:pPr>
              <w:ind w:left="120"/>
              <w:spacing w:after="0"/>
              <w:rPr>
                <w:sz w:val="20"/>
                <w:szCs w:val="20"/>
                <w:color w:val="auto"/>
              </w:rPr>
            </w:pPr>
            <w:r>
              <w:rPr>
                <w:rFonts w:ascii="Arial" w:cs="Arial" w:eastAsia="Arial" w:hAnsi="Arial"/>
                <w:sz w:val="18"/>
                <w:szCs w:val="18"/>
                <w:color w:val="auto"/>
                <w:w w:val="92"/>
              </w:rPr>
              <w:t>Certification of Paul E. Rothamel, Chief Executive Officer, pursuant to Rule 13a-14(a) under the Securities Exchange Act of 1934,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31.2†</w:t>
            </w:r>
          </w:p>
        </w:tc>
        <w:tc>
          <w:tcPr>
            <w:tcW w:w="9900" w:type="dxa"/>
            <w:vAlign w:val="bottom"/>
          </w:tcPr>
          <w:p>
            <w:pPr>
              <w:ind w:left="120"/>
              <w:spacing w:after="0"/>
              <w:rPr>
                <w:sz w:val="20"/>
                <w:szCs w:val="20"/>
                <w:color w:val="auto"/>
              </w:rPr>
            </w:pPr>
            <w:r>
              <w:rPr>
                <w:rFonts w:ascii="Arial" w:cs="Arial" w:eastAsia="Arial" w:hAnsi="Arial"/>
                <w:sz w:val="18"/>
                <w:szCs w:val="18"/>
                <w:color w:val="auto"/>
                <w:w w:val="92"/>
              </w:rPr>
              <w:t>Certification of Mark Kuchenrither, Chief Financial Officer, pursuant to Rule 13a-14(a) under the Securities Exchange Act of 1934,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32.1††</w:t>
            </w:r>
          </w:p>
        </w:tc>
        <w:tc>
          <w:tcPr>
            <w:tcW w:w="9900" w:type="dxa"/>
            <w:vAlign w:val="bottom"/>
          </w:tcPr>
          <w:p>
            <w:pPr>
              <w:ind w:left="120"/>
              <w:spacing w:after="0"/>
              <w:rPr>
                <w:sz w:val="20"/>
                <w:szCs w:val="20"/>
                <w:color w:val="auto"/>
              </w:rPr>
            </w:pPr>
            <w:r>
              <w:rPr>
                <w:rFonts w:ascii="Arial" w:cs="Arial" w:eastAsia="Arial" w:hAnsi="Arial"/>
                <w:sz w:val="18"/>
                <w:szCs w:val="18"/>
                <w:color w:val="auto"/>
                <w:w w:val="95"/>
              </w:rPr>
              <w:t>Certifications of Paul E. Rothamel, Chief Executive Officer, and Mark Kuchenrither, Chief Financial Officer, pursuant to 18 U.S.C.</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990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270"/>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101.SCH†††</w:t>
            </w:r>
          </w:p>
        </w:tc>
        <w:tc>
          <w:tcPr>
            <w:tcW w:w="99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101.CAL†††</w:t>
            </w:r>
          </w:p>
        </w:tc>
        <w:tc>
          <w:tcPr>
            <w:tcW w:w="990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101.LAB†††</w:t>
            </w:r>
          </w:p>
        </w:tc>
        <w:tc>
          <w:tcPr>
            <w:tcW w:w="9900" w:type="dxa"/>
            <w:vAlign w:val="bottom"/>
          </w:tcPr>
          <w:p>
            <w:pPr>
              <w:ind w:left="1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0"/>
              </w:rPr>
              <w:t>101.DEF†††</w:t>
            </w:r>
          </w:p>
        </w:tc>
        <w:tc>
          <w:tcPr>
            <w:tcW w:w="990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0"/>
              </w:rPr>
              <w:t>101.PRE†††</w:t>
            </w:r>
          </w:p>
        </w:tc>
        <w:tc>
          <w:tcPr>
            <w:tcW w:w="99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97"/>
        </w:trPr>
        <w:tc>
          <w:tcPr>
            <w:tcW w:w="11300" w:type="dxa"/>
            <w:vAlign w:val="bottom"/>
            <w:gridSpan w:val="3"/>
          </w:tcPr>
          <w:p>
            <w:pPr>
              <w:spacing w:after="0"/>
              <w:rPr>
                <w:sz w:val="20"/>
                <w:szCs w:val="20"/>
                <w:color w:val="auto"/>
              </w:rPr>
            </w:pPr>
            <w:r>
              <w:rPr>
                <w:rFonts w:ascii="Arial" w:cs="Arial" w:eastAsia="Arial" w:hAnsi="Arial"/>
                <w:sz w:val="18"/>
                <w:szCs w:val="18"/>
                <w:color w:val="auto"/>
              </w:rPr>
              <w:t>_____________________________</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Identifies Exhibit that consists of or includes a management contract or compensatory plan or arrangement.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90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900" w:type="dxa"/>
            <w:vAlign w:val="bottom"/>
          </w:tcPr>
          <w:p>
            <w:pPr>
              <w:ind w:left="120"/>
              <w:spacing w:after="0"/>
              <w:rPr>
                <w:sz w:val="20"/>
                <w:szCs w:val="20"/>
                <w:color w:val="auto"/>
              </w:rPr>
            </w:pPr>
            <w:r>
              <w:rPr>
                <w:rFonts w:ascii="Arial" w:cs="Arial" w:eastAsia="Arial" w:hAnsi="Arial"/>
                <w:sz w:val="18"/>
                <w:szCs w:val="18"/>
                <w:color w:val="auto"/>
              </w:rPr>
              <w:t>Furnished herewith.</w:t>
            </w:r>
          </w:p>
        </w:tc>
      </w:tr>
    </w:tbl>
    <w:p>
      <w:pPr>
        <w:spacing w:after="0" w:line="40" w:lineRule="exact"/>
        <w:rPr>
          <w:sz w:val="20"/>
          <w:szCs w:val="20"/>
          <w:color w:val="auto"/>
        </w:rPr>
      </w:pPr>
    </w:p>
    <w:p>
      <w:pPr>
        <w:ind w:left="1520" w:hanging="1485"/>
        <w:spacing w:after="0" w:line="293" w:lineRule="auto"/>
        <w:tabs>
          <w:tab w:leader="none" w:pos="1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Attached as Exhibit 101 to this report are the following formatted in XBRL (Extensible Business Reporting Language): (i) Consolidated Balance Sheets at September 30, 2012, and September 30, 2011; (ii) Consolidated Statements of Operations for the years ended September 30, 2012, September 30, 2011 and September 30, 2010; (iii) Consolidated Statements of Comprehensive Income for the years ended September 30, 2012, September 30, 2011 and September 30, 2010;Consolidated Statements of Cash Flows for the for the years ended September 30, 2012, September 30, 2011 and September 30, 2010; Consolidated Statements of Shareholders’ Equity for the years ended September 30, 2012, September 30, 2011 and September 30, 2010; and (iv) Notes to Consolidated Financial Statements.</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108" w:right="27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7080" w:type="dxa"/>
            <w:vAlign w:val="bottom"/>
          </w:tcPr>
          <w:p>
            <w:pPr>
              <w:ind w:left="6140"/>
              <w:spacing w:after="0"/>
              <w:rPr>
                <w:sz w:val="20"/>
                <w:szCs w:val="20"/>
                <w:color w:val="auto"/>
              </w:rPr>
            </w:pPr>
            <w:r>
              <w:rPr>
                <w:rFonts w:ascii="Arial" w:cs="Arial" w:eastAsia="Arial" w:hAnsi="Arial"/>
                <w:sz w:val="18"/>
                <w:szCs w:val="18"/>
                <w:b w:val="1"/>
                <w:bCs w:val="1"/>
                <w:color w:val="auto"/>
                <w:w w:val="91"/>
              </w:rPr>
              <w:t>Exhibit 21.1</w:t>
            </w:r>
          </w:p>
        </w:tc>
      </w:tr>
      <w:tr>
        <w:trPr>
          <w:trHeight w:val="656"/>
        </w:trPr>
        <w:tc>
          <w:tcPr>
            <w:tcW w:w="43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Entity</w:t>
            </w:r>
          </w:p>
        </w:tc>
        <w:tc>
          <w:tcPr>
            <w:tcW w:w="7080" w:type="dxa"/>
            <w:vAlign w:val="bottom"/>
            <w:tcBorders>
              <w:bottom w:val="single" w:sz="8" w:color="auto"/>
            </w:tcBorders>
          </w:tcPr>
          <w:p>
            <w:pPr>
              <w:jc w:val="center"/>
              <w:ind w:left="461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310"/>
        </w:trPr>
        <w:tc>
          <w:tcPr>
            <w:tcW w:w="4340" w:type="dxa"/>
            <w:vAlign w:val="bottom"/>
          </w:tcPr>
          <w:p>
            <w:pPr>
              <w:ind w:left="40"/>
              <w:spacing w:after="0"/>
              <w:rPr>
                <w:sz w:val="20"/>
                <w:szCs w:val="20"/>
                <w:color w:val="auto"/>
              </w:rPr>
            </w:pPr>
            <w:r>
              <w:rPr>
                <w:rFonts w:ascii="Arial" w:cs="Arial" w:eastAsia="Arial" w:hAnsi="Arial"/>
                <w:sz w:val="18"/>
                <w:szCs w:val="18"/>
                <w:color w:val="auto"/>
              </w:rPr>
              <w:t>Change Capital,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Change Capital International Holdings, B.V.</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90"/>
              </w:rPr>
              <w:t>Netherlands</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Change Capital Investments, LLC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Change Capital Ventures, LLC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CCV Americas, LLC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CCV Pennsylvania,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CCV Virginia,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EZCORP Global, B.V.</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90"/>
              </w:rPr>
              <w:t>Netherlands</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EZCORP Global Holdings, C.V.</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90"/>
              </w:rPr>
              <w:t>Netherlands</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EZCORP International,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EZCORP International Holdings, LLC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EZCORP Online,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Alabama,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Canada Holdings,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94"/>
              </w:rPr>
              <w:t>British Columbia</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Canada,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Colorado,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Holdings,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Idaho,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Kansas,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Management,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Missouri,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Nebraska,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Nova,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94"/>
              </w:rPr>
              <w:t>British Columbia</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South Dakota,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Tario,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94"/>
              </w:rPr>
              <w:t>British Columbia</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Toba,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94"/>
              </w:rPr>
              <w:t>British Columbia</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Utah,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EZMONEY Wisconsin,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Alabama,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Arkansas,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Colorado,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Florida,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Georgia,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Holdings,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Illinois,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Indiana,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Iowa,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Louisiana,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w w:val="98"/>
              </w:rPr>
              <w:t>EZPAWN Management Mexico, SRL de CV (Ltd.,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98"/>
              </w:rPr>
              <w:t>Mexico</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Mexico Holdings, LLC.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Mexico Ltd., LLC.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EZPAWN Nevada, Inc.</w:t>
            </w:r>
          </w:p>
        </w:tc>
        <w:tc>
          <w:tcPr>
            <w:tcW w:w="7080" w:type="dxa"/>
            <w:vAlign w:val="bottom"/>
          </w:tcPr>
          <w:p>
            <w:pPr>
              <w:jc w:val="center"/>
              <w:ind w:left="4591"/>
              <w:spacing w:after="0"/>
              <w:rPr>
                <w:sz w:val="20"/>
                <w:szCs w:val="20"/>
                <w:color w:val="auto"/>
              </w:rPr>
            </w:pPr>
            <w:r>
              <w:rPr>
                <w:rFonts w:ascii="Arial" w:cs="Arial" w:eastAsia="Arial" w:hAnsi="Arial"/>
                <w:sz w:val="18"/>
                <w:szCs w:val="18"/>
                <w:color w:val="auto"/>
                <w:w w:val="89"/>
              </w:rPr>
              <w:t>Delaware</w:t>
            </w:r>
          </w:p>
        </w:tc>
      </w:tr>
      <w:tr>
        <w:trPr>
          <w:trHeight w:val="27"/>
        </w:trPr>
        <w:tc>
          <w:tcPr>
            <w:tcW w:w="434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688" w:right="2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Borders>
              <w:bottom w:val="single" w:sz="8" w:color="auto"/>
            </w:tcBorders>
          </w:tcPr>
          <w:p>
            <w:pPr>
              <w:spacing w:after="0"/>
              <w:rPr>
                <w:sz w:val="16"/>
                <w:szCs w:val="16"/>
                <w:color w:val="auto"/>
              </w:rPr>
            </w:pPr>
          </w:p>
        </w:tc>
        <w:tc>
          <w:tcPr>
            <w:tcW w:w="7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Entity</w:t>
            </w:r>
          </w:p>
        </w:tc>
        <w:tc>
          <w:tcPr>
            <w:tcW w:w="7240" w:type="dxa"/>
            <w:vAlign w:val="bottom"/>
            <w:tcBorders>
              <w:bottom w:val="single" w:sz="8" w:color="auto"/>
            </w:tcBorders>
          </w:tcPr>
          <w:p>
            <w:pPr>
              <w:jc w:val="center"/>
              <w:ind w:left="4772"/>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EZPAWN Oklahoma, Inc.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89"/>
              </w:rPr>
              <w:t>Delaware</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EZPAWN Services Mexico, SRL de CV (Holdings)</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98"/>
              </w:rPr>
              <w:t>Mexico</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EZPAWN Tennessee, Inc.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89"/>
              </w:rPr>
              <w:t>Delaware</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EZPAWN Utah, Inc.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89"/>
              </w:rPr>
              <w:t>Delaware</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EZPAWN Wisconsin, Inc.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89"/>
              </w:rPr>
              <w:t>Delaware</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Payday Loan Management, Inc.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89"/>
              </w:rPr>
              <w:t>Delaware</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Texas EZMONEY, L.P.</w:t>
            </w:r>
          </w:p>
        </w:tc>
        <w:tc>
          <w:tcPr>
            <w:tcW w:w="7240" w:type="dxa"/>
            <w:vAlign w:val="bottom"/>
          </w:tcPr>
          <w:p>
            <w:pPr>
              <w:jc w:val="center"/>
              <w:ind w:left="4772"/>
              <w:spacing w:after="0"/>
              <w:rPr>
                <w:sz w:val="20"/>
                <w:szCs w:val="20"/>
                <w:color w:val="auto"/>
              </w:rPr>
            </w:pPr>
            <w:r>
              <w:rPr>
                <w:rFonts w:ascii="Arial" w:cs="Arial" w:eastAsia="Arial" w:hAnsi="Arial"/>
                <w:sz w:val="18"/>
                <w:szCs w:val="18"/>
                <w:color w:val="auto"/>
                <w:w w:val="85"/>
              </w:rPr>
              <w:t>Texas</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Texas EZPAWN Management, Inc.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89"/>
              </w:rPr>
              <w:t>Delaware</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Texas EZPAWN, L.P.</w:t>
            </w:r>
          </w:p>
        </w:tc>
        <w:tc>
          <w:tcPr>
            <w:tcW w:w="7240" w:type="dxa"/>
            <w:vAlign w:val="bottom"/>
          </w:tcPr>
          <w:p>
            <w:pPr>
              <w:jc w:val="center"/>
              <w:ind w:left="4772"/>
              <w:spacing w:after="0"/>
              <w:rPr>
                <w:sz w:val="20"/>
                <w:szCs w:val="20"/>
                <w:color w:val="auto"/>
              </w:rPr>
            </w:pPr>
            <w:r>
              <w:rPr>
                <w:rFonts w:ascii="Arial" w:cs="Arial" w:eastAsia="Arial" w:hAnsi="Arial"/>
                <w:sz w:val="18"/>
                <w:szCs w:val="18"/>
                <w:color w:val="auto"/>
                <w:w w:val="85"/>
              </w:rPr>
              <w:t>Texas</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Texas PRA Management, L.P.</w:t>
            </w:r>
          </w:p>
        </w:tc>
        <w:tc>
          <w:tcPr>
            <w:tcW w:w="7240" w:type="dxa"/>
            <w:vAlign w:val="bottom"/>
          </w:tcPr>
          <w:p>
            <w:pPr>
              <w:jc w:val="center"/>
              <w:ind w:left="4772"/>
              <w:spacing w:after="0"/>
              <w:rPr>
                <w:sz w:val="20"/>
                <w:szCs w:val="20"/>
                <w:color w:val="auto"/>
              </w:rPr>
            </w:pPr>
            <w:r>
              <w:rPr>
                <w:rFonts w:ascii="Arial" w:cs="Arial" w:eastAsia="Arial" w:hAnsi="Arial"/>
                <w:sz w:val="18"/>
                <w:szCs w:val="18"/>
                <w:color w:val="auto"/>
                <w:w w:val="85"/>
              </w:rPr>
              <w:t>Texas</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Value F Empeño y Joyería, S. de R.L.</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98"/>
              </w:rPr>
              <w:t>Mexico</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Value F Services Mexico, S. de R.L. de C.V.</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98"/>
              </w:rPr>
              <w:t>Mexico</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Value Financial Services, Inc.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94"/>
              </w:rPr>
              <w:t>Florida</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VFS Mexico Operations, LLC.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94"/>
              </w:rPr>
              <w:t>Florida</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VFS Mexico Services, LLC.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94"/>
              </w:rPr>
              <w:t>Florida</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Mister Money Holdings, Inc.</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93"/>
              </w:rPr>
              <w:t>Colorado</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EZCORP Americas Cooperative, U.A.</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90"/>
              </w:rPr>
              <w:t>Netherlands</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EZCORP Global Cooperative, U.A</w:t>
            </w:r>
          </w:p>
        </w:tc>
        <w:tc>
          <w:tcPr>
            <w:tcW w:w="7240" w:type="dxa"/>
            <w:vAlign w:val="bottom"/>
          </w:tcPr>
          <w:p>
            <w:pPr>
              <w:jc w:val="center"/>
              <w:ind w:left="4752"/>
              <w:spacing w:after="0"/>
              <w:rPr>
                <w:sz w:val="20"/>
                <w:szCs w:val="20"/>
                <w:color w:val="auto"/>
              </w:rPr>
            </w:pPr>
            <w:r>
              <w:rPr>
                <w:rFonts w:ascii="Arial" w:cs="Arial" w:eastAsia="Arial" w:hAnsi="Arial"/>
                <w:sz w:val="18"/>
                <w:szCs w:val="18"/>
                <w:color w:val="auto"/>
                <w:w w:val="90"/>
              </w:rPr>
              <w:t>Netherlands</w:t>
            </w:r>
          </w:p>
        </w:tc>
      </w:tr>
    </w:tbl>
    <w:p>
      <w:pPr>
        <w:sectPr>
          <w:pgSz w:w="11900" w:h="16838" w:orient="portrait"/>
          <w:cols w:equalWidth="0" w:num="1">
            <w:col w:w="11420"/>
          </w:cols>
          <w:pgMar w:left="240" w:top="73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hereby consent to the incorporation by reference in the Registration Statement (Form S-8 No. 33-63078) pertaining to the EZCORP, Inc. 401(k) Plan, the Registration Statement (Form S-8 No. 333-108847) pertaining to the 1998 EZCORP, Inc. Stock Incentive Plan, the Registration Statement (Form S-8 No. 333-122116) pertaining to the EZCORP, Inc. 2003 Incentive Plan, the Registration Statement (Form S-8 No. 333-140492) pertaining to the EZCORP, Inc. 2006 Incentive Plan, the Registration Statement (Form S-8 No. 333-166950) pertaining to the EZCORP, Inc. 2010 Incentive Plan, the Registration Statement (Form S-3 No. 333-155394), the Registration Statement (Form S-4 No. 333-170972) and the Registration Statement (Form S-3ASR No. 179379) of our reports dated November 20, 2012 relating to the consolidated financial statements and the effectiveness of EZCORP's internal control over financial reporting which appears in the Annual Report to Shareholders, which is incorporated by reference in this Annual Report on Form 10-K for the year ended September 30, 2012.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2012</w:t>
      </w:r>
    </w:p>
    <w:p>
      <w:pPr>
        <w:sectPr>
          <w:pgSz w:w="11900" w:h="16838" w:orient="portrait"/>
          <w:cols w:equalWidth="0" w:num="1">
            <w:col w:w="11420"/>
          </w:cols>
          <w:pgMar w:left="240" w:top="796"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Paul E. Rothamel, Chief Executive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Paul E. Rothamel, certify that:</w:t>
      </w:r>
    </w:p>
    <w:p>
      <w:pPr>
        <w:spacing w:after="0" w:line="63"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2012</w:t>
      </w:r>
    </w:p>
    <w:p>
      <w:pPr>
        <w:spacing w:after="0" w:line="200" w:lineRule="exact"/>
        <w:rPr>
          <w:sz w:val="20"/>
          <w:szCs w:val="20"/>
          <w:color w:val="auto"/>
        </w:rPr>
      </w:pPr>
    </w:p>
    <w:p>
      <w:pPr>
        <w:spacing w:after="0" w:line="29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Paul E. Rothamel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Paul E. Rothamel</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797"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Stephen A. Stamp, Chief Financial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Mark Kuchenrither, certify that:</w:t>
      </w:r>
    </w:p>
    <w:p>
      <w:pPr>
        <w:spacing w:after="0" w:line="63"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2012</w:t>
      </w:r>
    </w:p>
    <w:p>
      <w:pPr>
        <w:spacing w:after="0" w:line="200" w:lineRule="exact"/>
        <w:rPr>
          <w:sz w:val="20"/>
          <w:szCs w:val="20"/>
          <w:color w:val="auto"/>
        </w:rPr>
      </w:pPr>
    </w:p>
    <w:p>
      <w:pPr>
        <w:spacing w:after="0" w:line="29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6"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Certifications of Paul E. Rothamel, Chief Executive Officer, and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 Kuchenrither, Executive Vice President and Chief Financial Officer, pursuant to 18 U.S.C. Section 1350, as adopted pursuant to Section 906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undersigned officers of EZCORP, Inc. hereby certify that (a) EZCORP’s Annual Report on Form 10-K for the year ended September 30, 2012,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2012</w:t>
      </w:r>
    </w:p>
    <w:p>
      <w:pPr>
        <w:spacing w:after="0" w:line="200" w:lineRule="exact"/>
        <w:rPr>
          <w:sz w:val="20"/>
          <w:szCs w:val="20"/>
          <w:color w:val="auto"/>
        </w:rPr>
      </w:pPr>
    </w:p>
    <w:p>
      <w:pPr>
        <w:spacing w:after="0" w:line="29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Paul E. Rothamel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Paul E. Rothamel</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2012</w:t>
      </w:r>
    </w:p>
    <w:p>
      <w:pPr>
        <w:spacing w:after="0" w:line="200" w:lineRule="exact"/>
        <w:rPr>
          <w:sz w:val="20"/>
          <w:szCs w:val="20"/>
          <w:color w:val="auto"/>
        </w:rPr>
      </w:pPr>
    </w:p>
    <w:p>
      <w:pPr>
        <w:spacing w:after="0" w:line="29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amp;"/>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Roman"/>
      <w:start w:val="2"/>
    </w:lvl>
  </w:abstractNum>
  <w:abstractNum w:abstractNumId="15">
    <w:nsid w:val="51EAD36B"/>
    <w:multiLevelType w:val="hybridMultilevel"/>
    <w:lvl w:ilvl="0">
      <w:lvlJc w:val="left"/>
      <w:lvlText w:val="(%1)"/>
      <w:numFmt w:val="lowerRoman"/>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lvl w:ilvl="1">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lvl w:ilvl="1">
      <w:lvlJc w:val="left"/>
      <w:lvlText w:val="•"/>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
      <w:numFmt w:val="bullet"/>
      <w:start w:val="1"/>
    </w:lvl>
    <w:lvl w:ilvl="1">
      <w:lvlJc w:val="left"/>
      <w:lvlText w:val="•"/>
      <w:numFmt w:val="bullet"/>
      <w:start w:val="1"/>
    </w:lvl>
  </w:abstractNum>
  <w:abstractNum w:abstractNumId="47">
    <w:nsid w:val="649BB7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lowerRoman"/>
      <w:start w:val="4"/>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3"/>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2020-01-29T03:06:38Z</dcterms:created>
  <dcterms:modified xsi:type="dcterms:W3CDTF">2020-01-29T03:06:38Z</dcterms:modified>
</cp:coreProperties>
</file>