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SCHEDULE 13G</w:t>
      </w:r>
    </w:p>
    <w:p>
      <w:pPr>
        <w:spacing w:after="0" w:line="200" w:lineRule="exact"/>
        <w:rPr>
          <w:sz w:val="24"/>
          <w:szCs w:val="24"/>
          <w:color w:val="auto"/>
        </w:rPr>
      </w:pPr>
    </w:p>
    <w:p>
      <w:pPr>
        <w:spacing w:after="0" w:line="241"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(Amendment No.2)*</w:t>
      </w:r>
    </w:p>
    <w:p>
      <w:pPr>
        <w:spacing w:after="0" w:line="200" w:lineRule="exact"/>
        <w:rPr>
          <w:sz w:val="24"/>
          <w:szCs w:val="24"/>
          <w:color w:val="auto"/>
        </w:rPr>
      </w:pPr>
    </w:p>
    <w:p>
      <w:pPr>
        <w:spacing w:after="0" w:line="24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12/31/2015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(Date of Event Which Requires Filing of this Statement)</w:t>
      </w:r>
    </w:p>
    <w:p>
      <w:pPr>
        <w:spacing w:after="0" w:line="248" w:lineRule="exact"/>
        <w:rPr>
          <w:sz w:val="24"/>
          <w:szCs w:val="24"/>
          <w:color w:val="auto"/>
        </w:rPr>
      </w:pPr>
    </w:p>
    <w:p>
      <w:pPr>
        <w:ind w:right="4299"/>
        <w:spacing w:after="0" w:line="277" w:lineRule="auto"/>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0" w:lineRule="exact"/>
        <w:rPr>
          <w:sz w:val="24"/>
          <w:szCs w:val="24"/>
          <w:color w:val="auto"/>
        </w:rPr>
      </w:pPr>
    </w:p>
    <w:p>
      <w:pPr>
        <w:ind w:left="1600" w:hanging="621"/>
        <w:spacing w:after="0"/>
        <w:tabs>
          <w:tab w:leader="none" w:pos="16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320" w:right="2679" w:hanging="315"/>
        <w:spacing w:after="0" w:line="264"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10121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2190" cy="17145"/>
                    </a:xfrm>
                    <a:prstGeom prst="rect">
                      <a:avLst/>
                    </a:prstGeom>
                    <a:noFill/>
                  </pic:spPr>
                </pic:pic>
              </a:graphicData>
            </a:graphic>
          </wp:anchor>
        </w:drawing>
      </w:r>
    </w:p>
    <w:p>
      <w:pPr>
        <w:spacing w:after="0" w:line="161" w:lineRule="exact"/>
        <w:rPr>
          <w:sz w:val="24"/>
          <w:szCs w:val="24"/>
          <w:color w:val="auto"/>
        </w:rPr>
      </w:pPr>
    </w:p>
    <w:p>
      <w:pPr>
        <w:ind w:left="280" w:right="2659" w:hanging="2"/>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468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CUSIP No. 302301106</w:t>
            </w:r>
          </w:p>
        </w:tc>
        <w:tc>
          <w:tcPr>
            <w:tcW w:w="2680" w:type="dxa"/>
            <w:vAlign w:val="bottom"/>
          </w:tcPr>
          <w:p>
            <w:pPr>
              <w:ind w:left="1080"/>
              <w:spacing w:after="0"/>
              <w:rPr>
                <w:sz w:val="20"/>
                <w:szCs w:val="20"/>
                <w:color w:val="auto"/>
              </w:rPr>
            </w:pPr>
            <w:r>
              <w:rPr>
                <w:rFonts w:ascii="Arial" w:cs="Arial" w:eastAsia="Arial" w:hAnsi="Arial"/>
                <w:sz w:val="18"/>
                <w:szCs w:val="18"/>
                <w:b w:val="1"/>
                <w:bCs w:val="1"/>
                <w:color w:val="auto"/>
              </w:rPr>
              <w:t>13G</w:t>
            </w:r>
          </w:p>
        </w:tc>
        <w:tc>
          <w:tcPr>
            <w:tcW w:w="2580" w:type="dxa"/>
            <w:vAlign w:val="bottom"/>
          </w:tcPr>
          <w:p>
            <w:pPr>
              <w:ind w:left="1300"/>
              <w:spacing w:after="0"/>
              <w:rPr>
                <w:sz w:val="20"/>
                <w:szCs w:val="20"/>
                <w:color w:val="auto"/>
              </w:rPr>
            </w:pPr>
            <w:r>
              <w:rPr>
                <w:rFonts w:ascii="Arial" w:cs="Arial" w:eastAsia="Arial" w:hAnsi="Arial"/>
                <w:sz w:val="18"/>
                <w:szCs w:val="18"/>
                <w:color w:val="auto"/>
                <w:w w:val="85"/>
              </w:rPr>
              <w:t>Page 2 of 7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4690110</wp:posOffset>
            </wp:positionH>
            <wp:positionV relativeFrom="page">
              <wp:posOffset>616585</wp:posOffset>
            </wp:positionV>
            <wp:extent cx="272669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6690"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553085</wp:posOffset>
            </wp:positionV>
            <wp:extent cx="7259320" cy="4626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hanging="161"/>
        <w:spacing w:after="0"/>
        <w:tabs>
          <w:tab w:leader="none" w:pos="10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I.R.S. INDENTIFICATION NOS. OF ABOVE PERSONS (ENTITIES ONLY)</w:t>
      </w:r>
    </w:p>
    <w:p>
      <w:pPr>
        <w:spacing w:after="0" w:line="210" w:lineRule="exact"/>
        <w:rPr>
          <w:rFonts w:ascii="Arial" w:cs="Arial" w:eastAsia="Arial" w:hAnsi="Arial"/>
          <w:sz w:val="18"/>
          <w:szCs w:val="18"/>
          <w:b w:val="1"/>
          <w:bCs w:val="1"/>
          <w:color w:val="auto"/>
        </w:rPr>
      </w:pPr>
    </w:p>
    <w:p>
      <w:pPr>
        <w:ind w:left="1020" w:right="79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Huber Capital Management, LLC 20-8441410</w:t>
      </w:r>
    </w:p>
    <w:p>
      <w:pPr>
        <w:spacing w:after="0" w:line="5" w:lineRule="exact"/>
        <w:rPr>
          <w:rFonts w:ascii="Arial" w:cs="Arial" w:eastAsia="Arial" w:hAnsi="Arial"/>
          <w:sz w:val="18"/>
          <w:szCs w:val="18"/>
          <w:b w:val="1"/>
          <w:bCs w:val="1"/>
          <w:color w:val="auto"/>
        </w:rPr>
      </w:pPr>
    </w:p>
    <w:p>
      <w:pPr>
        <w:ind w:left="1020" w:hanging="161"/>
        <w:spacing w:after="0"/>
        <w:tabs>
          <w:tab w:leader="none" w:pos="10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1120"/>
        <w:spacing w:after="0"/>
        <w:rPr>
          <w:sz w:val="20"/>
          <w:szCs w:val="20"/>
          <w:color w:val="auto"/>
        </w:rPr>
      </w:pPr>
      <w:r>
        <w:rPr>
          <w:rFonts w:ascii="Arial" w:cs="Arial" w:eastAsia="Arial" w:hAnsi="Arial"/>
          <w:sz w:val="16"/>
          <w:szCs w:val="16"/>
          <w:color w:val="auto"/>
        </w:rPr>
        <w:t>(a)£</w:t>
      </w:r>
    </w:p>
    <w:p>
      <w:pPr>
        <w:spacing w:after="0" w:line="32"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(b)£</w:t>
      </w:r>
    </w:p>
    <w:p>
      <w:pPr>
        <w:spacing w:after="0" w:line="33" w:lineRule="exact"/>
        <w:rPr>
          <w:sz w:val="20"/>
          <w:szCs w:val="20"/>
          <w:color w:val="auto"/>
        </w:rPr>
      </w:pPr>
    </w:p>
    <w:p>
      <w:pPr>
        <w:ind w:left="1020" w:hanging="161"/>
        <w:spacing w:after="0"/>
        <w:tabs>
          <w:tab w:leader="none" w:pos="10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CITIZENSHIP OR PLACE OF ORGANIZATION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1000" w:type="dxa"/>
            <w:vAlign w:val="bottom"/>
            <w:tcBorders>
              <w:top w:val="single" w:sz="8" w:color="auto"/>
              <w:right w:val="single" w:sz="8" w:color="auto"/>
            </w:tcBorders>
          </w:tcPr>
          <w:p>
            <w:pPr>
              <w:jc w:val="right"/>
              <w:ind w:right="795"/>
              <w:spacing w:after="0"/>
              <w:rPr>
                <w:sz w:val="20"/>
                <w:szCs w:val="20"/>
                <w:color w:val="auto"/>
              </w:rPr>
            </w:pPr>
            <w:r>
              <w:rPr>
                <w:rFonts w:ascii="Arial" w:cs="Arial" w:eastAsia="Arial" w:hAnsi="Arial"/>
                <w:sz w:val="17"/>
                <w:szCs w:val="17"/>
                <w:b w:val="1"/>
                <w:bCs w:val="1"/>
                <w:color w:val="auto"/>
                <w:w w:val="70"/>
              </w:rPr>
              <w:t>5.</w:t>
            </w:r>
          </w:p>
        </w:tc>
        <w:tc>
          <w:tcPr>
            <w:tcW w:w="9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1000" w:type="dxa"/>
            <w:vAlign w:val="bottom"/>
            <w:tcBorders>
              <w:bottom w:val="single" w:sz="8" w:color="auto"/>
              <w:right w:val="single" w:sz="8" w:color="auto"/>
            </w:tcBorders>
          </w:tcPr>
          <w:p>
            <w:pPr>
              <w:spacing w:after="0"/>
              <w:rPr>
                <w:sz w:val="20"/>
                <w:szCs w:val="20"/>
                <w:color w:val="auto"/>
              </w:rPr>
            </w:pPr>
          </w:p>
        </w:tc>
        <w:tc>
          <w:tcPr>
            <w:tcW w:w="90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1,186,652</w:t>
            </w:r>
          </w:p>
        </w:tc>
        <w:tc>
          <w:tcPr>
            <w:tcW w:w="0" w:type="dxa"/>
            <w:vAlign w:val="bottom"/>
          </w:tcPr>
          <w:p>
            <w:pPr>
              <w:spacing w:after="0"/>
              <w:rPr>
                <w:sz w:val="1"/>
                <w:szCs w:val="1"/>
                <w:color w:val="auto"/>
              </w:rPr>
            </w:pPr>
          </w:p>
        </w:tc>
      </w:tr>
      <w:tr>
        <w:trPr>
          <w:trHeight w:val="202"/>
        </w:trPr>
        <w:tc>
          <w:tcPr>
            <w:tcW w:w="13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9"/>
              </w:rPr>
              <w:t>BENEFICIALLY</w:t>
            </w:r>
          </w:p>
        </w:tc>
        <w:tc>
          <w:tcPr>
            <w:tcW w:w="1000" w:type="dxa"/>
            <w:vAlign w:val="bottom"/>
            <w:tcBorders>
              <w:right w:val="single" w:sz="8" w:color="auto"/>
            </w:tcBorders>
          </w:tcPr>
          <w:p>
            <w:pPr>
              <w:jc w:val="right"/>
              <w:ind w:right="795"/>
              <w:spacing w:after="0"/>
              <w:rPr>
                <w:sz w:val="20"/>
                <w:szCs w:val="20"/>
                <w:color w:val="auto"/>
              </w:rPr>
            </w:pPr>
            <w:r>
              <w:rPr>
                <w:rFonts w:ascii="Arial" w:cs="Arial" w:eastAsia="Arial" w:hAnsi="Arial"/>
                <w:sz w:val="17"/>
                <w:szCs w:val="17"/>
                <w:b w:val="1"/>
                <w:bCs w:val="1"/>
                <w:color w:val="auto"/>
                <w:w w:val="70"/>
              </w:rPr>
              <w:t>6.</w:t>
            </w:r>
          </w:p>
        </w:tc>
        <w:tc>
          <w:tcPr>
            <w:tcW w:w="904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000" w:type="dxa"/>
            <w:vAlign w:val="bottom"/>
            <w:tcBorders>
              <w:bottom w:val="single" w:sz="8" w:color="auto"/>
              <w:right w:val="single" w:sz="8" w:color="auto"/>
            </w:tcBorders>
          </w:tcPr>
          <w:p>
            <w:pPr>
              <w:spacing w:after="0"/>
              <w:rPr>
                <w:sz w:val="20"/>
                <w:szCs w:val="20"/>
                <w:color w:val="auto"/>
              </w:rPr>
            </w:pPr>
          </w:p>
        </w:tc>
        <w:tc>
          <w:tcPr>
            <w:tcW w:w="90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330,694</w:t>
            </w:r>
          </w:p>
        </w:tc>
        <w:tc>
          <w:tcPr>
            <w:tcW w:w="0" w:type="dxa"/>
            <w:vAlign w:val="bottom"/>
          </w:tcPr>
          <w:p>
            <w:pPr>
              <w:spacing w:after="0"/>
              <w:rPr>
                <w:sz w:val="1"/>
                <w:szCs w:val="1"/>
                <w:color w:val="auto"/>
              </w:rPr>
            </w:pPr>
          </w:p>
        </w:tc>
      </w:tr>
      <w:tr>
        <w:trPr>
          <w:trHeight w:val="188"/>
        </w:trPr>
        <w:tc>
          <w:tcPr>
            <w:tcW w:w="138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1000" w:type="dxa"/>
            <w:vAlign w:val="bottom"/>
            <w:tcBorders>
              <w:right w:val="single" w:sz="8" w:color="auto"/>
            </w:tcBorders>
          </w:tcPr>
          <w:p>
            <w:pPr>
              <w:jc w:val="right"/>
              <w:ind w:right="795"/>
              <w:spacing w:after="0" w:line="189" w:lineRule="exact"/>
              <w:rPr>
                <w:sz w:val="20"/>
                <w:szCs w:val="20"/>
                <w:color w:val="auto"/>
              </w:rPr>
            </w:pPr>
            <w:r>
              <w:rPr>
                <w:rFonts w:ascii="Arial" w:cs="Arial" w:eastAsia="Arial" w:hAnsi="Arial"/>
                <w:sz w:val="17"/>
                <w:szCs w:val="17"/>
                <w:b w:val="1"/>
                <w:bCs w:val="1"/>
                <w:color w:val="auto"/>
                <w:w w:val="70"/>
              </w:rPr>
              <w:t>7.</w:t>
            </w: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tcPr>
          <w:p>
            <w:pPr>
              <w:spacing w:after="0"/>
              <w:rPr>
                <w:sz w:val="18"/>
                <w:szCs w:val="18"/>
                <w:color w:val="auto"/>
              </w:rPr>
            </w:pPr>
          </w:p>
        </w:tc>
        <w:tc>
          <w:tcPr>
            <w:tcW w:w="9040" w:type="dxa"/>
            <w:vAlign w:val="bottom"/>
          </w:tcPr>
          <w:p>
            <w:pPr>
              <w:jc w:val="right"/>
              <w:spacing w:after="0"/>
              <w:rPr>
                <w:sz w:val="20"/>
                <w:szCs w:val="20"/>
                <w:color w:val="auto"/>
              </w:rPr>
            </w:pPr>
            <w:r>
              <w:rPr>
                <w:rFonts w:ascii="Arial" w:cs="Arial" w:eastAsia="Arial" w:hAnsi="Arial"/>
                <w:sz w:val="18"/>
                <w:szCs w:val="18"/>
                <w:i w:val="1"/>
                <w:iCs w:val="1"/>
                <w:color w:val="auto"/>
              </w:rPr>
              <w:t>3,344,963</w:t>
            </w:r>
          </w:p>
        </w:tc>
        <w:tc>
          <w:tcPr>
            <w:tcW w:w="0" w:type="dxa"/>
            <w:vAlign w:val="bottom"/>
          </w:tcPr>
          <w:p>
            <w:pPr>
              <w:spacing w:after="0"/>
              <w:rPr>
                <w:sz w:val="1"/>
                <w:szCs w:val="1"/>
                <w:color w:val="auto"/>
              </w:rPr>
            </w:pPr>
          </w:p>
        </w:tc>
      </w:tr>
      <w:tr>
        <w:trPr>
          <w:trHeight w:val="35"/>
        </w:trPr>
        <w:tc>
          <w:tcPr>
            <w:tcW w:w="13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PERSON</w:t>
            </w:r>
          </w:p>
        </w:tc>
        <w:tc>
          <w:tcPr>
            <w:tcW w:w="1000" w:type="dxa"/>
            <w:vAlign w:val="bottom"/>
            <w:tcBorders>
              <w:bottom w:val="single" w:sz="8" w:color="auto"/>
              <w:right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380" w:type="dxa"/>
            <w:vAlign w:val="bottom"/>
            <w:tcBorders>
              <w:right w:val="single" w:sz="8" w:color="auto"/>
            </w:tcBorders>
            <w:gridSpan w:val="2"/>
            <w:vMerge w:val="continue"/>
          </w:tcPr>
          <w:p>
            <w:pPr>
              <w:spacing w:after="0"/>
              <w:rPr>
                <w:sz w:val="14"/>
                <w:szCs w:val="14"/>
                <w:color w:val="auto"/>
              </w:rPr>
            </w:pPr>
          </w:p>
        </w:tc>
        <w:tc>
          <w:tcPr>
            <w:tcW w:w="1000" w:type="dxa"/>
            <w:vAlign w:val="bottom"/>
            <w:tcBorders>
              <w:right w:val="single" w:sz="8" w:color="auto"/>
            </w:tcBorders>
          </w:tcPr>
          <w:p>
            <w:pPr>
              <w:jc w:val="right"/>
              <w:ind w:right="795"/>
              <w:spacing w:after="0" w:line="162" w:lineRule="exact"/>
              <w:rPr>
                <w:sz w:val="20"/>
                <w:szCs w:val="20"/>
                <w:color w:val="auto"/>
              </w:rPr>
            </w:pPr>
            <w:r>
              <w:rPr>
                <w:rFonts w:ascii="Arial" w:cs="Arial" w:eastAsia="Arial" w:hAnsi="Arial"/>
                <w:sz w:val="17"/>
                <w:szCs w:val="17"/>
                <w:b w:val="1"/>
                <w:bCs w:val="1"/>
                <w:color w:val="auto"/>
                <w:w w:val="70"/>
              </w:rPr>
              <w:t>8.</w:t>
            </w:r>
          </w:p>
        </w:tc>
        <w:tc>
          <w:tcPr>
            <w:tcW w:w="9040" w:type="dxa"/>
            <w:vAlign w:val="bottom"/>
          </w:tcPr>
          <w:p>
            <w:pPr>
              <w:spacing w:after="0" w:line="162"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WITH</w:t>
            </w:r>
          </w:p>
        </w:tc>
        <w:tc>
          <w:tcPr>
            <w:tcW w:w="100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9.</w:t>
            </w:r>
          </w:p>
        </w:tc>
        <w:tc>
          <w:tcPr>
            <w:tcW w:w="10400" w:type="dxa"/>
            <w:vAlign w:val="bottom"/>
            <w:gridSpan w:val="3"/>
          </w:tcPr>
          <w:p>
            <w:pPr>
              <w:spacing w:after="0" w:line="201" w:lineRule="exact"/>
              <w:rPr>
                <w:sz w:val="20"/>
                <w:szCs w:val="20"/>
                <w:color w:val="auto"/>
              </w:rPr>
            </w:pPr>
            <w:r>
              <w:rPr>
                <w:rFonts w:ascii="Arial" w:cs="Arial" w:eastAsia="Arial" w:hAnsi="Arial"/>
                <w:sz w:val="18"/>
                <w:szCs w:val="18"/>
                <w:color w:val="auto"/>
              </w:rPr>
              <w:t>AGGREGATE AMOUNT BENEFICIALLY OWNED BY EACH REPORTING</w:t>
            </w:r>
          </w:p>
        </w:tc>
        <w:tc>
          <w:tcPr>
            <w:tcW w:w="0" w:type="dxa"/>
            <w:vAlign w:val="bottom"/>
          </w:tcPr>
          <w:p>
            <w:pPr>
              <w:spacing w:after="0"/>
              <w:rPr>
                <w:sz w:val="1"/>
                <w:szCs w:val="1"/>
                <w:color w:val="auto"/>
              </w:rPr>
            </w:pPr>
          </w:p>
        </w:tc>
      </w:tr>
      <w:tr>
        <w:trPr>
          <w:trHeight w:val="230"/>
        </w:trPr>
        <w:tc>
          <w:tcPr>
            <w:tcW w:w="1020" w:type="dxa"/>
            <w:vAlign w:val="bottom"/>
            <w:tcBorders>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90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3,344,963</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10.</w:t>
            </w:r>
          </w:p>
        </w:tc>
        <w:tc>
          <w:tcPr>
            <w:tcW w:w="10400" w:type="dxa"/>
            <w:vAlign w:val="bottom"/>
            <w:gridSpan w:val="3"/>
          </w:tcPr>
          <w:p>
            <w:pPr>
              <w:spacing w:after="0" w:line="201" w:lineRule="exact"/>
              <w:rPr>
                <w:sz w:val="20"/>
                <w:szCs w:val="20"/>
                <w:color w:val="auto"/>
              </w:rPr>
            </w:pPr>
            <w:r>
              <w:rPr>
                <w:rFonts w:ascii="Arial" w:cs="Arial" w:eastAsia="Arial" w:hAnsi="Arial"/>
                <w:sz w:val="18"/>
                <w:szCs w:val="18"/>
                <w:color w:val="auto"/>
              </w:rPr>
              <w:t>CHECK BOX IF THE AGGREGRATE AMOUNT IN ROW (9) EXCLUDES</w:t>
            </w: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CERTAIN SHARES*</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w:t>
            </w:r>
          </w:p>
        </w:tc>
        <w:tc>
          <w:tcPr>
            <w:tcW w:w="10400" w:type="dxa"/>
            <w:vAlign w:val="bottom"/>
            <w:gridSpan w:val="3"/>
          </w:tcPr>
          <w:p>
            <w:pPr>
              <w:spacing w:after="0" w:line="201" w:lineRule="exact"/>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auto"/>
              <w:right w:val="single" w:sz="8" w:color="auto"/>
            </w:tcBorders>
          </w:tcPr>
          <w:p>
            <w:pPr>
              <w:spacing w:after="0"/>
              <w:rPr>
                <w:sz w:val="20"/>
                <w:szCs w:val="20"/>
                <w:color w:val="auto"/>
              </w:rPr>
            </w:pPr>
          </w:p>
        </w:tc>
        <w:tc>
          <w:tcPr>
            <w:tcW w:w="10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6.45% (see reponse to Item 4)</w:t>
            </w:r>
          </w:p>
        </w:tc>
        <w:tc>
          <w:tcPr>
            <w:tcW w:w="0" w:type="dxa"/>
            <w:vAlign w:val="bottom"/>
          </w:tcPr>
          <w:p>
            <w:pPr>
              <w:spacing w:after="0"/>
              <w:rPr>
                <w:sz w:val="1"/>
                <w:szCs w:val="1"/>
                <w:color w:val="auto"/>
              </w:rPr>
            </w:pPr>
          </w:p>
        </w:tc>
      </w:tr>
      <w:tr>
        <w:trPr>
          <w:trHeight w:val="202"/>
        </w:trPr>
        <w:tc>
          <w:tcPr>
            <w:tcW w:w="1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12.</w:t>
            </w:r>
          </w:p>
        </w:tc>
        <w:tc>
          <w:tcPr>
            <w:tcW w:w="1040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w:t>
            </w:r>
          </w:p>
        </w:tc>
        <w:tc>
          <w:tcPr>
            <w:tcW w:w="10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2" w:name="page3"/>
    <w:bookmarkEnd w:id="2"/>
    <w:p>
      <w:pPr>
        <w:ind w:left="9520"/>
        <w:spacing w:after="0"/>
        <w:rPr>
          <w:sz w:val="20"/>
          <w:szCs w:val="20"/>
          <w:color w:val="auto"/>
        </w:rPr>
      </w:pPr>
      <w:r>
        <w:rPr>
          <w:rFonts w:ascii="Arial" w:cs="Arial" w:eastAsia="Arial" w:hAnsi="Arial"/>
          <w:sz w:val="18"/>
          <w:szCs w:val="18"/>
          <w:color w:val="auto"/>
        </w:rPr>
        <w:t>Page 3 of 7 Pages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44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32"/>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EZCORP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1044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1901 Capital Parkway</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Austin, TX 78746</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Item 2(a).</w:t>
            </w:r>
          </w:p>
        </w:tc>
        <w:tc>
          <w:tcPr>
            <w:tcW w:w="10440" w:type="dxa"/>
            <w:vAlign w:val="bottom"/>
          </w:tcPr>
          <w:p>
            <w:pPr>
              <w:ind w:left="280"/>
              <w:spacing w:after="0"/>
              <w:rPr>
                <w:sz w:val="20"/>
                <w:szCs w:val="20"/>
                <w:color w:val="auto"/>
              </w:rPr>
            </w:pPr>
            <w:r>
              <w:rPr>
                <w:rFonts w:ascii="Arial" w:cs="Arial" w:eastAsia="Arial" w:hAnsi="Arial"/>
                <w:sz w:val="18"/>
                <w:szCs w:val="18"/>
                <w:color w:val="auto"/>
              </w:rPr>
              <w:t>Name of Persons Filing:</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2(b).</w:t>
            </w:r>
          </w:p>
        </w:tc>
        <w:tc>
          <w:tcPr>
            <w:tcW w:w="1044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2(c).</w:t>
            </w:r>
          </w:p>
        </w:tc>
        <w:tc>
          <w:tcPr>
            <w:tcW w:w="1044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Huber Capital Management, LLC</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2321 Rosecrans Ave., Suite 3245</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El Segundo, CA 90245</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(Delaware)</w:t>
            </w:r>
          </w:p>
        </w:tc>
      </w:tr>
      <w:tr>
        <w:trPr>
          <w:trHeight w:val="648"/>
        </w:trPr>
        <w:tc>
          <w:tcPr>
            <w:tcW w:w="980" w:type="dxa"/>
            <w:vAlign w:val="bottom"/>
          </w:tcPr>
          <w:p>
            <w:pPr>
              <w:spacing w:after="0"/>
              <w:rPr>
                <w:sz w:val="20"/>
                <w:szCs w:val="20"/>
                <w:color w:val="auto"/>
              </w:rPr>
            </w:pPr>
            <w:r>
              <w:rPr>
                <w:rFonts w:ascii="Arial" w:cs="Arial" w:eastAsia="Arial" w:hAnsi="Arial"/>
                <w:sz w:val="18"/>
                <w:szCs w:val="18"/>
                <w:color w:val="auto"/>
              </w:rPr>
              <w:t>Item 2(d).</w:t>
            </w:r>
          </w:p>
        </w:tc>
        <w:tc>
          <w:tcPr>
            <w:tcW w:w="1044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Common Stock</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Item 2(e).</w:t>
            </w:r>
          </w:p>
        </w:tc>
        <w:tc>
          <w:tcPr>
            <w:tcW w:w="10440" w:type="dxa"/>
            <w:vAlign w:val="bottom"/>
          </w:tcPr>
          <w:p>
            <w:pPr>
              <w:ind w:left="280"/>
              <w:spacing w:after="0"/>
              <w:rPr>
                <w:sz w:val="20"/>
                <w:szCs w:val="20"/>
                <w:color w:val="auto"/>
              </w:rPr>
            </w:pPr>
            <w:r>
              <w:rPr>
                <w:rFonts w:ascii="Arial" w:cs="Arial" w:eastAsia="Arial" w:hAnsi="Arial"/>
                <w:sz w:val="18"/>
                <w:szCs w:val="18"/>
                <w:color w:val="auto"/>
              </w:rPr>
              <w:t>CUSIP Number:</w:t>
            </w:r>
          </w:p>
        </w:tc>
      </w:tr>
      <w:tr>
        <w:trPr>
          <w:trHeight w:val="432"/>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302301106</w:t>
            </w:r>
          </w:p>
        </w:tc>
      </w:tr>
      <w:tr>
        <w:trPr>
          <w:trHeight w:val="2198"/>
        </w:trPr>
        <w:tc>
          <w:tcPr>
            <w:tcW w:w="980" w:type="dxa"/>
            <w:vAlign w:val="bottom"/>
            <w:tcBorders>
              <w:bottom w:val="single" w:sz="8" w:color="808080"/>
            </w:tcBorders>
          </w:tcPr>
          <w:p>
            <w:pPr>
              <w:spacing w:after="0"/>
              <w:rPr>
                <w:sz w:val="24"/>
                <w:szCs w:val="24"/>
                <w:color w:val="auto"/>
              </w:rPr>
            </w:pPr>
          </w:p>
        </w:tc>
        <w:tc>
          <w:tcPr>
            <w:tcW w:w="10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 w:name="page4"/>
    <w:bookmarkEnd w:id="3"/>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 Pages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 240.13d-1(b), or 240.13d-2(b) or (c),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Whether the Person Filing is a:</w:t>
      </w:r>
    </w:p>
    <w:p>
      <w:pPr>
        <w:spacing w:after="0" w:line="211" w:lineRule="exact"/>
        <w:rPr>
          <w:sz w:val="20"/>
          <w:szCs w:val="20"/>
          <w:color w:val="auto"/>
        </w:rPr>
      </w:pPr>
    </w:p>
    <w:p>
      <w:pPr>
        <w:ind w:left="1580" w:right="4800" w:hanging="883"/>
        <w:spacing w:after="0" w:line="258"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Exchange Act (15 U.S.C 78o).</w:t>
      </w:r>
    </w:p>
    <w:p>
      <w:pPr>
        <w:spacing w:after="0" w:line="1" w:lineRule="exact"/>
        <w:rPr>
          <w:rFonts w:ascii="Arial" w:cs="Arial" w:eastAsia="Arial" w:hAnsi="Arial"/>
          <w:sz w:val="18"/>
          <w:szCs w:val="18"/>
          <w:color w:val="auto"/>
        </w:rPr>
      </w:pPr>
    </w:p>
    <w:p>
      <w:pPr>
        <w:ind w:left="1140" w:hanging="44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580" w:right="5160" w:hanging="883"/>
        <w:spacing w:after="0" w:line="250"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Exchange Act (15 U.S.C. 78c).</w:t>
      </w:r>
    </w:p>
    <w:p>
      <w:pPr>
        <w:ind w:left="1580" w:right="5320" w:hanging="883"/>
        <w:spacing w:after="0" w:line="281"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1" w:lineRule="exact"/>
        <w:rPr>
          <w:rFonts w:ascii="Arial" w:cs="Arial" w:eastAsia="Arial" w:hAnsi="Arial"/>
          <w:sz w:val="18"/>
          <w:szCs w:val="18"/>
          <w:color w:val="auto"/>
        </w:rPr>
      </w:pPr>
    </w:p>
    <w:p>
      <w:pPr>
        <w:ind w:left="1140" w:hanging="44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6"/>
          <w:szCs w:val="16"/>
          <w:color w:val="auto"/>
        </w:rPr>
        <w:t>An investment adviser in accordance with §240.13d-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1(b)(1)(ii)(E).</w:t>
      </w:r>
    </w:p>
    <w:p>
      <w:pPr>
        <w:spacing w:after="0" w:line="9" w:lineRule="exact"/>
        <w:rPr>
          <w:sz w:val="20"/>
          <w:szCs w:val="20"/>
          <w:color w:val="auto"/>
        </w:rPr>
      </w:pPr>
    </w:p>
    <w:p>
      <w:pPr>
        <w:ind w:left="1580" w:right="4860" w:hanging="883"/>
        <w:spacing w:after="0" w:line="250"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ind w:left="1580" w:right="4980" w:hanging="883"/>
        <w:spacing w:after="0" w:line="250"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ind w:left="1580" w:right="4720" w:hanging="883"/>
        <w:spacing w:after="0" w:line="250"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savings association as defined in Section 3(b) of the Federal Deposit Insurance Act (12 U.S.C. 1813);</w:t>
      </w:r>
    </w:p>
    <w:p>
      <w:pPr>
        <w:ind w:left="1580" w:right="4740" w:hanging="883"/>
        <w:spacing w:after="0" w:line="250"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140" w:hanging="44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Group, in accordance with §240.13d-1(b)(1)(ii)(J).</w:t>
      </w:r>
    </w:p>
    <w:p>
      <w:pPr>
        <w:spacing w:after="0" w:line="9" w:lineRule="exact"/>
        <w:rPr>
          <w:sz w:val="20"/>
          <w:szCs w:val="20"/>
          <w:color w:val="auto"/>
        </w:rPr>
      </w:pPr>
    </w:p>
    <w:p>
      <w:pPr>
        <w:ind w:left="700"/>
        <w:spacing w:after="0"/>
        <w:tabs>
          <w:tab w:leader="none" w:pos="5860" w:val="left"/>
        </w:tabs>
        <w:rPr>
          <w:sz w:val="20"/>
          <w:szCs w:val="20"/>
          <w:color w:val="auto"/>
        </w:rPr>
      </w:pPr>
      <w:r>
        <w:rPr>
          <w:rFonts w:ascii="Arial" w:cs="Arial" w:eastAsia="Arial" w:hAnsi="Arial"/>
          <w:sz w:val="18"/>
          <w:szCs w:val="18"/>
          <w:color w:val="auto"/>
        </w:rPr>
        <w:t>If this statement is filed pursuant to Rule 13d-1 (c), check this box.</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2490470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40" w:right="859" w:bottom="1440" w:gutter="0" w:footer="0" w:header="0"/>
        </w:sectPr>
      </w:pPr>
    </w:p>
    <w:bookmarkStart w:id="4" w:name="page5"/>
    <w:bookmarkEnd w:id="4"/>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 Pages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right="4460"/>
        <w:spacing w:after="0" w:line="259" w:lineRule="auto"/>
        <w:rPr>
          <w:sz w:val="20"/>
          <w:szCs w:val="20"/>
          <w:color w:val="auto"/>
        </w:rPr>
      </w:pPr>
      <w:r>
        <w:rPr>
          <w:rFonts w:ascii="Arial" w:cs="Arial" w:eastAsia="Arial" w:hAnsi="Arial"/>
          <w:sz w:val="18"/>
          <w:szCs w:val="18"/>
          <w:color w:val="auto"/>
        </w:rPr>
        <w:t>If the percent of class owned, as of December 31 of the year covered by the statement, or as of the last day of any month described in Rule 13d-1 (b) (2), if applicable, exceeds five percent, provide the following information as of that date and identify those shares which there is a right to acquire.</w:t>
      </w:r>
    </w:p>
    <w:p>
      <w:pPr>
        <w:spacing w:after="0" w:line="187"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3,344,963</w:t>
      </w:r>
    </w:p>
    <w:p>
      <w:pPr>
        <w:spacing w:after="0" w:line="23"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6.45%</w:t>
      </w:r>
    </w:p>
    <w:p>
      <w:pPr>
        <w:spacing w:after="0" w:line="9"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1480" w:hanging="35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1,186,652</w:t>
      </w:r>
    </w:p>
    <w:p>
      <w:pPr>
        <w:spacing w:after="0" w:line="9" w:lineRule="exact"/>
        <w:rPr>
          <w:rFonts w:ascii="Arial" w:cs="Arial" w:eastAsia="Arial" w:hAnsi="Arial"/>
          <w:sz w:val="18"/>
          <w:szCs w:val="18"/>
          <w:color w:val="auto"/>
        </w:rPr>
      </w:pPr>
    </w:p>
    <w:p>
      <w:pPr>
        <w:ind w:left="1480" w:hanging="35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330,694</w:t>
      </w:r>
    </w:p>
    <w:p>
      <w:pPr>
        <w:spacing w:after="0" w:line="9" w:lineRule="exact"/>
        <w:rPr>
          <w:rFonts w:ascii="Arial" w:cs="Arial" w:eastAsia="Arial" w:hAnsi="Arial"/>
          <w:sz w:val="18"/>
          <w:szCs w:val="18"/>
          <w:color w:val="auto"/>
        </w:rPr>
      </w:pPr>
    </w:p>
    <w:p>
      <w:pPr>
        <w:ind w:left="1480" w:hanging="35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3,344,963</w:t>
      </w:r>
    </w:p>
    <w:p>
      <w:pPr>
        <w:spacing w:after="0" w:line="9" w:lineRule="exact"/>
        <w:rPr>
          <w:rFonts w:ascii="Arial" w:cs="Arial" w:eastAsia="Arial" w:hAnsi="Arial"/>
          <w:sz w:val="18"/>
          <w:szCs w:val="18"/>
          <w:color w:val="auto"/>
        </w:rPr>
      </w:pPr>
    </w:p>
    <w:p>
      <w:pPr>
        <w:ind w:left="1480" w:hanging="35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40" w:right="8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 Pages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700" w:right="4340"/>
        <w:spacing w:after="0" w:line="291"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w:t>
      </w:r>
    </w:p>
    <w:p>
      <w:pPr>
        <w:ind w:left="700"/>
        <w:spacing w:after="0"/>
        <w:tabs>
          <w:tab w:leader="none" w:pos="4780" w:val="left"/>
        </w:tabs>
        <w:rPr>
          <w:sz w:val="20"/>
          <w:szCs w:val="20"/>
          <w:color w:val="auto"/>
        </w:rPr>
      </w:pPr>
      <w:r>
        <w:rPr>
          <w:rFonts w:ascii="Arial" w:cs="Arial" w:eastAsia="Arial" w:hAnsi="Arial"/>
          <w:sz w:val="18"/>
          <w:szCs w:val="18"/>
          <w:color w:val="auto"/>
        </w:rPr>
        <w:t>of the class of securities, check the following</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700" w:right="4420"/>
        <w:spacing w:after="0" w:line="254"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Being Reported on by the Parent Holding Company.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ind w:left="700" w:right="4360"/>
        <w:spacing w:after="0" w:line="273"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823595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40" w:right="859" w:bottom="1440" w:gutter="0" w:footer="0" w:header="0"/>
        </w:sectPr>
      </w:pPr>
    </w:p>
    <w:bookmarkStart w:id="6" w:name="page7"/>
    <w:bookmarkEnd w:id="6"/>
    <w:p>
      <w:pPr>
        <w:spacing w:after="0" w:line="77" w:lineRule="exact"/>
        <w:rPr>
          <w:sz w:val="20"/>
          <w:szCs w:val="20"/>
          <w:color w:val="auto"/>
        </w:rPr>
      </w:pPr>
    </w:p>
    <w:p>
      <w:pPr>
        <w:jc w:val="right"/>
        <w:ind w:right="780"/>
        <w:spacing w:after="0"/>
        <w:rPr>
          <w:sz w:val="20"/>
          <w:szCs w:val="20"/>
          <w:color w:val="auto"/>
        </w:rPr>
      </w:pPr>
      <w:r>
        <w:rPr>
          <w:rFonts w:ascii="Arial" w:cs="Arial" w:eastAsia="Arial" w:hAnsi="Arial"/>
          <w:sz w:val="18"/>
          <w:szCs w:val="18"/>
          <w:color w:val="auto"/>
        </w:rPr>
        <w:t>Page 7 of 7 Pages</w:t>
      </w:r>
    </w:p>
    <w:p>
      <w:pPr>
        <w:spacing w:after="0" w:line="200" w:lineRule="exact"/>
        <w:rPr>
          <w:sz w:val="20"/>
          <w:szCs w:val="20"/>
          <w:color w:val="auto"/>
        </w:rPr>
      </w:pPr>
    </w:p>
    <w:p>
      <w:pPr>
        <w:spacing w:after="0" w:line="349"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right="49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February,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Huber Capital Management, LLC</w:t>
            </w:r>
          </w:p>
        </w:tc>
      </w:tr>
      <w:tr>
        <w:trPr>
          <w:trHeight w:val="608"/>
        </w:trPr>
        <w:tc>
          <w:tcPr>
            <w:tcW w:w="7980" w:type="dxa"/>
            <w:vAlign w:val="bottom"/>
          </w:tcPr>
          <w:p>
            <w:pPr>
              <w:ind w:left="7180"/>
              <w:spacing w:after="0"/>
              <w:rPr>
                <w:sz w:val="20"/>
                <w:szCs w:val="20"/>
                <w:color w:val="auto"/>
              </w:rPr>
            </w:pPr>
            <w:r>
              <w:rPr>
                <w:rFonts w:ascii="Arial" w:cs="Arial" w:eastAsia="Arial" w:hAnsi="Arial"/>
                <w:sz w:val="18"/>
                <w:szCs w:val="18"/>
                <w:color w:val="auto"/>
              </w:rPr>
              <w:t>By:</w:t>
            </w: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Thomas</w:t>
            </w:r>
          </w:p>
        </w:tc>
        <w:tc>
          <w:tcPr>
            <w:tcW w:w="1020" w:type="dxa"/>
            <w:vAlign w:val="bottom"/>
          </w:tcPr>
          <w:p>
            <w:pPr>
              <w:spacing w:after="0"/>
              <w:rPr>
                <w:sz w:val="24"/>
                <w:szCs w:val="24"/>
                <w:color w:val="auto"/>
              </w:rPr>
            </w:pPr>
          </w:p>
        </w:tc>
      </w:tr>
      <w:tr>
        <w:trPr>
          <w:trHeight w:val="222"/>
        </w:trPr>
        <w:tc>
          <w:tcPr>
            <w:tcW w:w="7980" w:type="dxa"/>
            <w:vAlign w:val="bottom"/>
          </w:tcPr>
          <w:p>
            <w:pPr>
              <w:spacing w:after="0"/>
              <w:rPr>
                <w:sz w:val="19"/>
                <w:szCs w:val="19"/>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Gary Thomas</w:t>
            </w:r>
          </w:p>
        </w:tc>
      </w:tr>
      <w:tr>
        <w:trPr>
          <w:trHeight w:val="230"/>
        </w:trPr>
        <w:tc>
          <w:tcPr>
            <w:tcW w:w="798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Principal, COO/CCO</w:t>
            </w:r>
          </w:p>
        </w:tc>
      </w:tr>
      <w:tr>
        <w:trPr>
          <w:trHeight w:val="2536"/>
        </w:trPr>
        <w:tc>
          <w:tcPr>
            <w:tcW w:w="7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4"/>
        </w:trPr>
        <w:tc>
          <w:tcPr>
            <w:tcW w:w="7980" w:type="dxa"/>
            <w:vAlign w:val="bottom"/>
            <w:shd w:val="clear" w:color="auto" w:fill="808080"/>
          </w:tcPr>
          <w:p>
            <w:pPr>
              <w:spacing w:after="0"/>
              <w:rPr>
                <w:sz w:val="6"/>
                <w:szCs w:val="6"/>
                <w:color w:val="auto"/>
              </w:rPr>
            </w:pPr>
          </w:p>
        </w:tc>
        <w:tc>
          <w:tcPr>
            <w:tcW w:w="2460" w:type="dxa"/>
            <w:vAlign w:val="bottom"/>
            <w:shd w:val="clear" w:color="auto" w:fill="808080"/>
          </w:tcPr>
          <w:p>
            <w:pPr>
              <w:spacing w:after="0"/>
              <w:rPr>
                <w:sz w:val="6"/>
                <w:szCs w:val="6"/>
                <w:color w:val="auto"/>
              </w:rPr>
            </w:pPr>
          </w:p>
        </w:tc>
        <w:tc>
          <w:tcPr>
            <w:tcW w:w="10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60"/>
      </w:cols>
      <w:pgMar w:left="240" w:top="14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T"/>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2020-01-19T14:21:46Z</dcterms:created>
  <dcterms:modified xsi:type="dcterms:W3CDTF">2020-01-19T14:21:46Z</dcterms:modified>
</cp:coreProperties>
</file>